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eastAsiaTheme="minorEastAsia"/>
          <w:sz w:val="20"/>
          <w:lang w:eastAsia="zh-CN"/>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after="1"/>
        <w:rPr>
          <w:rFonts w:ascii="Times New Roman"/>
          <w:sz w:val="24"/>
        </w:rPr>
      </w:pPr>
    </w:p>
    <w:p>
      <w:pPr>
        <w:pStyle w:val="2"/>
        <w:ind w:left="3674"/>
        <w:rPr>
          <w:rFonts w:ascii="Times New Roman"/>
          <w:sz w:val="20"/>
        </w:rPr>
      </w:pPr>
      <w:r>
        <w:rPr>
          <w:rFonts w:ascii="Times New Roman"/>
          <w:sz w:val="20"/>
          <w:lang w:eastAsia="zh-CN"/>
        </w:rPr>
        <w:drawing>
          <wp:inline distT="0" distB="0" distL="0" distR="0">
            <wp:extent cx="2876550" cy="614045"/>
            <wp:effectExtent l="0" t="0" r="0" b="0"/>
            <wp:docPr id="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a:picLocks noChangeAspect="1"/>
                    </pic:cNvPicPr>
                  </pic:nvPicPr>
                  <pic:blipFill>
                    <a:blip r:embed="rId16" cstate="print"/>
                    <a:stretch>
                      <a:fillRect/>
                    </a:stretch>
                  </pic:blipFill>
                  <pic:spPr>
                    <a:xfrm>
                      <a:off x="0" y="0"/>
                      <a:ext cx="2876818" cy="614362"/>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27"/>
        </w:rPr>
      </w:pPr>
    </w:p>
    <w:p>
      <w:pPr>
        <w:spacing w:line="1470" w:lineRule="exact"/>
        <w:ind w:left="600" w:hanging="600" w:hangingChars="50"/>
        <w:jc w:val="center"/>
        <w:rPr>
          <w:sz w:val="120"/>
        </w:rPr>
      </w:pPr>
      <w:r>
        <w:rPr>
          <w:rFonts w:hint="eastAsia" w:asciiTheme="minorEastAsia" w:hAnsiTheme="minorEastAsia"/>
          <w:color w:val="000080"/>
          <w:sz w:val="120"/>
          <w14:shadow w14:blurRad="50800" w14:dist="38100" w14:dir="2700000" w14:sx="100000" w14:sy="100000" w14:kx="0" w14:ky="0" w14:algn="tl">
            <w14:srgbClr w14:val="000000">
              <w14:alpha w14:val="60000"/>
            </w14:srgbClr>
          </w14:shadow>
        </w:rPr>
        <w:t xml:space="preserve">梅州市科学技术局  </w:t>
      </w:r>
      <w:r>
        <w:rPr>
          <w:color w:val="000080"/>
          <w:sz w:val="120"/>
          <w14:shadow w14:blurRad="50800" w14:dist="38100" w14:dir="2700000" w14:sx="100000" w14:sy="100000" w14:kx="0" w14:ky="0" w14:algn="tl">
            <w14:srgbClr w14:val="000000">
              <w14:alpha w14:val="60000"/>
            </w14:srgbClr>
          </w14:shadow>
        </w:rPr>
        <w:t>部门决算</w:t>
      </w:r>
    </w:p>
    <w:p>
      <w:pPr>
        <w:spacing w:line="1470" w:lineRule="exact"/>
        <w:rPr>
          <w:sz w:val="120"/>
        </w:rPr>
        <w:sectPr>
          <w:headerReference r:id="rId5" w:type="first"/>
          <w:footerReference r:id="rId8" w:type="first"/>
          <w:headerReference r:id="rId3" w:type="default"/>
          <w:footerReference r:id="rId6" w:type="default"/>
          <w:headerReference r:id="rId4" w:type="even"/>
          <w:footerReference r:id="rId7" w:type="even"/>
          <w:pgSz w:w="11910" w:h="16840"/>
          <w:pgMar w:top="1580" w:right="0" w:bottom="280" w:left="0" w:header="720" w:footer="720" w:gutter="0"/>
          <w:cols w:space="720" w:num="1"/>
          <w:titlePg/>
          <w:docGrid w:linePitch="286" w:charSpace="0"/>
        </w:sectPr>
      </w:pPr>
    </w:p>
    <w:p>
      <w:pPr>
        <w:ind w:left="1693"/>
        <w:rPr>
          <w:sz w:val="20"/>
        </w:rPr>
      </w:pPr>
      <w:r>
        <w:rPr>
          <w:rFonts w:ascii="Times New Roman"/>
          <w:spacing w:val="-50"/>
          <w:sz w:val="20"/>
        </w:rPr>
        <w:t xml:space="preserve"> </w:t>
      </w:r>
    </w:p>
    <w:p>
      <w:pPr>
        <w:pStyle w:val="2"/>
        <w:spacing w:before="7"/>
        <w:rPr>
          <w:sz w:val="15"/>
          <w:lang w:eastAsia="zh-CN"/>
        </w:rPr>
      </w:pPr>
    </w:p>
    <w:p>
      <w:pPr>
        <w:tabs>
          <w:tab w:val="left" w:pos="844"/>
        </w:tabs>
        <w:spacing w:line="866" w:lineRule="exact"/>
        <w:ind w:right="2"/>
        <w:jc w:val="center"/>
        <w:rPr>
          <w:rFonts w:ascii="Microsoft JhengHei" w:eastAsia="Microsoft JhengHei"/>
          <w:b/>
          <w:sz w:val="56"/>
        </w:rPr>
      </w:pPr>
      <w:r>
        <w:rPr>
          <w:rFonts w:hint="eastAsia" w:ascii="Microsoft JhengHei" w:eastAsia="Microsoft JhengHei"/>
          <w:b/>
          <w:sz w:val="56"/>
        </w:rPr>
        <w:t>目</w:t>
      </w:r>
      <w:r>
        <w:rPr>
          <w:rFonts w:hint="eastAsia" w:ascii="Microsoft JhengHei" w:eastAsia="Microsoft JhengHei"/>
          <w:b/>
          <w:sz w:val="56"/>
        </w:rPr>
        <w:tab/>
      </w:r>
      <w:r>
        <w:rPr>
          <w:rFonts w:hint="eastAsia" w:ascii="Microsoft JhengHei" w:eastAsia="Microsoft JhengHei"/>
          <w:b/>
          <w:sz w:val="56"/>
        </w:rPr>
        <w:t>录</w:t>
      </w:r>
    </w:p>
    <w:p>
      <w:pPr>
        <w:spacing w:before="380"/>
        <w:ind w:left="1701"/>
        <w:rPr>
          <w:sz w:val="40"/>
        </w:rPr>
      </w:pPr>
      <w:r>
        <w:rPr>
          <w:sz w:val="40"/>
        </w:rPr>
        <w:t xml:space="preserve">第一部分 </w:t>
      </w:r>
      <w:r>
        <w:rPr>
          <w:rFonts w:hint="eastAsia"/>
          <w:sz w:val="40"/>
        </w:rPr>
        <w:t>梅州市科学技术局</w:t>
      </w:r>
      <w:r>
        <w:rPr>
          <w:sz w:val="40"/>
        </w:rPr>
        <w:t>概况</w:t>
      </w:r>
    </w:p>
    <w:p>
      <w:pPr>
        <w:pStyle w:val="2"/>
        <w:spacing w:before="9"/>
        <w:rPr>
          <w:sz w:val="37"/>
          <w:lang w:eastAsia="zh-CN"/>
        </w:rPr>
      </w:pPr>
    </w:p>
    <w:p>
      <w:pPr>
        <w:ind w:left="1701"/>
        <w:rPr>
          <w:sz w:val="36"/>
        </w:rPr>
      </w:pPr>
      <w:r>
        <w:rPr>
          <w:sz w:val="36"/>
        </w:rPr>
        <w:t>一、主要职能</w:t>
      </w:r>
    </w:p>
    <w:p>
      <w:pPr>
        <w:pStyle w:val="2"/>
        <w:spacing w:before="7"/>
        <w:rPr>
          <w:sz w:val="26"/>
          <w:lang w:eastAsia="zh-CN"/>
        </w:rPr>
      </w:pPr>
    </w:p>
    <w:p>
      <w:pPr>
        <w:ind w:left="1701"/>
        <w:rPr>
          <w:sz w:val="36"/>
        </w:rPr>
      </w:pPr>
      <w:r>
        <w:rPr>
          <w:sz w:val="36"/>
        </w:rPr>
        <w:t>二、部门决算单位构成</w:t>
      </w:r>
    </w:p>
    <w:p>
      <w:pPr>
        <w:pStyle w:val="2"/>
        <w:spacing w:before="6"/>
        <w:rPr>
          <w:sz w:val="35"/>
          <w:lang w:eastAsia="zh-CN"/>
        </w:rPr>
      </w:pPr>
    </w:p>
    <w:p>
      <w:pPr>
        <w:ind w:left="1701"/>
        <w:rPr>
          <w:sz w:val="40"/>
        </w:rPr>
      </w:pPr>
      <w:r>
        <w:rPr>
          <w:sz w:val="40"/>
        </w:rPr>
        <w:t xml:space="preserve">第二部分 </w:t>
      </w:r>
      <w:r>
        <w:rPr>
          <w:rFonts w:hint="eastAsia"/>
          <w:sz w:val="40"/>
        </w:rPr>
        <w:t>梅州市科学技术局</w:t>
      </w:r>
      <w:r>
        <w:rPr>
          <w:sz w:val="40"/>
        </w:rPr>
        <w:t xml:space="preserve"> 2016 年度部门决算表</w:t>
      </w:r>
    </w:p>
    <w:p>
      <w:pPr>
        <w:pStyle w:val="2"/>
        <w:spacing w:before="8"/>
        <w:rPr>
          <w:sz w:val="37"/>
          <w:lang w:eastAsia="zh-CN"/>
        </w:rPr>
      </w:pPr>
    </w:p>
    <w:p>
      <w:pPr>
        <w:spacing w:line="417" w:lineRule="auto"/>
        <w:ind w:left="1701" w:right="6602"/>
        <w:rPr>
          <w:sz w:val="36"/>
        </w:rPr>
      </w:pPr>
      <w:r>
        <w:rPr>
          <w:sz w:val="36"/>
        </w:rPr>
        <w:t>一、收入支出决算总表二、收入决算表</w:t>
      </w:r>
    </w:p>
    <w:p>
      <w:pPr>
        <w:spacing w:line="457" w:lineRule="exact"/>
        <w:ind w:left="1701"/>
        <w:rPr>
          <w:sz w:val="36"/>
        </w:rPr>
      </w:pPr>
      <w:r>
        <w:rPr>
          <w:sz w:val="36"/>
        </w:rPr>
        <w:t>三、支出决算表</w:t>
      </w:r>
    </w:p>
    <w:p>
      <w:pPr>
        <w:pStyle w:val="2"/>
        <w:spacing w:before="5"/>
        <w:rPr>
          <w:sz w:val="26"/>
          <w:lang w:eastAsia="zh-CN"/>
        </w:rPr>
      </w:pPr>
    </w:p>
    <w:p>
      <w:pPr>
        <w:ind w:left="1701"/>
        <w:rPr>
          <w:sz w:val="36"/>
        </w:rPr>
      </w:pPr>
      <w:r>
        <w:rPr>
          <w:sz w:val="36"/>
        </w:rPr>
        <w:t>四、财政拨款收入支出决算总表</w:t>
      </w:r>
    </w:p>
    <w:p>
      <w:pPr>
        <w:pStyle w:val="2"/>
        <w:spacing w:before="7"/>
        <w:rPr>
          <w:sz w:val="26"/>
          <w:lang w:eastAsia="zh-CN"/>
        </w:rPr>
      </w:pPr>
    </w:p>
    <w:p>
      <w:pPr>
        <w:spacing w:before="1"/>
        <w:ind w:left="1701"/>
        <w:rPr>
          <w:sz w:val="36"/>
        </w:rPr>
      </w:pPr>
      <w:r>
        <w:rPr>
          <w:sz w:val="36"/>
        </w:rPr>
        <w:t>五、一般公共预算财政拨款支出决算表</w:t>
      </w:r>
    </w:p>
    <w:p>
      <w:pPr>
        <w:pStyle w:val="2"/>
        <w:spacing w:before="4"/>
        <w:rPr>
          <w:sz w:val="26"/>
          <w:lang w:eastAsia="zh-CN"/>
        </w:rPr>
      </w:pPr>
    </w:p>
    <w:p>
      <w:pPr>
        <w:ind w:left="1701"/>
        <w:rPr>
          <w:sz w:val="36"/>
        </w:rPr>
      </w:pPr>
      <w:r>
        <w:rPr>
          <w:sz w:val="36"/>
        </w:rPr>
        <w:t>六、一般公共预算财政拨款基本支出决算表</w:t>
      </w:r>
    </w:p>
    <w:p>
      <w:pPr>
        <w:pStyle w:val="2"/>
        <w:spacing w:before="5"/>
        <w:rPr>
          <w:sz w:val="26"/>
          <w:lang w:eastAsia="zh-CN"/>
        </w:rPr>
      </w:pPr>
    </w:p>
    <w:p>
      <w:pPr>
        <w:spacing w:line="417" w:lineRule="auto"/>
        <w:ind w:left="1701" w:right="1922"/>
        <w:rPr>
          <w:sz w:val="36"/>
        </w:rPr>
      </w:pPr>
      <w:r>
        <w:rPr>
          <w:sz w:val="36"/>
        </w:rPr>
        <w:t>七、一般公共预算财政拨款“三公”经费支出决算表</w:t>
      </w:r>
    </w:p>
    <w:p>
      <w:pPr>
        <w:spacing w:line="417" w:lineRule="auto"/>
        <w:ind w:left="1701" w:right="1922"/>
        <w:rPr>
          <w:sz w:val="36"/>
        </w:rPr>
      </w:pPr>
      <w:r>
        <w:rPr>
          <w:sz w:val="36"/>
        </w:rPr>
        <w:t>八、政府性基金预算财政拨款收入支出决算表</w:t>
      </w:r>
    </w:p>
    <w:p>
      <w:pPr>
        <w:spacing w:before="112" w:line="446" w:lineRule="auto"/>
        <w:ind w:left="840" w:leftChars="400" w:right="2200" w:firstLine="748" w:firstLineChars="200"/>
        <w:rPr>
          <w:spacing w:val="-12"/>
          <w:sz w:val="40"/>
        </w:rPr>
      </w:pPr>
      <w:r>
        <w:rPr>
          <w:spacing w:val="-13"/>
          <w:sz w:val="40"/>
        </w:rPr>
        <w:t xml:space="preserve">第三部分 </w:t>
      </w:r>
      <w:r>
        <w:rPr>
          <w:rFonts w:hint="eastAsia"/>
          <w:spacing w:val="-13"/>
          <w:sz w:val="40"/>
        </w:rPr>
        <w:t>市科技局</w:t>
      </w:r>
      <w:r>
        <w:rPr>
          <w:spacing w:val="-13"/>
          <w:sz w:val="40"/>
        </w:rPr>
        <w:t xml:space="preserve"> </w:t>
      </w:r>
      <w:r>
        <w:rPr>
          <w:sz w:val="40"/>
        </w:rPr>
        <w:t>2016</w:t>
      </w:r>
      <w:r>
        <w:rPr>
          <w:spacing w:val="-12"/>
          <w:sz w:val="40"/>
        </w:rPr>
        <w:t xml:space="preserve"> 年度部门决算情况</w:t>
      </w:r>
      <w:r>
        <w:rPr>
          <w:rFonts w:hint="eastAsia"/>
          <w:spacing w:val="-12"/>
          <w:sz w:val="40"/>
        </w:rPr>
        <w:t>说</w:t>
      </w:r>
      <w:r>
        <w:rPr>
          <w:spacing w:val="-12"/>
          <w:sz w:val="40"/>
        </w:rPr>
        <w:t>明</w:t>
      </w:r>
    </w:p>
    <w:p>
      <w:pPr>
        <w:spacing w:before="112" w:line="446" w:lineRule="auto"/>
        <w:ind w:left="840" w:leftChars="400" w:right="2200" w:firstLine="772" w:firstLineChars="200"/>
        <w:rPr>
          <w:spacing w:val="-12"/>
          <w:sz w:val="40"/>
        </w:rPr>
      </w:pPr>
      <w:r>
        <w:rPr>
          <w:spacing w:val="-7"/>
          <w:sz w:val="40"/>
        </w:rPr>
        <w:t>第四部分 名词解释</w:t>
      </w:r>
    </w:p>
    <w:p>
      <w:pPr>
        <w:widowControl/>
        <w:jc w:val="left"/>
        <w:rPr>
          <w:sz w:val="40"/>
        </w:rPr>
        <w:sectPr>
          <w:pgSz w:w="11910" w:h="16840"/>
          <w:pgMar w:top="680" w:right="0" w:bottom="280" w:left="0" w:header="720" w:footer="720" w:gutter="0"/>
          <w:cols w:space="720" w:num="1"/>
          <w:titlePg/>
          <w:docGrid w:linePitch="286" w:charSpace="0"/>
        </w:sectPr>
      </w:pPr>
    </w:p>
    <w:p>
      <w:pPr>
        <w:pStyle w:val="2"/>
        <w:rPr>
          <w:rFonts w:ascii="Times New Roman"/>
          <w:sz w:val="20"/>
          <w:lang w:eastAsia="zh-CN"/>
        </w:rPr>
      </w:pPr>
      <w: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3414395</wp:posOffset>
                </wp:positionV>
                <wp:extent cx="7560310" cy="1858645"/>
                <wp:effectExtent l="5080" t="4445" r="16510" b="22860"/>
                <wp:wrapNone/>
                <wp:docPr id="9" name="矩形 11"/>
                <wp:cNvGraphicFramePr/>
                <a:graphic xmlns:a="http://schemas.openxmlformats.org/drawingml/2006/main">
                  <a:graphicData uri="http://schemas.microsoft.com/office/word/2010/wordprocessingShape">
                    <wps:wsp>
                      <wps:cNvSpPr/>
                      <wps:spPr>
                        <a:xfrm>
                          <a:off x="0" y="0"/>
                          <a:ext cx="7560310" cy="18586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1" o:spid="_x0000_s1026" o:spt="1" style="position:absolute;left:0pt;margin-left:0pt;margin-top:268.85pt;height:146.35pt;width:595.3pt;mso-position-horizontal-relative:page;mso-position-vertical-relative:page;z-index:-251656192;mso-width-relative:page;mso-height-relative:page;" filled="f" stroked="t" coordsize="21600,21600" o:gfxdata="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VGrG2AAAAAkBAAAPAAAAAAAAAAEAIAAAACIAAABkcnMvZG93bnJldi54bWxQ&#10;SwECFAAUAAAACACHTuJAVjcg8vcBAAD3AwAADgAAAAAAAAABACAAAAAnAQAAZHJzL2Uyb0RvYy54&#10;bWxQSwUGAAAAAAYABgBZAQAAkAUAAAAA&#10;">
                <v:fill on="f" focussize="0,0"/>
                <v:stroke color="#000000" joinstyle="miter"/>
                <v:imagedata o:title=""/>
                <o:lock v:ext="edit" aspectratio="f"/>
              </v:rect>
            </w:pict>
          </mc:Fallback>
        </mc:AlternateContent>
      </w: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spacing w:before="2" w:after="1"/>
        <w:rPr>
          <w:rFonts w:ascii="Times New Roman"/>
          <w:sz w:val="29"/>
          <w:lang w:eastAsia="zh-CN"/>
        </w:rPr>
      </w:pPr>
    </w:p>
    <w:p>
      <w:pPr>
        <w:pStyle w:val="2"/>
        <w:ind w:left="7" w:right="-37"/>
        <w:rPr>
          <w:rFonts w:ascii="Times New Roman"/>
          <w:sz w:val="20"/>
        </w:rPr>
      </w:pPr>
      <w:r>
        <w:rPr>
          <w:rFonts w:ascii="Times New Roman"/>
          <w:sz w:val="20"/>
        </w:rPr>
        <mc:AlternateContent>
          <mc:Choice Requires="wps">
            <w:drawing>
              <wp:inline distT="0" distB="0" distL="114300" distR="114300">
                <wp:extent cx="7551420" cy="1849120"/>
                <wp:effectExtent l="0" t="0" r="11430" b="17780"/>
                <wp:docPr id="4" name="文本框 17"/>
                <wp:cNvGraphicFramePr/>
                <a:graphic xmlns:a="http://schemas.openxmlformats.org/drawingml/2006/main">
                  <a:graphicData uri="http://schemas.microsoft.com/office/word/2010/wordprocessingShape">
                    <wps:wsp>
                      <wps:cNvSpPr txBox="1"/>
                      <wps:spPr>
                        <a:xfrm>
                          <a:off x="0" y="0"/>
                          <a:ext cx="7551420" cy="1849120"/>
                        </a:xfrm>
                        <a:prstGeom prst="rect">
                          <a:avLst/>
                        </a:prstGeom>
                        <a:solidFill>
                          <a:srgbClr val="BBE0E3"/>
                        </a:solidFill>
                        <a:ln>
                          <a:noFill/>
                        </a:ln>
                      </wps:spPr>
                      <wps:txbx>
                        <w:txbxContent>
                          <w:p>
                            <w:pPr>
                              <w:pStyle w:val="2"/>
                              <w:spacing w:before="1"/>
                              <w:rPr>
                                <w:rFonts w:ascii="Times New Roman"/>
                                <w:sz w:val="88"/>
                              </w:rPr>
                            </w:pPr>
                          </w:p>
                          <w:p>
                            <w:pPr>
                              <w:tabs>
                                <w:tab w:val="left" w:pos="4785"/>
                              </w:tabs>
                              <w:spacing w:before="1"/>
                              <w:ind w:firstLine="1080" w:firstLineChars="150"/>
                              <w:rPr>
                                <w:sz w:val="72"/>
                              </w:rPr>
                            </w:pPr>
                            <w:r>
                              <w:rPr>
                                <w:sz w:val="72"/>
                              </w:rPr>
                              <w:t>第一部分</w:t>
                            </w:r>
                            <w:r>
                              <w:rPr>
                                <w:sz w:val="72"/>
                              </w:rPr>
                              <w:tab/>
                            </w:r>
                            <w:r>
                              <w:rPr>
                                <w:rFonts w:hint="eastAsia"/>
                                <w:sz w:val="72"/>
                              </w:rPr>
                              <w:t>市科技部门</w:t>
                            </w:r>
                            <w:r>
                              <w:rPr>
                                <w:sz w:val="72"/>
                              </w:rPr>
                              <w:t>概况</w:t>
                            </w:r>
                          </w:p>
                        </w:txbxContent>
                      </wps:txbx>
                      <wps:bodyPr lIns="0" tIns="0" rIns="0" bIns="0" upright="1"/>
                    </wps:wsp>
                  </a:graphicData>
                </a:graphic>
              </wp:inline>
            </w:drawing>
          </mc:Choice>
          <mc:Fallback>
            <w:pict>
              <v:shape id="文本框 17" o:spid="_x0000_s1026" o:spt="202" type="#_x0000_t202" style="height:145.6pt;width:594.6pt;" fillcolor="#BBE0E3" filled="t" stroked="f" coordsize="21600,21600" o:gfxdata="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yndqtQAAAAGAQAADwAAAAAAAAABACAAAAAiAAAA&#10;ZHJzL2Rvd25yZXYueG1sUEsBAhQAFAAAAAgAh07iQI9Ooz3SAQAAnQMAAA4AAAAAAAAAAQAgAAAA&#10;IwEAAGRycy9lMm9Eb2MueG1sUEsFBgAAAAAGAAYAWQEAAGcFAAAAAA==&#10;">
                <v:fill on="t" focussize="0,0"/>
                <v:stroke on="f"/>
                <v:imagedata o:title=""/>
                <o:lock v:ext="edit" aspectratio="f"/>
                <v:textbox inset="0mm,0mm,0mm,0mm">
                  <w:txbxContent>
                    <w:p>
                      <w:pPr>
                        <w:pStyle w:val="2"/>
                        <w:spacing w:before="1"/>
                        <w:rPr>
                          <w:rFonts w:ascii="Times New Roman"/>
                          <w:sz w:val="88"/>
                        </w:rPr>
                      </w:pPr>
                    </w:p>
                    <w:p>
                      <w:pPr>
                        <w:tabs>
                          <w:tab w:val="left" w:pos="4785"/>
                        </w:tabs>
                        <w:spacing w:before="1"/>
                        <w:ind w:firstLine="1080" w:firstLineChars="150"/>
                        <w:rPr>
                          <w:sz w:val="72"/>
                        </w:rPr>
                      </w:pPr>
                      <w:r>
                        <w:rPr>
                          <w:sz w:val="72"/>
                        </w:rPr>
                        <w:t>第一部分</w:t>
                      </w:r>
                      <w:r>
                        <w:rPr>
                          <w:sz w:val="72"/>
                        </w:rPr>
                        <w:tab/>
                      </w:r>
                      <w:r>
                        <w:rPr>
                          <w:rFonts w:hint="eastAsia"/>
                          <w:sz w:val="72"/>
                        </w:rPr>
                        <w:t>市科技部门</w:t>
                      </w:r>
                      <w:r>
                        <w:rPr>
                          <w:sz w:val="72"/>
                        </w:rPr>
                        <w:t>概况</w:t>
                      </w:r>
                    </w:p>
                  </w:txbxContent>
                </v:textbox>
                <w10:wrap type="none"/>
                <w10:anchorlock/>
              </v:shape>
            </w:pict>
          </mc:Fallback>
        </mc:AlternateContent>
      </w:r>
    </w:p>
    <w:p>
      <w:pPr>
        <w:rPr>
          <w:rFonts w:ascii="Times New Roman"/>
          <w:sz w:val="20"/>
        </w:rPr>
        <w:sectPr>
          <w:footerReference r:id="rId10" w:type="first"/>
          <w:footerReference r:id="rId9" w:type="default"/>
          <w:pgSz w:w="11910" w:h="16840"/>
          <w:pgMar w:top="1580" w:right="0" w:bottom="1160" w:left="0" w:header="0" w:footer="972" w:gutter="0"/>
          <w:pgNumType w:start="2"/>
          <w:cols w:space="720" w:num="1"/>
          <w:titlePg/>
          <w:docGrid w:linePitch="286" w:charSpace="0"/>
        </w:sectPr>
      </w:pPr>
    </w:p>
    <w:p>
      <w:pPr>
        <w:pStyle w:val="2"/>
        <w:rPr>
          <w:rFonts w:ascii="Times New Roman"/>
          <w:sz w:val="20"/>
        </w:rPr>
      </w:pPr>
    </w:p>
    <w:p>
      <w:pPr>
        <w:pStyle w:val="12"/>
        <w:spacing w:before="73"/>
        <w:rPr>
          <w:sz w:val="36"/>
          <w:szCs w:val="36"/>
          <w:lang w:eastAsia="zh-CN"/>
        </w:rPr>
      </w:pPr>
      <w:r>
        <w:rPr>
          <w:sz w:val="36"/>
          <w:szCs w:val="36"/>
          <w:lang w:eastAsia="zh-CN"/>
        </w:rPr>
        <w:t>一、主要职能</w:t>
      </w:r>
    </w:p>
    <w:p>
      <w:pPr>
        <w:pStyle w:val="2"/>
        <w:spacing w:before="3"/>
        <w:rPr>
          <w:rFonts w:ascii="Microsoft JhengHei"/>
          <w:b/>
          <w:sz w:val="16"/>
          <w:lang w:eastAsia="zh-CN"/>
        </w:rPr>
      </w:pPr>
    </w:p>
    <w:p>
      <w:pPr>
        <w:ind w:left="1701" w:right="1701" w:firstLine="640" w:firstLineChars="200"/>
        <w:rPr>
          <w:sz w:val="32"/>
          <w:szCs w:val="32"/>
        </w:rPr>
      </w:pPr>
      <w:r>
        <w:rPr>
          <w:rFonts w:hint="eastAsia"/>
          <w:sz w:val="32"/>
          <w:szCs w:val="32"/>
        </w:rPr>
        <w:t>（一）贯彻执行国家和省有关科学技术工作、专利工作的方针政策和法规；拟订地方规范性文件和政策措施，并组织实施和监督检查，组织制定专利工作发展规划和计划。会同有关部门提出科技体制改革的政策和措施建议，推进科技体制改革工作，审核相关科研机构的组建和调整，培育发展民办科研机构，优化科研机构布局。</w:t>
      </w:r>
    </w:p>
    <w:p>
      <w:pPr>
        <w:ind w:left="1701" w:right="1701" w:firstLine="640" w:firstLineChars="200"/>
        <w:rPr>
          <w:sz w:val="32"/>
          <w:szCs w:val="32"/>
        </w:rPr>
      </w:pPr>
      <w:r>
        <w:rPr>
          <w:rFonts w:hint="eastAsia"/>
          <w:sz w:val="32"/>
          <w:szCs w:val="32"/>
        </w:rPr>
        <w:t>（二）会同有关部门提出全市科技发展重大布局、优先领域政策性建议，编制和实施全市中长期科技发展规划和年度计划，组织实施全市重点基础研究、应用研究、开发研究等科技规划，负责统筹协调基础研究、前沿技术研究、重大社会公益性技术研究及关键技术、共性技术研究，牵头组织经济社会发展重要领域的重大关键技术、共性技术攻关。</w:t>
      </w:r>
    </w:p>
    <w:p>
      <w:pPr>
        <w:ind w:left="1701" w:right="1701" w:firstLine="640" w:firstLineChars="200"/>
        <w:rPr>
          <w:sz w:val="32"/>
          <w:szCs w:val="32"/>
        </w:rPr>
      </w:pPr>
      <w:r>
        <w:rPr>
          <w:rFonts w:hint="eastAsia"/>
          <w:sz w:val="32"/>
          <w:szCs w:val="32"/>
        </w:rPr>
        <w:t>（三）会同有关部门拟订科技重大专项实施办法，提出综合平衡、方案调整和相关配套政策建议，并跟踪和监督实施。</w:t>
      </w:r>
    </w:p>
    <w:p>
      <w:pPr>
        <w:ind w:left="1701" w:right="1701" w:firstLine="640" w:firstLineChars="200"/>
        <w:rPr>
          <w:sz w:val="32"/>
          <w:szCs w:val="32"/>
        </w:rPr>
      </w:pPr>
      <w:r>
        <w:rPr>
          <w:rFonts w:hint="eastAsia"/>
          <w:sz w:val="32"/>
          <w:szCs w:val="32"/>
        </w:rPr>
        <w:t>（四）承担推进全市创新体系建设的责任；会同有关部门编制全市创新体系建设规划，拟订促进全市知识创新、技术创新的政策措施，制定科研条件保障规划和提出相关政策，推进科技基础条件平台、实验室体系和重点科研基地、产业创新平台、重大创新基地建设和科技资源共享，拟订科技促进企业自主创新的政策措施，会同有关部门组织申报认定创新型企业和自主创新产品。推动高新技术产业化相关技术体系建设，推动企业自主创新能力建设。</w:t>
      </w:r>
    </w:p>
    <w:p>
      <w:pPr>
        <w:ind w:left="1701" w:right="1701" w:firstLine="640" w:firstLineChars="200"/>
        <w:rPr>
          <w:sz w:val="32"/>
          <w:szCs w:val="32"/>
        </w:rPr>
      </w:pPr>
      <w:r>
        <w:rPr>
          <w:rFonts w:hint="eastAsia"/>
          <w:sz w:val="32"/>
          <w:szCs w:val="32"/>
        </w:rPr>
        <w:t>（五）会同有关部门拟订高新技术及其产业化政策，指导高新技术产业化及应用技术的开发与推广，指导高新技术产业的发展，指导高新技术产业开发区、各类科技示范推广基地的建设，负责高新技术产业企业和高新技术产品的申报，促进科技型中小企业技术创新工作。</w:t>
      </w:r>
    </w:p>
    <w:p>
      <w:pPr>
        <w:ind w:left="1701" w:right="1701" w:firstLine="640" w:firstLineChars="200"/>
        <w:rPr>
          <w:sz w:val="32"/>
          <w:szCs w:val="32"/>
        </w:rPr>
      </w:pPr>
      <w:r>
        <w:rPr>
          <w:rFonts w:hint="eastAsia"/>
          <w:sz w:val="32"/>
          <w:szCs w:val="32"/>
        </w:rPr>
        <w:t>（六）牵头拟订产学研结合的政策措施，组织实施产学研结合发展规划、年度计划和产学研结合专项资金项目；会同有关部门制定科技成果推广政策，指导科技成果转化工作，组织相关重大科技成果应用示范。</w:t>
      </w:r>
    </w:p>
    <w:p>
      <w:pPr>
        <w:ind w:left="1701" w:right="1701" w:firstLine="640" w:firstLineChars="200"/>
        <w:rPr>
          <w:sz w:val="32"/>
          <w:szCs w:val="32"/>
        </w:rPr>
      </w:pPr>
      <w:r>
        <w:rPr>
          <w:rFonts w:hint="eastAsia"/>
          <w:sz w:val="32"/>
          <w:szCs w:val="32"/>
        </w:rPr>
        <w:t>（七）组织实施科技促进农村和社会发展的政策措施，会同有关部门推进全市农村信息直通车工程和专业镇科技创新示范试点建设，促进以改善民生为重点的农村建设和社会建设。</w:t>
      </w:r>
    </w:p>
    <w:p>
      <w:pPr>
        <w:ind w:left="1701" w:right="1701" w:firstLine="640" w:firstLineChars="200"/>
        <w:rPr>
          <w:sz w:val="32"/>
          <w:szCs w:val="32"/>
        </w:rPr>
      </w:pPr>
      <w:r>
        <w:rPr>
          <w:rFonts w:hint="eastAsia"/>
          <w:sz w:val="32"/>
          <w:szCs w:val="32"/>
        </w:rPr>
        <w:t>（八）拟订科技服务业发展的政策和规划，拟订促进技术市场、科技中介组织发展的政策措施，负责技术市场、科技中介组织的指导和监督管理，制定落实科普规划和政策，负责科技评估管理和科技统计管理，推进民营科技工作，推动科技服务体系建立。负责梅州国防科技装备动员相关工作。</w:t>
      </w:r>
    </w:p>
    <w:p>
      <w:pPr>
        <w:ind w:left="1701" w:right="1701" w:firstLine="640" w:firstLineChars="200"/>
        <w:rPr>
          <w:sz w:val="32"/>
          <w:szCs w:val="32"/>
        </w:rPr>
      </w:pPr>
      <w:r>
        <w:rPr>
          <w:rFonts w:hint="eastAsia"/>
          <w:sz w:val="32"/>
          <w:szCs w:val="32"/>
        </w:rPr>
        <w:t>（九）负责归口管理科学事业费和实施上级下达的科技项目和经费，负责市级新产品试制、中间试验、重大科研项目的补贴经费和科技基金的管理，对实施科技项目的效益进行跟踪管理。</w:t>
      </w:r>
    </w:p>
    <w:p>
      <w:pPr>
        <w:ind w:left="1701" w:right="1701" w:firstLine="640" w:firstLineChars="200"/>
        <w:rPr>
          <w:sz w:val="32"/>
          <w:szCs w:val="32"/>
        </w:rPr>
      </w:pPr>
      <w:r>
        <w:rPr>
          <w:rFonts w:hint="eastAsia"/>
          <w:sz w:val="32"/>
          <w:szCs w:val="32"/>
        </w:rPr>
        <w:t>（十）负责科学技术奖评审的组织工作，会同有关部门拟订科技人才队伍建设规划，提出相关政策建议。</w:t>
      </w:r>
    </w:p>
    <w:p>
      <w:pPr>
        <w:ind w:left="1701" w:right="1701" w:firstLine="640" w:firstLineChars="200"/>
        <w:rPr>
          <w:sz w:val="32"/>
          <w:szCs w:val="32"/>
        </w:rPr>
      </w:pPr>
      <w:r>
        <w:rPr>
          <w:rFonts w:hint="eastAsia"/>
          <w:sz w:val="32"/>
          <w:szCs w:val="32"/>
        </w:rPr>
        <w:t>（十一）拟订科技合作与交流的政策措施，组织实施科技合作项目，承办科技合作与交流事宜；牵头开展知识产权工作的对外联络、合作与交流活动。</w:t>
      </w:r>
    </w:p>
    <w:p>
      <w:pPr>
        <w:ind w:left="1701" w:right="1701" w:firstLine="640" w:firstLineChars="200"/>
        <w:rPr>
          <w:sz w:val="32"/>
          <w:szCs w:val="32"/>
        </w:rPr>
      </w:pPr>
      <w:r>
        <w:rPr>
          <w:rFonts w:hint="eastAsia"/>
          <w:sz w:val="32"/>
          <w:szCs w:val="32"/>
        </w:rPr>
        <w:t>（十二）负责组织协调全市保护知识产权工作，推动知识产权创造、运用、保护和管理体系建设，统筹、协调、指导知识产权战略的实施工作，牵头拟订并协调实施知识产权发展规划和年度计划。</w:t>
      </w:r>
    </w:p>
    <w:p>
      <w:pPr>
        <w:ind w:left="1701" w:right="1701" w:firstLine="640" w:firstLineChars="200"/>
        <w:rPr>
          <w:sz w:val="32"/>
          <w:szCs w:val="32"/>
        </w:rPr>
      </w:pPr>
      <w:r>
        <w:rPr>
          <w:rFonts w:hint="eastAsia"/>
          <w:sz w:val="32"/>
          <w:szCs w:val="32"/>
        </w:rPr>
        <w:t>（十三）组织开展全市专利行政执法及市场监督管理工作，依法处理和调解专利纠纷、查处专利违法行为，会同有关部门建立知识产权执法协作机制。</w:t>
      </w:r>
    </w:p>
    <w:p>
      <w:pPr>
        <w:ind w:left="1701" w:right="1701" w:firstLine="640" w:firstLineChars="200"/>
        <w:rPr>
          <w:sz w:val="32"/>
          <w:szCs w:val="32"/>
        </w:rPr>
      </w:pPr>
      <w:r>
        <w:rPr>
          <w:rFonts w:hint="eastAsia"/>
          <w:sz w:val="32"/>
          <w:szCs w:val="32"/>
        </w:rPr>
        <w:t>（十四）负责全市专利工作，贯彻落实专利优惠、奖励政策和措施，组织研究知识产权事业发展战略和有关知识产权方面的重大问题；统筹协调知识产权事宜；指导和管理企业专利工作；组织重大专利技术实施；管理监督专利发展资金；负责专利、技术市场鉴证、认定、登记和管理。</w:t>
      </w:r>
    </w:p>
    <w:p>
      <w:pPr>
        <w:ind w:left="1701" w:right="1701" w:firstLine="640" w:firstLineChars="200"/>
        <w:rPr>
          <w:sz w:val="32"/>
          <w:szCs w:val="32"/>
        </w:rPr>
      </w:pPr>
      <w:r>
        <w:rPr>
          <w:rFonts w:hint="eastAsia"/>
          <w:sz w:val="32"/>
          <w:szCs w:val="32"/>
        </w:rPr>
        <w:t>（十五）负责科技信息、科技宣传、市科技信息网络管理工作，指导第三产业的科技工作；指导知识产权信息化建设工作。</w:t>
      </w:r>
    </w:p>
    <w:p>
      <w:pPr>
        <w:ind w:left="1701" w:right="1701" w:firstLine="640" w:firstLineChars="200"/>
        <w:rPr>
          <w:sz w:val="32"/>
          <w:szCs w:val="32"/>
        </w:rPr>
      </w:pPr>
      <w:r>
        <w:rPr>
          <w:rFonts w:hint="eastAsia"/>
          <w:sz w:val="32"/>
          <w:szCs w:val="32"/>
        </w:rPr>
        <w:t>（十六）承办市委、市人民政府和上级业务主管部门交办的其他事项。</w:t>
      </w:r>
    </w:p>
    <w:p>
      <w:pPr>
        <w:pStyle w:val="12"/>
        <w:spacing w:before="73"/>
        <w:rPr>
          <w:rFonts w:asciiTheme="minorHAnsi" w:hAnsiTheme="minorHAnsi" w:eastAsiaTheme="minorEastAsia" w:cstheme="minorBidi"/>
          <w:kern w:val="2"/>
          <w:lang w:eastAsia="zh-CN"/>
        </w:rPr>
      </w:pPr>
      <w:r>
        <w:rPr>
          <w:sz w:val="36"/>
          <w:szCs w:val="36"/>
          <w:lang w:eastAsia="zh-CN"/>
        </w:rPr>
        <w:t>二、部门决算单位构成</w:t>
      </w:r>
    </w:p>
    <w:p>
      <w:pPr>
        <w:spacing w:line="540" w:lineRule="exact"/>
        <w:ind w:left="1701" w:right="1701" w:firstLine="640" w:firstLineChars="200"/>
        <w:rPr>
          <w:sz w:val="32"/>
          <w:szCs w:val="32"/>
        </w:rPr>
      </w:pPr>
      <w:r>
        <w:rPr>
          <w:rFonts w:hint="eastAsia"/>
          <w:sz w:val="32"/>
          <w:szCs w:val="32"/>
        </w:rPr>
        <w:t>梅州市科学技术局（市知识产权局），为市人民政府工作部门，下设六个下属事业单位：市地震局、市科学技术情报研究所、华南理工大学梅州技术研究院、市科学技术服务中心、</w:t>
      </w:r>
      <w:r>
        <w:rPr>
          <w:rFonts w:hint="eastAsia"/>
          <w:b/>
          <w:sz w:val="32"/>
          <w:szCs w:val="32"/>
        </w:rPr>
        <w:t>市</w:t>
      </w:r>
      <w:r>
        <w:rPr>
          <w:rFonts w:hint="eastAsia"/>
          <w:sz w:val="32"/>
          <w:szCs w:val="32"/>
        </w:rPr>
        <w:t>科学技术开发中心、市微生物研究所。除市微生物研究所为独立核算的一级预算单位以外，其余下属单位均为独立核算的二级预算单位。（注：以下情况说明均不包含市微生物研究所）</w:t>
      </w:r>
    </w:p>
    <w:p>
      <w:pPr>
        <w:ind w:right="1701"/>
        <w:rPr>
          <w:sz w:val="32"/>
          <w:szCs w:val="32"/>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hint="eastAsia" w:ascii="Times New Roman" w:eastAsiaTheme="minorEastAsia"/>
          <w:sz w:val="20"/>
          <w:lang w:eastAsia="zh-CN"/>
        </w:rPr>
      </w:pPr>
    </w:p>
    <w:p>
      <w:pPr>
        <w:pStyle w:val="2"/>
        <w:rPr>
          <w:rFonts w:hint="eastAsia" w:ascii="Times New Roman" w:eastAsiaTheme="minorEastAsia"/>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spacing w:before="4"/>
        <w:rPr>
          <w:rFonts w:hint="eastAsia" w:ascii="Times New Roman" w:eastAsiaTheme="minorEastAsia"/>
          <w:sz w:val="16"/>
          <w:lang w:eastAsia="zh-CN"/>
        </w:rPr>
      </w:pPr>
    </w:p>
    <w:p>
      <w:pPr>
        <w:pStyle w:val="2"/>
        <w:ind w:left="7" w:right="-37"/>
        <w:rPr>
          <w:rFonts w:ascii="Times New Roman"/>
          <w:sz w:val="20"/>
        </w:rPr>
      </w:pPr>
      <w:r>
        <w:rPr>
          <w:rFonts w:ascii="Times New Roman"/>
          <w:sz w:val="20"/>
        </w:rPr>
        <mc:AlternateContent>
          <mc:Choice Requires="wps">
            <w:drawing>
              <wp:inline distT="0" distB="0" distL="114300" distR="114300">
                <wp:extent cx="7551420" cy="1948180"/>
                <wp:effectExtent l="0" t="0" r="11430" b="13970"/>
                <wp:docPr id="6" name="文本框 16"/>
                <wp:cNvGraphicFramePr/>
                <a:graphic xmlns:a="http://schemas.openxmlformats.org/drawingml/2006/main">
                  <a:graphicData uri="http://schemas.microsoft.com/office/word/2010/wordprocessingShape">
                    <wps:wsp>
                      <wps:cNvSpPr txBox="1"/>
                      <wps:spPr>
                        <a:xfrm>
                          <a:off x="0" y="0"/>
                          <a:ext cx="7551420" cy="1948180"/>
                        </a:xfrm>
                        <a:prstGeom prst="rect">
                          <a:avLst/>
                        </a:prstGeom>
                        <a:solidFill>
                          <a:srgbClr val="BBE0E3"/>
                        </a:solidFill>
                        <a:ln>
                          <a:noFill/>
                        </a:ln>
                      </wps:spPr>
                      <wps:txbx>
                        <w:txbxContent>
                          <w:p>
                            <w:pPr>
                              <w:spacing w:before="390"/>
                              <w:ind w:left="446" w:right="571"/>
                              <w:jc w:val="center"/>
                              <w:rPr>
                                <w:sz w:val="72"/>
                              </w:rPr>
                            </w:pPr>
                            <w:r>
                              <w:rPr>
                                <w:sz w:val="72"/>
                              </w:rPr>
                              <w:t>第二部分</w:t>
                            </w:r>
                          </w:p>
                          <w:p>
                            <w:pPr>
                              <w:spacing w:before="325"/>
                              <w:ind w:left="446" w:right="571"/>
                              <w:jc w:val="center"/>
                              <w:rPr>
                                <w:sz w:val="72"/>
                              </w:rPr>
                            </w:pPr>
                            <w:r>
                              <w:rPr>
                                <w:rFonts w:hint="eastAsia" w:asciiTheme="minorEastAsia" w:hAnsiTheme="minorEastAsia"/>
                                <w:sz w:val="72"/>
                              </w:rPr>
                              <w:t>市科技局</w:t>
                            </w:r>
                            <w:r>
                              <w:rPr>
                                <w:sz w:val="72"/>
                              </w:rPr>
                              <w:t xml:space="preserve"> 2016 年度部门决算表</w:t>
                            </w:r>
                          </w:p>
                        </w:txbxContent>
                      </wps:txbx>
                      <wps:bodyPr lIns="0" tIns="0" rIns="0" bIns="0" upright="1"/>
                    </wps:wsp>
                  </a:graphicData>
                </a:graphic>
              </wp:inline>
            </w:drawing>
          </mc:Choice>
          <mc:Fallback>
            <w:pict>
              <v:shape id="文本框 16" o:spid="_x0000_s1026" o:spt="202" type="#_x0000_t202" style="height:153.4pt;width:594.6pt;" fillcolor="#BBE0E3" filled="t" stroked="f" coordsize="21600,21600" o:gfxdata="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HqMm9QAAAAGAQAADwAAAAAAAAABACAAAAAi&#10;AAAAZHJzL2Rvd25yZXYueG1sUEsBAhQAFAAAAAgAh07iQPcK0HbVAQAAnQMAAA4AAAAAAAAAAQAg&#10;AAAAIwEAAGRycy9lMm9Eb2MueG1sUEsFBgAAAAAGAAYAWQEAAGoFAAAAAA==&#10;">
                <v:fill on="t" focussize="0,0"/>
                <v:stroke on="f"/>
                <v:imagedata o:title=""/>
                <o:lock v:ext="edit" aspectratio="f"/>
                <v:textbox inset="0mm,0mm,0mm,0mm">
                  <w:txbxContent>
                    <w:p>
                      <w:pPr>
                        <w:spacing w:before="390"/>
                        <w:ind w:left="446" w:right="571"/>
                        <w:jc w:val="center"/>
                        <w:rPr>
                          <w:sz w:val="72"/>
                        </w:rPr>
                      </w:pPr>
                      <w:r>
                        <w:rPr>
                          <w:sz w:val="72"/>
                        </w:rPr>
                        <w:t>第二部分</w:t>
                      </w:r>
                    </w:p>
                    <w:p>
                      <w:pPr>
                        <w:spacing w:before="325"/>
                        <w:ind w:left="446" w:right="571"/>
                        <w:jc w:val="center"/>
                        <w:rPr>
                          <w:sz w:val="72"/>
                        </w:rPr>
                      </w:pPr>
                      <w:r>
                        <w:rPr>
                          <w:rFonts w:hint="eastAsia" w:asciiTheme="minorEastAsia" w:hAnsiTheme="minorEastAsia"/>
                          <w:sz w:val="72"/>
                        </w:rPr>
                        <w:t>市科技局</w:t>
                      </w:r>
                      <w:r>
                        <w:rPr>
                          <w:sz w:val="72"/>
                        </w:rPr>
                        <w:t xml:space="preserve"> 2016 年度部门决算表</w:t>
                      </w:r>
                    </w:p>
                  </w:txbxContent>
                </v:textbox>
                <w10:wrap type="none"/>
                <w10:anchorlock/>
              </v:shape>
            </w:pict>
          </mc:Fallback>
        </mc:AlternateContent>
      </w:r>
    </w:p>
    <w:p>
      <w:pPr>
        <w:rPr>
          <w:rFonts w:ascii="Times New Roman"/>
          <w:sz w:val="20"/>
        </w:rPr>
        <w:sectPr>
          <w:headerReference r:id="rId11" w:type="default"/>
          <w:pgSz w:w="11910" w:h="16840"/>
          <w:pgMar w:top="1580" w:right="0" w:bottom="1160" w:left="0" w:header="0" w:footer="972" w:gutter="0"/>
          <w:pgNumType w:start="2"/>
          <w:cols w:space="720" w:num="1"/>
        </w:sectPr>
      </w:pPr>
    </w:p>
    <w:p>
      <w:pPr>
        <w:pStyle w:val="2"/>
        <w:ind w:left="1341"/>
        <w:rPr>
          <w:rFonts w:ascii="Times New Roman"/>
          <w:sz w:val="20"/>
        </w:rPr>
      </w:pPr>
    </w:p>
    <w:p>
      <w:pPr>
        <w:pStyle w:val="2"/>
        <w:spacing w:before="2"/>
        <w:rPr>
          <w:rFonts w:ascii="Times New Roman"/>
          <w:sz w:val="14"/>
        </w:rPr>
      </w:pPr>
    </w:p>
    <w:p>
      <w:pPr>
        <w:rPr>
          <w:sz w:val="16"/>
        </w:rPr>
        <w:sectPr>
          <w:headerReference r:id="rId12" w:type="default"/>
          <w:pgSz w:w="11910" w:h="16840"/>
          <w:pgMar w:top="1580" w:right="220" w:bottom="280" w:left="240" w:header="720" w:footer="720" w:gutter="0"/>
          <w:cols w:space="720" w:num="1"/>
        </w:sectPr>
      </w:pPr>
      <w:r>
        <w:rPr>
          <w:rFonts w:hint="eastAsia"/>
        </w:rPr>
        <w:drawing>
          <wp:inline distT="0" distB="0" distL="0" distR="0">
            <wp:extent cx="7274560" cy="5812155"/>
            <wp:effectExtent l="19050" t="0" r="2078" b="0"/>
            <wp:docPr id="6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2"/>
                    <pic:cNvPicPr>
                      <a:picLocks noChangeAspect="1" noChangeArrowheads="1"/>
                    </pic:cNvPicPr>
                  </pic:nvPicPr>
                  <pic:blipFill>
                    <a:blip r:embed="rId17" cstate="print"/>
                    <a:srcRect/>
                    <a:stretch>
                      <a:fillRect/>
                    </a:stretch>
                  </pic:blipFill>
                  <pic:spPr>
                    <a:xfrm>
                      <a:off x="0" y="0"/>
                      <a:ext cx="7271875" cy="5809889"/>
                    </a:xfrm>
                    <a:prstGeom prst="rect">
                      <a:avLst/>
                    </a:prstGeom>
                    <a:noFill/>
                    <a:ln w="9525">
                      <a:noFill/>
                      <a:miter lim="800000"/>
                      <a:headEnd/>
                      <a:tailEnd/>
                    </a:ln>
                  </pic:spPr>
                </pic:pic>
              </a:graphicData>
            </a:graphic>
          </wp:inline>
        </w:drawing>
      </w:r>
    </w:p>
    <w:p>
      <w:pPr>
        <w:pStyle w:val="2"/>
        <w:spacing w:before="7"/>
        <w:rPr>
          <w:sz w:val="16"/>
        </w:rPr>
      </w:pPr>
    </w:p>
    <w:p>
      <w:pPr>
        <w:rPr>
          <w:sz w:val="18"/>
        </w:rPr>
        <w:sectPr>
          <w:headerReference r:id="rId13" w:type="default"/>
          <w:type w:val="continuous"/>
          <w:pgSz w:w="11910" w:h="16840"/>
          <w:pgMar w:top="1580" w:right="220" w:bottom="280" w:left="240" w:header="720" w:footer="720" w:gutter="0"/>
          <w:cols w:space="720" w:num="1"/>
        </w:sectPr>
      </w:pPr>
      <w:bookmarkStart w:id="0" w:name="02"/>
      <w:bookmarkEnd w:id="0"/>
      <w:r>
        <w:drawing>
          <wp:inline distT="0" distB="0" distL="0" distR="0">
            <wp:extent cx="7270750" cy="7345680"/>
            <wp:effectExtent l="19050" t="0" r="6350" b="0"/>
            <wp:docPr id="6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3"/>
                    <pic:cNvPicPr>
                      <a:picLocks noChangeAspect="1" noChangeArrowheads="1"/>
                    </pic:cNvPicPr>
                  </pic:nvPicPr>
                  <pic:blipFill>
                    <a:blip r:embed="rId18" cstate="print"/>
                    <a:srcRect/>
                    <a:stretch>
                      <a:fillRect/>
                    </a:stretch>
                  </pic:blipFill>
                  <pic:spPr>
                    <a:xfrm>
                      <a:off x="0" y="0"/>
                      <a:ext cx="7270750" cy="7346284"/>
                    </a:xfrm>
                    <a:prstGeom prst="rect">
                      <a:avLst/>
                    </a:prstGeom>
                    <a:noFill/>
                    <a:ln w="9525">
                      <a:noFill/>
                      <a:miter lim="800000"/>
                      <a:headEnd/>
                      <a:tailEnd/>
                    </a:ln>
                  </pic:spPr>
                </pic:pic>
              </a:graphicData>
            </a:graphic>
          </wp:inline>
        </w:drawing>
      </w:r>
    </w:p>
    <w:p>
      <w:pPr>
        <w:pStyle w:val="2"/>
        <w:spacing w:before="10"/>
        <w:rPr>
          <w:sz w:val="15"/>
        </w:rPr>
      </w:pPr>
    </w:p>
    <w:p>
      <w:pPr>
        <w:rPr>
          <w:sz w:val="18"/>
        </w:rPr>
        <w:sectPr>
          <w:type w:val="continuous"/>
          <w:pgSz w:w="11910" w:h="16840"/>
          <w:pgMar w:top="1580" w:right="220" w:bottom="280" w:left="240" w:header="720" w:footer="720" w:gutter="0"/>
          <w:cols w:space="720" w:num="1"/>
        </w:sectPr>
      </w:pPr>
      <w:bookmarkStart w:id="1" w:name="03"/>
      <w:bookmarkEnd w:id="1"/>
      <w:r>
        <w:drawing>
          <wp:inline distT="0" distB="0" distL="0" distR="0">
            <wp:extent cx="7270750" cy="6899910"/>
            <wp:effectExtent l="19050" t="0" r="6350" b="0"/>
            <wp:docPr id="7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4"/>
                    <pic:cNvPicPr>
                      <a:picLocks noChangeAspect="1" noChangeArrowheads="1"/>
                    </pic:cNvPicPr>
                  </pic:nvPicPr>
                  <pic:blipFill>
                    <a:blip r:embed="rId19" cstate="print"/>
                    <a:srcRect/>
                    <a:stretch>
                      <a:fillRect/>
                    </a:stretch>
                  </pic:blipFill>
                  <pic:spPr>
                    <a:xfrm>
                      <a:off x="0" y="0"/>
                      <a:ext cx="7270750" cy="6900090"/>
                    </a:xfrm>
                    <a:prstGeom prst="rect">
                      <a:avLst/>
                    </a:prstGeom>
                    <a:noFill/>
                    <a:ln w="9525">
                      <a:noFill/>
                      <a:miter lim="800000"/>
                      <a:headEnd/>
                      <a:tailEnd/>
                    </a:ln>
                  </pic:spPr>
                </pic:pic>
              </a:graphicData>
            </a:graphic>
          </wp:inline>
        </w:drawing>
      </w:r>
    </w:p>
    <w:p>
      <w:pPr>
        <w:rPr>
          <w:sz w:val="15"/>
        </w:rPr>
        <w:sectPr>
          <w:pgSz w:w="11910" w:h="16840"/>
          <w:pgMar w:top="1420" w:right="220" w:bottom="920" w:left="240" w:header="735" w:footer="739" w:gutter="0"/>
          <w:cols w:space="720" w:num="1"/>
        </w:sectPr>
      </w:pPr>
    </w:p>
    <w:p>
      <w:pPr>
        <w:spacing w:before="86"/>
        <w:ind w:left="155"/>
        <w:rPr>
          <w:sz w:val="16"/>
        </w:rPr>
        <w:sectPr>
          <w:type w:val="continuous"/>
          <w:pgSz w:w="11910" w:h="16840"/>
          <w:pgMar w:top="1580" w:right="220" w:bottom="280" w:left="240" w:header="720" w:footer="720" w:gutter="0"/>
          <w:cols w:space="720" w:num="1"/>
        </w:sectPr>
      </w:pPr>
      <w:bookmarkStart w:id="2" w:name="04"/>
      <w:bookmarkEnd w:id="2"/>
      <w:r>
        <w:drawing>
          <wp:inline distT="0" distB="0" distL="0" distR="0">
            <wp:extent cx="7270750" cy="5715000"/>
            <wp:effectExtent l="19050" t="0" r="6350" b="0"/>
            <wp:docPr id="7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
                    <pic:cNvPicPr>
                      <a:picLocks noChangeAspect="1" noChangeArrowheads="1"/>
                    </pic:cNvPicPr>
                  </pic:nvPicPr>
                  <pic:blipFill>
                    <a:blip r:embed="rId20" cstate="print"/>
                    <a:srcRect/>
                    <a:stretch>
                      <a:fillRect/>
                    </a:stretch>
                  </pic:blipFill>
                  <pic:spPr>
                    <a:xfrm>
                      <a:off x="0" y="0"/>
                      <a:ext cx="7270750" cy="5715136"/>
                    </a:xfrm>
                    <a:prstGeom prst="rect">
                      <a:avLst/>
                    </a:prstGeom>
                    <a:noFill/>
                    <a:ln w="9525">
                      <a:noFill/>
                      <a:miter lim="800000"/>
                      <a:headEnd/>
                      <a:tailEnd/>
                    </a:ln>
                  </pic:spPr>
                </pic:pic>
              </a:graphicData>
            </a:graphic>
          </wp:inline>
        </w:drawing>
      </w:r>
    </w:p>
    <w:p>
      <w:pPr>
        <w:rPr>
          <w:sz w:val="17"/>
        </w:rPr>
        <w:sectPr>
          <w:type w:val="continuous"/>
          <w:pgSz w:w="11910" w:h="16840"/>
          <w:pgMar w:top="1440" w:right="249" w:bottom="941" w:left="238" w:header="737" w:footer="737" w:gutter="0"/>
          <w:cols w:space="720" w:num="1"/>
        </w:sectPr>
      </w:pPr>
    </w:p>
    <w:p>
      <w:pPr>
        <w:rPr>
          <w:sz w:val="16"/>
        </w:rPr>
        <w:sectPr>
          <w:type w:val="continuous"/>
          <w:pgSz w:w="11910" w:h="16840"/>
          <w:pgMar w:top="1580" w:right="220" w:bottom="280" w:left="240" w:header="720" w:footer="720" w:gutter="0"/>
          <w:cols w:space="720" w:num="1"/>
        </w:sectPr>
      </w:pPr>
      <w:bookmarkStart w:id="3" w:name="05"/>
      <w:bookmarkEnd w:id="3"/>
      <w:r>
        <w:drawing>
          <wp:inline distT="0" distB="0" distL="0" distR="0">
            <wp:extent cx="7270750" cy="7791450"/>
            <wp:effectExtent l="19050" t="0" r="6350" b="0"/>
            <wp:docPr id="7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6"/>
                    <pic:cNvPicPr>
                      <a:picLocks noChangeAspect="1" noChangeArrowheads="1"/>
                    </pic:cNvPicPr>
                  </pic:nvPicPr>
                  <pic:blipFill>
                    <a:blip r:embed="rId21" cstate="print"/>
                    <a:srcRect/>
                    <a:stretch>
                      <a:fillRect/>
                    </a:stretch>
                  </pic:blipFill>
                  <pic:spPr>
                    <a:xfrm>
                      <a:off x="0" y="0"/>
                      <a:ext cx="7270750" cy="7791778"/>
                    </a:xfrm>
                    <a:prstGeom prst="rect">
                      <a:avLst/>
                    </a:prstGeom>
                    <a:noFill/>
                    <a:ln w="9525">
                      <a:noFill/>
                      <a:miter lim="800000"/>
                      <a:headEnd/>
                      <a:tailEnd/>
                    </a:ln>
                  </pic:spPr>
                </pic:pic>
              </a:graphicData>
            </a:graphic>
          </wp:inline>
        </w:drawing>
      </w:r>
    </w:p>
    <w:p>
      <w:pPr>
        <w:rPr>
          <w:sz w:val="17"/>
        </w:rPr>
        <w:sectPr>
          <w:type w:val="continuous"/>
          <w:pgSz w:w="11910" w:h="16840"/>
          <w:pgMar w:top="1440" w:right="249" w:bottom="941" w:left="238" w:header="737" w:footer="737" w:gutter="0"/>
          <w:cols w:space="720" w:num="1"/>
        </w:sectPr>
      </w:pPr>
    </w:p>
    <w:p>
      <w:pPr>
        <w:rPr>
          <w:sz w:val="16"/>
        </w:rPr>
        <w:sectPr>
          <w:type w:val="continuous"/>
          <w:pgSz w:w="11910" w:h="16840"/>
          <w:pgMar w:top="1580" w:right="220" w:bottom="280" w:left="240" w:header="720" w:footer="720" w:gutter="0"/>
          <w:cols w:space="720" w:num="1"/>
        </w:sectPr>
      </w:pPr>
      <w:bookmarkStart w:id="4" w:name="06_(调整格式后)"/>
      <w:bookmarkEnd w:id="4"/>
      <w:r>
        <w:drawing>
          <wp:inline distT="0" distB="0" distL="0" distR="0">
            <wp:extent cx="7270750" cy="5982970"/>
            <wp:effectExtent l="19050" t="0" r="6350" b="0"/>
            <wp:docPr id="7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7"/>
                    <pic:cNvPicPr>
                      <a:picLocks noChangeAspect="1" noChangeArrowheads="1"/>
                    </pic:cNvPicPr>
                  </pic:nvPicPr>
                  <pic:blipFill>
                    <a:blip r:embed="rId22" cstate="print"/>
                    <a:srcRect/>
                    <a:stretch>
                      <a:fillRect/>
                    </a:stretch>
                  </pic:blipFill>
                  <pic:spPr>
                    <a:xfrm>
                      <a:off x="0" y="0"/>
                      <a:ext cx="7270750" cy="5983221"/>
                    </a:xfrm>
                    <a:prstGeom prst="rect">
                      <a:avLst/>
                    </a:prstGeom>
                    <a:noFill/>
                    <a:ln w="9525">
                      <a:noFill/>
                      <a:miter lim="800000"/>
                      <a:headEnd/>
                      <a:tailEnd/>
                    </a:ln>
                  </pic:spPr>
                </pic:pic>
              </a:graphicData>
            </a:graphic>
          </wp:inline>
        </w:drawing>
      </w:r>
    </w:p>
    <w:p>
      <w:pPr>
        <w:sectPr>
          <w:pgSz w:w="11910" w:h="16840"/>
          <w:pgMar w:top="1440" w:right="220" w:bottom="940" w:left="240" w:header="735" w:footer="739" w:gutter="0"/>
          <w:cols w:space="720" w:num="1"/>
        </w:sectPr>
      </w:pPr>
    </w:p>
    <w:p>
      <w:pPr>
        <w:spacing w:line="230" w:lineRule="auto"/>
        <w:rPr>
          <w:sz w:val="18"/>
        </w:rPr>
        <w:sectPr>
          <w:type w:val="continuous"/>
          <w:pgSz w:w="11910" w:h="16840"/>
          <w:pgMar w:top="1580" w:right="220" w:bottom="280" w:left="240" w:header="720" w:footer="720" w:gutter="0"/>
          <w:cols w:space="720" w:num="1"/>
        </w:sectPr>
      </w:pPr>
      <w:bookmarkStart w:id="5" w:name="07"/>
      <w:bookmarkEnd w:id="5"/>
      <w:r>
        <w:drawing>
          <wp:inline distT="0" distB="0" distL="0" distR="0">
            <wp:extent cx="7270750" cy="2584450"/>
            <wp:effectExtent l="1905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srcRect/>
                    <a:stretch>
                      <a:fillRect/>
                    </a:stretch>
                  </pic:blipFill>
                  <pic:spPr>
                    <a:xfrm>
                      <a:off x="0" y="0"/>
                      <a:ext cx="7270750" cy="2584923"/>
                    </a:xfrm>
                    <a:prstGeom prst="rect">
                      <a:avLst/>
                    </a:prstGeom>
                    <a:noFill/>
                    <a:ln w="9525">
                      <a:noFill/>
                      <a:miter lim="800000"/>
                      <a:headEnd/>
                      <a:tailEnd/>
                    </a:ln>
                  </pic:spPr>
                </pic:pic>
              </a:graphicData>
            </a:graphic>
          </wp:inline>
        </w:drawing>
      </w:r>
    </w:p>
    <w:p>
      <w:pPr>
        <w:rPr>
          <w:sz w:val="17"/>
        </w:rPr>
        <w:sectPr>
          <w:pgSz w:w="11910" w:h="16840"/>
          <w:pgMar w:top="1440" w:right="220" w:bottom="940" w:left="240" w:header="735" w:footer="739" w:gutter="0"/>
          <w:cols w:space="720" w:num="1"/>
        </w:sectPr>
      </w:pPr>
    </w:p>
    <w:p>
      <w:pPr>
        <w:pStyle w:val="2"/>
        <w:spacing w:before="5"/>
        <w:rPr>
          <w:sz w:val="24"/>
          <w:lang w:eastAsia="zh-CN"/>
        </w:rPr>
      </w:pPr>
      <w:bookmarkStart w:id="6" w:name="08"/>
      <w:bookmarkEnd w:id="6"/>
      <w:r>
        <w:rPr>
          <w:szCs w:val="22"/>
          <w:lang w:eastAsia="zh-CN"/>
        </w:rPr>
        <w:drawing>
          <wp:inline distT="0" distB="0" distL="0" distR="0">
            <wp:extent cx="7270750" cy="3594100"/>
            <wp:effectExtent l="19050" t="0" r="6350" b="0"/>
            <wp:docPr id="8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9"/>
                    <pic:cNvPicPr>
                      <a:picLocks noChangeAspect="1" noChangeArrowheads="1"/>
                    </pic:cNvPicPr>
                  </pic:nvPicPr>
                  <pic:blipFill>
                    <a:blip r:embed="rId24" cstate="print"/>
                    <a:srcRect/>
                    <a:stretch>
                      <a:fillRect/>
                    </a:stretch>
                  </pic:blipFill>
                  <pic:spPr>
                    <a:xfrm>
                      <a:off x="0" y="0"/>
                      <a:ext cx="7270750" cy="3594262"/>
                    </a:xfrm>
                    <a:prstGeom prst="rect">
                      <a:avLst/>
                    </a:prstGeom>
                    <a:noFill/>
                    <a:ln w="9525">
                      <a:noFill/>
                      <a:miter lim="800000"/>
                      <a:headEnd/>
                      <a:tailEnd/>
                    </a:ln>
                  </pic:spPr>
                </pic:pic>
              </a:graphicData>
            </a:graphic>
          </wp:inline>
        </w:drawing>
      </w:r>
    </w:p>
    <w:p>
      <w:pPr>
        <w:spacing w:before="75"/>
        <w:ind w:left="1255"/>
        <w:rPr>
          <w:b/>
          <w:sz w:val="18"/>
        </w:rPr>
      </w:pPr>
      <w:r>
        <w:rPr>
          <w:b/>
          <w:sz w:val="18"/>
        </w:rPr>
        <w:t>说明：</w:t>
      </w:r>
      <w:r>
        <w:rPr>
          <w:rFonts w:hint="eastAsia"/>
          <w:b/>
          <w:sz w:val="18"/>
        </w:rPr>
        <w:t>市科技部门</w:t>
      </w:r>
      <w:r>
        <w:rPr>
          <w:b/>
          <w:sz w:val="18"/>
        </w:rPr>
        <w:t>没有政府性基金收入，也没有使用政府性基金安排的支出，故本表无数据。</w:t>
      </w:r>
    </w:p>
    <w:p>
      <w:pPr>
        <w:rPr>
          <w:sz w:val="18"/>
        </w:rPr>
        <w:sectPr>
          <w:type w:val="continuous"/>
          <w:pgSz w:w="11910" w:h="16840"/>
          <w:pgMar w:top="1580" w:right="220" w:bottom="280" w:left="240" w:header="720" w:footer="720" w:gutter="0"/>
          <w:cols w:space="720" w:num="1"/>
        </w:sectPr>
      </w:pPr>
    </w:p>
    <w:p>
      <w:pPr>
        <w:pStyle w:val="2"/>
        <w:rPr>
          <w:rFonts w:ascii="Times New Roman"/>
          <w:sz w:val="20"/>
          <w:lang w:eastAsia="zh-CN"/>
        </w:rPr>
      </w:pPr>
      <w: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3612515</wp:posOffset>
                </wp:positionV>
                <wp:extent cx="7560310" cy="1858645"/>
                <wp:effectExtent l="5080" t="4445" r="16510" b="22860"/>
                <wp:wrapNone/>
                <wp:docPr id="10" name="矩形 13"/>
                <wp:cNvGraphicFramePr/>
                <a:graphic xmlns:a="http://schemas.openxmlformats.org/drawingml/2006/main">
                  <a:graphicData uri="http://schemas.microsoft.com/office/word/2010/wordprocessingShape">
                    <wps:wsp>
                      <wps:cNvSpPr/>
                      <wps:spPr>
                        <a:xfrm>
                          <a:off x="0" y="0"/>
                          <a:ext cx="7560310" cy="185864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3" o:spid="_x0000_s1026" o:spt="1" style="position:absolute;left:0pt;margin-left:0pt;margin-top:284.45pt;height:146.35pt;width:595.3pt;mso-position-horizontal-relative:page;mso-position-vertical-relative:page;z-index:-251654144;mso-width-relative:page;mso-height-relative:page;" filled="f" stroked="t" coordsize="21600,21600" o:gfxdata="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Cm+yLXAAAACQEAAA8AAAAAAAAAAQAgAAAAIgAAAGRycy9kb3ducmV2LnhtbFBL&#10;AQIUABQAAAAIAIdO4kA86rPN9wEAAPgDAAAOAAAAAAAAAAEAIAAAACYBAABkcnMvZTJvRG9jLnht&#10;bFBLBQYAAAAABgAGAFkBAACPBQAAAAA=&#10;">
                <v:fill on="f" focussize="0,0"/>
                <v:stroke color="#000000" joinstyle="miter"/>
                <v:imagedata o:title=""/>
                <o:lock v:ext="edit" aspectratio="f"/>
              </v:rect>
            </w:pict>
          </mc:Fallback>
        </mc:AlternateContent>
      </w: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rPr>
          <w:rFonts w:ascii="Times New Roman"/>
          <w:sz w:val="20"/>
          <w:lang w:eastAsia="zh-CN"/>
        </w:rPr>
      </w:pPr>
    </w:p>
    <w:p>
      <w:pPr>
        <w:pStyle w:val="2"/>
        <w:spacing w:before="4"/>
        <w:rPr>
          <w:rFonts w:ascii="Times New Roman"/>
          <w:sz w:val="16"/>
          <w:lang w:eastAsia="zh-CN"/>
        </w:rPr>
      </w:pPr>
    </w:p>
    <w:p>
      <w:pPr>
        <w:pStyle w:val="2"/>
        <w:ind w:left="7" w:right="-37"/>
        <w:rPr>
          <w:rFonts w:hint="eastAsia" w:ascii="Times New Roman" w:eastAsiaTheme="minorEastAsia"/>
          <w:sz w:val="20"/>
          <w:lang w:eastAsia="zh-CN"/>
        </w:rPr>
      </w:pPr>
      <w:r>
        <w:rPr>
          <w:rFonts w:ascii="Times New Roman"/>
          <w:sz w:val="20"/>
        </w:rPr>
        <mc:AlternateContent>
          <mc:Choice Requires="wps">
            <w:drawing>
              <wp:inline distT="0" distB="0" distL="114300" distR="114300">
                <wp:extent cx="7551420" cy="1865630"/>
                <wp:effectExtent l="0" t="0" r="11430" b="1270"/>
                <wp:docPr id="7" name="文本框 15"/>
                <wp:cNvGraphicFramePr/>
                <a:graphic xmlns:a="http://schemas.openxmlformats.org/drawingml/2006/main">
                  <a:graphicData uri="http://schemas.microsoft.com/office/word/2010/wordprocessingShape">
                    <wps:wsp>
                      <wps:cNvSpPr txBox="1"/>
                      <wps:spPr>
                        <a:xfrm>
                          <a:off x="0" y="0"/>
                          <a:ext cx="7551420" cy="1865630"/>
                        </a:xfrm>
                        <a:prstGeom prst="rect">
                          <a:avLst/>
                        </a:prstGeom>
                        <a:solidFill>
                          <a:srgbClr val="BBE0E3"/>
                        </a:solidFill>
                        <a:ln>
                          <a:noFill/>
                        </a:ln>
                      </wps:spPr>
                      <wps:txbx>
                        <w:txbxContent>
                          <w:p>
                            <w:pPr>
                              <w:spacing w:before="390"/>
                              <w:ind w:left="440" w:right="590"/>
                              <w:jc w:val="center"/>
                              <w:rPr>
                                <w:sz w:val="72"/>
                              </w:rPr>
                            </w:pPr>
                            <w:r>
                              <w:rPr>
                                <w:sz w:val="72"/>
                              </w:rPr>
                              <w:t>第三部分</w:t>
                            </w:r>
                          </w:p>
                          <w:p>
                            <w:pPr>
                              <w:spacing w:before="340"/>
                              <w:ind w:right="590"/>
                              <w:rPr>
                                <w:sz w:val="70"/>
                              </w:rPr>
                            </w:pPr>
                            <w:r>
                              <w:rPr>
                                <w:rFonts w:hint="eastAsia"/>
                                <w:spacing w:val="-44"/>
                                <w:sz w:val="70"/>
                              </w:rPr>
                              <w:t>市科技局</w:t>
                            </w:r>
                            <w:r>
                              <w:rPr>
                                <w:spacing w:val="-44"/>
                                <w:sz w:val="70"/>
                              </w:rPr>
                              <w:t xml:space="preserve"> </w:t>
                            </w:r>
                            <w:r>
                              <w:rPr>
                                <w:sz w:val="70"/>
                              </w:rPr>
                              <w:t>2016</w:t>
                            </w:r>
                            <w:r>
                              <w:rPr>
                                <w:spacing w:val="-19"/>
                                <w:sz w:val="70"/>
                              </w:rPr>
                              <w:t xml:space="preserve"> 年度部门决算情况说明</w:t>
                            </w:r>
                          </w:p>
                        </w:txbxContent>
                      </wps:txbx>
                      <wps:bodyPr lIns="0" tIns="0" rIns="0" bIns="0" upright="1"/>
                    </wps:wsp>
                  </a:graphicData>
                </a:graphic>
              </wp:inline>
            </w:drawing>
          </mc:Choice>
          <mc:Fallback>
            <w:pict>
              <v:shape id="文本框 15" o:spid="_x0000_s1026" o:spt="202" type="#_x0000_t202" style="height:146.9pt;width:594.6pt;" fillcolor="#BBE0E3" filled="t" stroked="f" coordsize="21600,21600" o:gfxdata="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dEBh3UAAAABgEAAA8AAAAAAAAAAQAgAAAA&#10;IgAAAGRycy9kb3ducmV2LnhtbFBLAQIUABQAAAAIAIdO4kDRoU5q1gEAAJ0DAAAOAAAAAAAAAAEA&#10;IAAAACMBAABkcnMvZTJvRG9jLnhtbFBLBQYAAAAABgAGAFkBAABrBQAAAAA=&#10;">
                <v:fill on="t" focussize="0,0"/>
                <v:stroke on="f"/>
                <v:imagedata o:title=""/>
                <o:lock v:ext="edit" aspectratio="f"/>
                <v:textbox inset="0mm,0mm,0mm,0mm">
                  <w:txbxContent>
                    <w:p>
                      <w:pPr>
                        <w:spacing w:before="390"/>
                        <w:ind w:left="440" w:right="590"/>
                        <w:jc w:val="center"/>
                        <w:rPr>
                          <w:sz w:val="72"/>
                        </w:rPr>
                      </w:pPr>
                      <w:r>
                        <w:rPr>
                          <w:sz w:val="72"/>
                        </w:rPr>
                        <w:t>第三部分</w:t>
                      </w:r>
                    </w:p>
                    <w:p>
                      <w:pPr>
                        <w:spacing w:before="340"/>
                        <w:ind w:right="590"/>
                        <w:rPr>
                          <w:sz w:val="70"/>
                        </w:rPr>
                      </w:pPr>
                      <w:r>
                        <w:rPr>
                          <w:rFonts w:hint="eastAsia"/>
                          <w:spacing w:val="-44"/>
                          <w:sz w:val="70"/>
                        </w:rPr>
                        <w:t>市科技局</w:t>
                      </w:r>
                      <w:r>
                        <w:rPr>
                          <w:spacing w:val="-44"/>
                          <w:sz w:val="70"/>
                        </w:rPr>
                        <w:t xml:space="preserve"> </w:t>
                      </w:r>
                      <w:r>
                        <w:rPr>
                          <w:sz w:val="70"/>
                        </w:rPr>
                        <w:t>2016</w:t>
                      </w:r>
                      <w:r>
                        <w:rPr>
                          <w:spacing w:val="-19"/>
                          <w:sz w:val="70"/>
                        </w:rPr>
                        <w:t xml:space="preserve"> 年度部门决算情况说明</w:t>
                      </w:r>
                    </w:p>
                  </w:txbxContent>
                </v:textbox>
                <w10:wrap type="none"/>
                <w10:anchorlock/>
              </v:shape>
            </w:pict>
          </mc:Fallback>
        </mc:AlternateContent>
      </w:r>
    </w:p>
    <w:p>
      <w:pPr>
        <w:rPr>
          <w:rFonts w:ascii="Times New Roman"/>
          <w:sz w:val="20"/>
        </w:rPr>
        <w:sectPr>
          <w:headerReference r:id="rId14" w:type="default"/>
          <w:pgSz w:w="11910" w:h="16840"/>
          <w:pgMar w:top="1580" w:right="0" w:bottom="1160" w:left="0" w:header="0" w:footer="972" w:gutter="0"/>
          <w:pgNumType w:start="14"/>
          <w:cols w:space="720" w:num="1"/>
        </w:sectPr>
      </w:pPr>
    </w:p>
    <w:p>
      <w:pPr>
        <w:widowControl/>
        <w:jc w:val="left"/>
        <w:rPr>
          <w:b/>
          <w:sz w:val="32"/>
          <w:szCs w:val="32"/>
        </w:rPr>
      </w:pPr>
    </w:p>
    <w:p>
      <w:pPr>
        <w:rPr>
          <w:b/>
          <w:sz w:val="32"/>
          <w:szCs w:val="32"/>
        </w:rPr>
      </w:pPr>
      <w:r>
        <w:rPr>
          <w:rFonts w:hint="eastAsia"/>
          <w:b/>
          <w:sz w:val="32"/>
          <w:szCs w:val="32"/>
        </w:rPr>
        <w:t>一、关于市科技局2016 年度收入支出决算总体情况说明</w:t>
      </w:r>
    </w:p>
    <w:p>
      <w:pPr>
        <w:ind w:firstLine="600" w:firstLineChars="200"/>
        <w:rPr>
          <w:sz w:val="30"/>
          <w:szCs w:val="30"/>
        </w:rPr>
      </w:pPr>
      <w:r>
        <w:rPr>
          <w:rFonts w:hint="eastAsia"/>
          <w:sz w:val="30"/>
          <w:szCs w:val="30"/>
        </w:rPr>
        <w:t>市科技局 2016 年度收入总计2136.11万元，支出总计1383.82万元。与 2015 年相比，收、支总计各增加409.71万元，增长13.17%。</w:t>
      </w:r>
    </w:p>
    <w:p>
      <w:pPr>
        <w:ind w:firstLine="600" w:firstLineChars="200"/>
        <w:jc w:val="center"/>
        <w:rPr>
          <w:sz w:val="30"/>
          <w:szCs w:val="30"/>
        </w:rPr>
      </w:pPr>
    </w:p>
    <w:p>
      <w:pPr>
        <w:ind w:firstLine="600" w:firstLineChars="200"/>
        <w:jc w:val="center"/>
        <w:rPr>
          <w:sz w:val="30"/>
          <w:szCs w:val="30"/>
        </w:rPr>
      </w:pPr>
      <w:r>
        <w:rPr>
          <w:rFonts w:hint="eastAsia"/>
          <w:sz w:val="30"/>
          <w:szCs w:val="30"/>
        </w:rPr>
        <w:t>图1：收、支决算总计变动情况</w:t>
      </w:r>
    </w:p>
    <w:p>
      <w:pPr>
        <w:jc w:val="center"/>
        <w:rPr>
          <w:sz w:val="30"/>
          <w:szCs w:val="30"/>
        </w:rPr>
      </w:pPr>
      <w:r>
        <w:rPr>
          <w:rFonts w:hint="eastAsia"/>
          <w:sz w:val="30"/>
          <w:szCs w:val="30"/>
        </w:rPr>
        <w:t>（单位：万元）</w:t>
      </w:r>
    </w:p>
    <w:p>
      <w:pPr>
        <w:jc w:val="center"/>
        <w:rPr>
          <w:sz w:val="30"/>
          <w:szCs w:val="30"/>
        </w:rPr>
      </w:pPr>
      <w:r>
        <w:rPr>
          <w:rFonts w:hint="eastAsia"/>
          <w:sz w:val="30"/>
          <w:szCs w:val="30"/>
        </w:rPr>
        <w:drawing>
          <wp:inline distT="0" distB="0" distL="0" distR="0">
            <wp:extent cx="4806950" cy="2719070"/>
            <wp:effectExtent l="19050" t="0" r="12258" b="4804"/>
            <wp:docPr id="14"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widowControl/>
        <w:jc w:val="left"/>
        <w:rPr>
          <w:sz w:val="30"/>
          <w:szCs w:val="30"/>
        </w:rPr>
      </w:pPr>
      <w:r>
        <w:rPr>
          <w:sz w:val="30"/>
          <w:szCs w:val="30"/>
        </w:rPr>
        <w:br w:type="page"/>
      </w:r>
    </w:p>
    <w:p>
      <w:pPr>
        <w:rPr>
          <w:b/>
          <w:sz w:val="32"/>
          <w:szCs w:val="32"/>
        </w:rPr>
      </w:pPr>
      <w:r>
        <w:rPr>
          <w:rFonts w:hint="eastAsia"/>
          <w:b/>
          <w:sz w:val="32"/>
          <w:szCs w:val="32"/>
        </w:rPr>
        <w:t>二、关于市科技局 2016 年度收入决算情况说明</w:t>
      </w:r>
    </w:p>
    <w:p>
      <w:pPr>
        <w:ind w:firstLine="600" w:firstLineChars="200"/>
        <w:rPr>
          <w:b/>
          <w:sz w:val="32"/>
          <w:szCs w:val="32"/>
        </w:rPr>
      </w:pPr>
      <w:r>
        <w:rPr>
          <w:rFonts w:hint="eastAsia"/>
          <w:sz w:val="30"/>
          <w:szCs w:val="30"/>
        </w:rPr>
        <w:t>本年收入合计2136.11 万元，其中：财政拨款收入2095.04万元，占98.08%；上级补助收入25.97万元，占1.22%，其他收入15.10万元，占0.70%。</w:t>
      </w:r>
    </w:p>
    <w:p>
      <w:pPr>
        <w:jc w:val="center"/>
        <w:rPr>
          <w:sz w:val="30"/>
          <w:szCs w:val="30"/>
        </w:rPr>
      </w:pPr>
    </w:p>
    <w:p>
      <w:pPr>
        <w:jc w:val="center"/>
        <w:rPr>
          <w:sz w:val="30"/>
          <w:szCs w:val="30"/>
        </w:rPr>
      </w:pPr>
      <w:r>
        <w:rPr>
          <w:rFonts w:hint="eastAsia"/>
          <w:sz w:val="30"/>
          <w:szCs w:val="30"/>
        </w:rPr>
        <w:t>图2：收入决算</w:t>
      </w:r>
    </w:p>
    <w:p>
      <w:pPr>
        <w:rPr>
          <w:sz w:val="30"/>
          <w:szCs w:val="30"/>
        </w:rPr>
      </w:pPr>
      <w:r>
        <w:rPr>
          <w:sz w:val="30"/>
          <w:szCs w:val="30"/>
        </w:rPr>
        <w:drawing>
          <wp:inline distT="0" distB="0" distL="0" distR="0">
            <wp:extent cx="5391150" cy="3095625"/>
            <wp:effectExtent l="0" t="0" r="0" b="0"/>
            <wp:docPr id="15"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widowControl/>
        <w:jc w:val="left"/>
        <w:rPr>
          <w:sz w:val="30"/>
          <w:szCs w:val="30"/>
        </w:rPr>
      </w:pPr>
      <w:r>
        <w:rPr>
          <w:sz w:val="30"/>
          <w:szCs w:val="30"/>
        </w:rPr>
        <w:br w:type="page"/>
      </w:r>
    </w:p>
    <w:p>
      <w:pPr>
        <w:rPr>
          <w:b/>
          <w:sz w:val="32"/>
          <w:szCs w:val="32"/>
        </w:rPr>
      </w:pPr>
      <w:r>
        <w:rPr>
          <w:rFonts w:hint="eastAsia"/>
          <w:b/>
          <w:sz w:val="32"/>
          <w:szCs w:val="32"/>
        </w:rPr>
        <w:t>三、关于市科技局 2016 年度支出决算情况说明</w:t>
      </w:r>
    </w:p>
    <w:p>
      <w:pPr>
        <w:ind w:firstLine="600" w:firstLineChars="200"/>
        <w:rPr>
          <w:sz w:val="30"/>
          <w:szCs w:val="30"/>
        </w:rPr>
      </w:pPr>
      <w:r>
        <w:rPr>
          <w:rFonts w:hint="eastAsia"/>
          <w:sz w:val="30"/>
          <w:szCs w:val="30"/>
        </w:rPr>
        <w:t>本年支出合计 1383.82万元， 其中： 基本支出1008.12万元，占73%；项目支出 375.70万元，占27%。</w:t>
      </w:r>
    </w:p>
    <w:p>
      <w:pPr>
        <w:spacing w:line="484" w:lineRule="exact"/>
        <w:ind w:left="8" w:right="2"/>
        <w:jc w:val="center"/>
        <w:rPr>
          <w:rFonts w:ascii="Microsoft JhengHei"/>
          <w:b/>
          <w:sz w:val="28"/>
        </w:rPr>
      </w:pPr>
    </w:p>
    <w:p>
      <w:pPr>
        <w:ind w:firstLine="600" w:firstLineChars="200"/>
        <w:jc w:val="center"/>
        <w:rPr>
          <w:sz w:val="30"/>
          <w:szCs w:val="30"/>
        </w:rPr>
      </w:pPr>
      <w:r>
        <w:rPr>
          <w:rFonts w:hint="eastAsia"/>
          <w:sz w:val="30"/>
          <w:szCs w:val="30"/>
        </w:rPr>
        <w:t>图3：支出决算</w:t>
      </w:r>
    </w:p>
    <w:p>
      <w:pPr>
        <w:rPr>
          <w:sz w:val="30"/>
          <w:szCs w:val="30"/>
        </w:rPr>
      </w:pPr>
      <w:r>
        <w:rPr>
          <w:sz w:val="30"/>
          <w:szCs w:val="30"/>
        </w:rPr>
        <w:drawing>
          <wp:inline distT="0" distB="0" distL="0" distR="0">
            <wp:extent cx="5457825" cy="3267075"/>
            <wp:effectExtent l="0" t="0" r="0" b="0"/>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widowControl/>
        <w:jc w:val="left"/>
        <w:rPr>
          <w:sz w:val="30"/>
          <w:szCs w:val="30"/>
        </w:rPr>
      </w:pPr>
      <w:r>
        <w:rPr>
          <w:sz w:val="30"/>
          <w:szCs w:val="30"/>
        </w:rPr>
        <w:br w:type="page"/>
      </w:r>
    </w:p>
    <w:p>
      <w:pPr>
        <w:rPr>
          <w:b/>
          <w:sz w:val="32"/>
          <w:szCs w:val="32"/>
        </w:rPr>
      </w:pPr>
      <w:r>
        <w:rPr>
          <w:b/>
          <w:sz w:val="32"/>
          <w:szCs w:val="32"/>
        </w:rPr>
        <w:t>四、</w:t>
      </w:r>
      <w:r>
        <w:rPr>
          <w:rFonts w:hint="eastAsia"/>
          <w:b/>
          <w:sz w:val="32"/>
          <w:szCs w:val="32"/>
        </w:rPr>
        <w:t>关</w:t>
      </w:r>
      <w:r>
        <w:rPr>
          <w:b/>
          <w:sz w:val="32"/>
          <w:szCs w:val="32"/>
        </w:rPr>
        <w:t>于</w:t>
      </w:r>
      <w:r>
        <w:rPr>
          <w:rFonts w:hint="eastAsia"/>
          <w:b/>
          <w:sz w:val="32"/>
          <w:szCs w:val="32"/>
        </w:rPr>
        <w:t>市科技局</w:t>
      </w:r>
      <w:r>
        <w:rPr>
          <w:b/>
          <w:sz w:val="32"/>
          <w:szCs w:val="32"/>
        </w:rPr>
        <w:t xml:space="preserve"> 2016 年度财政拨款收入支出决算总体情</w:t>
      </w:r>
    </w:p>
    <w:p>
      <w:pPr>
        <w:rPr>
          <w:b/>
          <w:sz w:val="32"/>
          <w:szCs w:val="32"/>
        </w:rPr>
      </w:pPr>
      <w:r>
        <w:rPr>
          <w:rFonts w:hint="eastAsia"/>
          <w:b/>
          <w:sz w:val="32"/>
          <w:szCs w:val="32"/>
        </w:rPr>
        <w:t>况说明</w:t>
      </w:r>
    </w:p>
    <w:p>
      <w:pPr>
        <w:pStyle w:val="2"/>
        <w:ind w:firstLine="640" w:firstLineChars="200"/>
        <w:rPr>
          <w:rFonts w:asciiTheme="minorEastAsia" w:hAnsiTheme="minorEastAsia" w:eastAsiaTheme="minorEastAsia"/>
          <w:lang w:eastAsia="zh-CN"/>
        </w:rPr>
      </w:pPr>
      <w:r>
        <w:rPr>
          <w:rFonts w:hint="eastAsia" w:asciiTheme="minorEastAsia" w:hAnsiTheme="minorEastAsia" w:eastAsiaTheme="minorEastAsia"/>
          <w:lang w:eastAsia="zh-CN"/>
        </w:rPr>
        <w:t>市科技局</w:t>
      </w:r>
      <w:r>
        <w:rPr>
          <w:rFonts w:asciiTheme="minorEastAsia" w:hAnsiTheme="minorEastAsia" w:eastAsiaTheme="minorEastAsia"/>
          <w:lang w:eastAsia="zh-CN"/>
        </w:rPr>
        <w:t xml:space="preserve"> 2016 </w:t>
      </w:r>
      <w:r>
        <w:rPr>
          <w:rFonts w:hint="eastAsia" w:cs="宋体" w:asciiTheme="minorEastAsia" w:hAnsiTheme="minorEastAsia" w:eastAsiaTheme="minorEastAsia"/>
          <w:lang w:eastAsia="zh-CN"/>
        </w:rPr>
        <w:t>年度财政拨款收、支总决算</w:t>
      </w:r>
      <w:r>
        <w:rPr>
          <w:rFonts w:hint="eastAsia" w:asciiTheme="minorEastAsia" w:hAnsiTheme="minorEastAsia" w:eastAsiaTheme="minorEastAsia"/>
          <w:lang w:eastAsia="zh-CN"/>
        </w:rPr>
        <w:t>3540.94</w:t>
      </w:r>
      <w:r>
        <w:rPr>
          <w:rFonts w:hint="eastAsia" w:cs="宋体" w:asciiTheme="minorEastAsia" w:hAnsiTheme="minorEastAsia" w:eastAsiaTheme="minorEastAsia"/>
          <w:lang w:eastAsia="zh-CN"/>
        </w:rPr>
        <w:t>万元。与</w:t>
      </w:r>
      <w:r>
        <w:rPr>
          <w:rFonts w:asciiTheme="minorEastAsia" w:hAnsiTheme="minorEastAsia" w:eastAsiaTheme="minorEastAsia"/>
          <w:lang w:eastAsia="zh-CN"/>
        </w:rPr>
        <w:t xml:space="preserve"> 2015 </w:t>
      </w:r>
      <w:r>
        <w:rPr>
          <w:rFonts w:hint="eastAsia" w:cs="宋体" w:asciiTheme="minorEastAsia" w:hAnsiTheme="minorEastAsia" w:eastAsiaTheme="minorEastAsia"/>
          <w:lang w:eastAsia="zh-CN"/>
        </w:rPr>
        <w:t>年相比，财政拨款收、支总计各</w:t>
      </w:r>
      <w:r>
        <w:rPr>
          <w:rFonts w:hint="eastAsia" w:asciiTheme="minorEastAsia" w:hAnsiTheme="minorEastAsia" w:eastAsiaTheme="minorEastAsia"/>
          <w:lang w:eastAsia="zh-CN"/>
        </w:rPr>
        <w:t>增加607.92</w:t>
      </w:r>
      <w:r>
        <w:rPr>
          <w:rFonts w:hint="eastAsia" w:cs="宋体" w:asciiTheme="minorEastAsia" w:hAnsiTheme="minorEastAsia" w:eastAsiaTheme="minorEastAsia"/>
          <w:lang w:eastAsia="zh-CN"/>
        </w:rPr>
        <w:t>万元，</w:t>
      </w:r>
      <w:r>
        <w:rPr>
          <w:rFonts w:hint="eastAsia" w:asciiTheme="minorEastAsia" w:hAnsiTheme="minorEastAsia" w:eastAsiaTheme="minorEastAsia"/>
          <w:lang w:eastAsia="zh-CN"/>
        </w:rPr>
        <w:t>上升</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17.66%。</w:t>
      </w:r>
    </w:p>
    <w:p>
      <w:pPr>
        <w:pStyle w:val="2"/>
        <w:ind w:firstLine="640" w:firstLineChars="200"/>
        <w:rPr>
          <w:rFonts w:hint="eastAsia" w:eastAsiaTheme="minorEastAsia"/>
          <w:lang w:eastAsia="zh-CN"/>
        </w:rPr>
      </w:pPr>
    </w:p>
    <w:p>
      <w:pPr>
        <w:ind w:firstLine="600" w:firstLineChars="200"/>
        <w:jc w:val="center"/>
        <w:rPr>
          <w:sz w:val="30"/>
          <w:szCs w:val="30"/>
        </w:rPr>
      </w:pPr>
      <w:r>
        <w:rPr>
          <w:rFonts w:hint="eastAsia"/>
          <w:sz w:val="30"/>
          <w:szCs w:val="30"/>
        </w:rPr>
        <w:t>图4：财政拨款收、支决算总计变动情况</w:t>
      </w:r>
    </w:p>
    <w:p>
      <w:pPr>
        <w:ind w:firstLine="600" w:firstLineChars="200"/>
        <w:jc w:val="center"/>
        <w:rPr>
          <w:sz w:val="30"/>
          <w:szCs w:val="30"/>
        </w:rPr>
      </w:pPr>
      <w:r>
        <w:rPr>
          <w:rFonts w:hint="eastAsia"/>
          <w:sz w:val="30"/>
          <w:szCs w:val="30"/>
        </w:rPr>
        <w:t>（单位：万元）</w:t>
      </w:r>
    </w:p>
    <w:p>
      <w:pPr>
        <w:rPr>
          <w:sz w:val="30"/>
          <w:szCs w:val="30"/>
        </w:rPr>
      </w:pPr>
      <w:r>
        <w:rPr>
          <w:rFonts w:hint="eastAsia"/>
          <w:sz w:val="30"/>
          <w:szCs w:val="30"/>
        </w:rPr>
        <w:drawing>
          <wp:inline distT="0" distB="0" distL="0" distR="0">
            <wp:extent cx="5099050" cy="2997835"/>
            <wp:effectExtent l="19050" t="0" r="25282" b="0"/>
            <wp:docPr id="19" name="图表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jc w:val="left"/>
        <w:rPr>
          <w:sz w:val="30"/>
          <w:szCs w:val="30"/>
        </w:rPr>
      </w:pPr>
      <w:r>
        <w:rPr>
          <w:sz w:val="30"/>
          <w:szCs w:val="30"/>
        </w:rPr>
        <w:br w:type="page"/>
      </w:r>
    </w:p>
    <w:p>
      <w:pPr>
        <w:rPr>
          <w:sz w:val="30"/>
          <w:szCs w:val="30"/>
        </w:rPr>
      </w:pPr>
      <w:r>
        <w:rPr>
          <w:rFonts w:hint="eastAsia"/>
          <w:b/>
          <w:sz w:val="32"/>
          <w:szCs w:val="32"/>
        </w:rPr>
        <w:t>五、关于市科技局2016 年度一般公共预算财政拨款支出决算情况说明</w:t>
      </w:r>
    </w:p>
    <w:p>
      <w:pPr>
        <w:rPr>
          <w:rFonts w:ascii="文星黑体" w:eastAsia="文星黑体"/>
          <w:sz w:val="30"/>
          <w:szCs w:val="30"/>
        </w:rPr>
      </w:pPr>
      <w:r>
        <w:rPr>
          <w:rFonts w:hint="eastAsia" w:ascii="文星黑体" w:eastAsia="文星黑体"/>
          <w:sz w:val="30"/>
          <w:szCs w:val="30"/>
        </w:rPr>
        <w:t>（一）财政拨款支出决算总体情况。</w:t>
      </w:r>
    </w:p>
    <w:p>
      <w:pPr>
        <w:ind w:firstLine="600" w:firstLineChars="200"/>
        <w:rPr>
          <w:sz w:val="30"/>
          <w:szCs w:val="30"/>
        </w:rPr>
      </w:pPr>
      <w:r>
        <w:rPr>
          <w:rFonts w:hint="eastAsia"/>
          <w:sz w:val="30"/>
          <w:szCs w:val="30"/>
        </w:rPr>
        <w:t>市科技局2016年度财政拨款支出1355.90万元，占本年支出合计的98%；与2015年相比，财政拨款支出减少201.93万元，下降 12.96%。</w:t>
      </w:r>
    </w:p>
    <w:p>
      <w:pPr>
        <w:ind w:firstLine="600" w:firstLineChars="200"/>
        <w:rPr>
          <w:sz w:val="30"/>
          <w:szCs w:val="30"/>
        </w:rPr>
      </w:pPr>
    </w:p>
    <w:p>
      <w:pPr>
        <w:jc w:val="center"/>
        <w:rPr>
          <w:sz w:val="30"/>
          <w:szCs w:val="30"/>
        </w:rPr>
      </w:pPr>
      <w:r>
        <w:rPr>
          <w:rFonts w:hint="eastAsia"/>
          <w:sz w:val="30"/>
          <w:szCs w:val="30"/>
        </w:rPr>
        <w:t>图5：财政拨款支出决算变动情况</w:t>
      </w:r>
    </w:p>
    <w:p>
      <w:pPr>
        <w:jc w:val="center"/>
        <w:rPr>
          <w:sz w:val="30"/>
          <w:szCs w:val="30"/>
        </w:rPr>
      </w:pPr>
      <w:r>
        <w:rPr>
          <w:rFonts w:hint="eastAsia"/>
          <w:sz w:val="30"/>
          <w:szCs w:val="30"/>
        </w:rPr>
        <w:t>（单位：万元）</w:t>
      </w:r>
    </w:p>
    <w:p>
      <w:pPr>
        <w:ind w:firstLine="600" w:firstLineChars="200"/>
        <w:rPr>
          <w:sz w:val="30"/>
          <w:szCs w:val="30"/>
        </w:rPr>
      </w:pPr>
      <w:r>
        <w:rPr>
          <w:sz w:val="30"/>
          <w:szCs w:val="30"/>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widowControl/>
        <w:jc w:val="left"/>
        <w:rPr>
          <w:sz w:val="30"/>
          <w:szCs w:val="30"/>
        </w:rPr>
      </w:pPr>
      <w:r>
        <w:rPr>
          <w:sz w:val="30"/>
          <w:szCs w:val="30"/>
        </w:rPr>
        <w:br w:type="page"/>
      </w:r>
    </w:p>
    <w:p>
      <w:pPr>
        <w:rPr>
          <w:rFonts w:ascii="文星黑体" w:eastAsia="文星黑体"/>
          <w:sz w:val="30"/>
          <w:szCs w:val="30"/>
        </w:rPr>
      </w:pPr>
      <w:r>
        <w:rPr>
          <w:rFonts w:hint="eastAsia" w:ascii="文星黑体" w:eastAsia="文星黑体"/>
          <w:sz w:val="30"/>
          <w:szCs w:val="30"/>
        </w:rPr>
        <w:t>（二）财政拨款支出决算结构情况。</w:t>
      </w:r>
    </w:p>
    <w:p>
      <w:pPr>
        <w:ind w:firstLine="600" w:firstLineChars="200"/>
        <w:rPr>
          <w:sz w:val="30"/>
          <w:szCs w:val="30"/>
        </w:rPr>
      </w:pPr>
      <w:r>
        <w:rPr>
          <w:rFonts w:hint="eastAsia"/>
          <w:sz w:val="30"/>
          <w:szCs w:val="30"/>
        </w:rPr>
        <w:t>市科技局2016年度财政拨款支出1355.90万元，主要用于以下方面：科学技术管理事务支出241.68万元，占18%；技术研究与开发支出275.53万元，占21%；科技条件与服务支出237.59万元，占18%；其他科学技术支出125.70万元，占9%；社会保障和就业支出237.45万元，占18%；医疗卫生与计划生育支出17.63万元，占1%；地震事务支出132.50万元，占9%；住房保障支出87.81万元，占6%。</w:t>
      </w:r>
    </w:p>
    <w:p>
      <w:pPr>
        <w:jc w:val="center"/>
        <w:rPr>
          <w:sz w:val="30"/>
          <w:szCs w:val="30"/>
        </w:rPr>
      </w:pPr>
      <w:r>
        <w:rPr>
          <w:rFonts w:hint="eastAsia"/>
          <w:sz w:val="30"/>
          <w:szCs w:val="30"/>
        </w:rPr>
        <w:t>图6：财政拨款支出决算结构</w:t>
      </w:r>
    </w:p>
    <w:p>
      <w:pPr>
        <w:jc w:val="center"/>
        <w:rPr>
          <w:sz w:val="30"/>
          <w:szCs w:val="30"/>
        </w:rPr>
      </w:pPr>
    </w:p>
    <w:p>
      <w:pPr>
        <w:jc w:val="center"/>
        <w:rPr>
          <w:sz w:val="30"/>
          <w:szCs w:val="30"/>
        </w:rPr>
      </w:pPr>
      <w:r>
        <w:rPr>
          <w:sz w:val="30"/>
          <w:szCs w:val="30"/>
        </w:rPr>
        <w:drawing>
          <wp:inline distT="0" distB="0" distL="0" distR="0">
            <wp:extent cx="5275580" cy="3508375"/>
            <wp:effectExtent l="19050" t="0" r="20261"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widowControl/>
        <w:jc w:val="left"/>
        <w:rPr>
          <w:sz w:val="30"/>
          <w:szCs w:val="30"/>
        </w:rPr>
      </w:pPr>
      <w:r>
        <w:rPr>
          <w:sz w:val="30"/>
          <w:szCs w:val="30"/>
        </w:rPr>
        <w:br w:type="page"/>
      </w:r>
    </w:p>
    <w:p>
      <w:pPr>
        <w:rPr>
          <w:rFonts w:ascii="文星黑体" w:eastAsia="文星黑体"/>
          <w:sz w:val="30"/>
          <w:szCs w:val="30"/>
        </w:rPr>
      </w:pPr>
      <w:r>
        <w:rPr>
          <w:rFonts w:hint="eastAsia" w:ascii="文星黑体" w:eastAsia="文星黑体"/>
          <w:sz w:val="30"/>
          <w:szCs w:val="30"/>
        </w:rPr>
        <w:t>（三）财政拨款支出决算具体情况。</w:t>
      </w:r>
    </w:p>
    <w:p>
      <w:pPr>
        <w:rPr>
          <w:sz w:val="30"/>
          <w:szCs w:val="30"/>
        </w:rPr>
      </w:pPr>
      <w:r>
        <w:rPr>
          <w:rFonts w:hint="eastAsia"/>
          <w:sz w:val="30"/>
          <w:szCs w:val="30"/>
        </w:rPr>
        <w:t>市科技局2016年度财政拨款支出年初预算为1384.73万元，支出决算1355.90万元，完成年初预算的97.92%。</w:t>
      </w:r>
    </w:p>
    <w:p>
      <w:pPr>
        <w:rPr>
          <w:sz w:val="30"/>
          <w:szCs w:val="30"/>
        </w:rPr>
      </w:pPr>
    </w:p>
    <w:p>
      <w:pPr>
        <w:rPr>
          <w:b/>
          <w:sz w:val="32"/>
          <w:szCs w:val="32"/>
        </w:rPr>
      </w:pPr>
      <w:r>
        <w:rPr>
          <w:rFonts w:hint="eastAsia"/>
          <w:b/>
          <w:sz w:val="32"/>
          <w:szCs w:val="32"/>
        </w:rPr>
        <w:t>六、关于市科技局 2016 年度一般公共预算财政拨款基本支</w:t>
      </w:r>
    </w:p>
    <w:p>
      <w:pPr>
        <w:rPr>
          <w:b/>
          <w:sz w:val="32"/>
          <w:szCs w:val="32"/>
        </w:rPr>
      </w:pPr>
      <w:r>
        <w:rPr>
          <w:rFonts w:hint="eastAsia"/>
          <w:b/>
          <w:sz w:val="32"/>
          <w:szCs w:val="32"/>
        </w:rPr>
        <w:t>出决算情况说明</w:t>
      </w:r>
    </w:p>
    <w:p>
      <w:pPr>
        <w:rPr>
          <w:sz w:val="30"/>
          <w:szCs w:val="30"/>
        </w:rPr>
      </w:pPr>
      <w:r>
        <w:rPr>
          <w:rFonts w:hint="eastAsia"/>
          <w:sz w:val="30"/>
          <w:szCs w:val="30"/>
        </w:rPr>
        <w:t>市科技局2016年度财政拨款基本支出980.20万元，其中： 人员经费817.44万元，主要包括：基本工资、津贴补贴、奖金、机关事业单位基本养老保险缴费、离休费、退休费、抚恤金、住房公积金、物业服务补贴支出等；公用经费162.76万元，主要包括：办公费、咨询费、手续费、水费、电费、邮电费、差旅费、维修（护）费、会议费、培训费、公务接待费、劳务费、工会经费、福利费、公务用车运行维护费、其他交通费用、其他商品和服务支出、办公设备购置等。</w:t>
      </w:r>
    </w:p>
    <w:p>
      <w:pPr>
        <w:rPr>
          <w:sz w:val="30"/>
          <w:szCs w:val="30"/>
        </w:rPr>
      </w:pPr>
    </w:p>
    <w:p>
      <w:pPr>
        <w:rPr>
          <w:b/>
          <w:sz w:val="32"/>
          <w:szCs w:val="32"/>
        </w:rPr>
      </w:pPr>
      <w:r>
        <w:rPr>
          <w:rFonts w:hint="eastAsia"/>
          <w:b/>
          <w:sz w:val="32"/>
          <w:szCs w:val="32"/>
        </w:rPr>
        <w:t>七、关于市科技局 2016 年度一般公共预算财政拨款“三公”</w:t>
      </w:r>
    </w:p>
    <w:p>
      <w:pPr>
        <w:rPr>
          <w:b/>
          <w:sz w:val="32"/>
          <w:szCs w:val="32"/>
        </w:rPr>
      </w:pPr>
      <w:r>
        <w:rPr>
          <w:rFonts w:hint="eastAsia"/>
          <w:b/>
          <w:sz w:val="32"/>
          <w:szCs w:val="32"/>
        </w:rPr>
        <w:t>经费支出决算情况说明</w:t>
      </w:r>
    </w:p>
    <w:p>
      <w:pPr>
        <w:rPr>
          <w:rFonts w:ascii="文星黑体" w:eastAsia="文星黑体"/>
          <w:sz w:val="30"/>
          <w:szCs w:val="30"/>
        </w:rPr>
      </w:pPr>
      <w:r>
        <w:rPr>
          <w:rFonts w:hint="eastAsia" w:ascii="文星黑体" w:eastAsia="文星黑体"/>
          <w:sz w:val="30"/>
          <w:szCs w:val="30"/>
        </w:rPr>
        <w:t>（一）“三公”经费财政拨款支出决算总体情况说明。</w:t>
      </w:r>
    </w:p>
    <w:p>
      <w:pPr>
        <w:rPr>
          <w:sz w:val="30"/>
          <w:szCs w:val="30"/>
        </w:rPr>
      </w:pPr>
      <w:r>
        <w:rPr>
          <w:rFonts w:hint="eastAsia"/>
          <w:sz w:val="30"/>
          <w:szCs w:val="30"/>
        </w:rPr>
        <w:t>市科技局2016年度“三公”经费财政拨款支出预算为26.3万元，支出决算为18.91万元，完成预算的71.86%。其中：因公出国（境）费支出决算为0元，公务用车购置费决算及运行费支出决算为2.50万元，完成预算的33.33%</w:t>
      </w:r>
      <w:r>
        <w:rPr>
          <w:sz w:val="30"/>
          <w:szCs w:val="30"/>
        </w:rPr>
        <w:t xml:space="preserve"> </w:t>
      </w:r>
      <w:r>
        <w:rPr>
          <w:rFonts w:hint="eastAsia"/>
          <w:sz w:val="30"/>
          <w:szCs w:val="30"/>
        </w:rPr>
        <w:t>；公务接待费支出决算为16.41万元，完成预算的87.29%。</w:t>
      </w:r>
      <w:r>
        <w:rPr>
          <w:sz w:val="30"/>
          <w:szCs w:val="30"/>
        </w:rPr>
        <w:t>2016</w:t>
      </w:r>
      <w:r>
        <w:rPr>
          <w:rFonts w:hint="eastAsia"/>
          <w:sz w:val="30"/>
          <w:szCs w:val="30"/>
        </w:rPr>
        <w:t>年度“三公”经费支出决算数小于预算数的主要原因是认真贯彻落实中央八项规定精神和厉行节约要求，进一步从严控制“三公”经费开支，全年实际支出比预算有所节约。</w:t>
      </w:r>
    </w:p>
    <w:p>
      <w:pPr>
        <w:ind w:firstLine="600" w:firstLineChars="200"/>
        <w:rPr>
          <w:sz w:val="30"/>
          <w:szCs w:val="30"/>
        </w:rPr>
      </w:pPr>
      <w:r>
        <w:rPr>
          <w:rFonts w:hint="eastAsia"/>
          <w:sz w:val="30"/>
          <w:szCs w:val="30"/>
        </w:rPr>
        <w:t>2016年度“三公”经费财政拨款支出决算数比2015年增加6.42万元，增长51.40%。增加原因是16年公务业务开展较多及省厅及其他市区来梅开展业务较为增多。</w:t>
      </w:r>
    </w:p>
    <w:p>
      <w:pPr>
        <w:ind w:firstLine="600" w:firstLineChars="200"/>
        <w:rPr>
          <w:rFonts w:ascii="文星黑体" w:eastAsia="文星黑体"/>
          <w:sz w:val="30"/>
          <w:szCs w:val="30"/>
        </w:rPr>
      </w:pPr>
      <w:r>
        <w:rPr>
          <w:rFonts w:hint="eastAsia" w:ascii="文星黑体" w:eastAsia="文星黑体"/>
          <w:sz w:val="30"/>
          <w:szCs w:val="30"/>
        </w:rPr>
        <w:t>（二）“三公”经费财政拨款支出决算具体情况说明。</w:t>
      </w:r>
    </w:p>
    <w:p>
      <w:pPr>
        <w:ind w:firstLine="600" w:firstLineChars="200"/>
        <w:rPr>
          <w:sz w:val="30"/>
          <w:szCs w:val="30"/>
        </w:rPr>
      </w:pPr>
      <w:r>
        <w:rPr>
          <w:sz w:val="30"/>
          <w:szCs w:val="30"/>
        </w:rPr>
        <w:t>2016</w:t>
      </w:r>
      <w:r>
        <w:rPr>
          <w:rFonts w:hint="eastAsia"/>
          <w:sz w:val="30"/>
          <w:szCs w:val="30"/>
        </w:rPr>
        <w:t>年度“三公”经费财政拨款支出决算中，因公出国（境）</w:t>
      </w:r>
      <w:r>
        <w:rPr>
          <w:sz w:val="30"/>
          <w:szCs w:val="30"/>
        </w:rPr>
        <w:t xml:space="preserve"> </w:t>
      </w:r>
      <w:r>
        <w:rPr>
          <w:rFonts w:hint="eastAsia"/>
          <w:sz w:val="30"/>
          <w:szCs w:val="30"/>
        </w:rPr>
        <w:t>费支出决算0万元，占0%；公务用车购置及运行费支出决算2.50万元，占13.22%；公务接待费支出决算16.41万元，占86.78%。具体情况如下：</w:t>
      </w:r>
    </w:p>
    <w:p>
      <w:pPr>
        <w:rPr>
          <w:sz w:val="30"/>
          <w:szCs w:val="30"/>
        </w:rPr>
      </w:pPr>
    </w:p>
    <w:p>
      <w:pPr>
        <w:jc w:val="center"/>
        <w:rPr>
          <w:sz w:val="30"/>
          <w:szCs w:val="30"/>
        </w:rPr>
      </w:pPr>
      <w:r>
        <w:rPr>
          <w:rFonts w:hint="eastAsia"/>
          <w:sz w:val="30"/>
          <w:szCs w:val="30"/>
        </w:rPr>
        <w:t>图7：“三公”经费财政拨款支出结构</w:t>
      </w:r>
    </w:p>
    <w:p>
      <w:pPr>
        <w:jc w:val="center"/>
        <w:rPr>
          <w:sz w:val="30"/>
          <w:szCs w:val="30"/>
        </w:rPr>
      </w:pPr>
      <w:r>
        <w:rPr>
          <w:sz w:val="30"/>
          <w:szCs w:val="30"/>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widowControl/>
        <w:jc w:val="left"/>
        <w:rPr>
          <w:sz w:val="30"/>
          <w:szCs w:val="30"/>
        </w:rPr>
      </w:pPr>
      <w:r>
        <w:rPr>
          <w:sz w:val="30"/>
          <w:szCs w:val="30"/>
        </w:rPr>
        <w:br w:type="page"/>
      </w:r>
      <w:r>
        <w:rPr>
          <w:rFonts w:hint="eastAsia"/>
          <w:sz w:val="30"/>
          <w:szCs w:val="30"/>
        </w:rPr>
        <w:t xml:space="preserve">1.因公出国（境）费支出0元。                                                                                                                                                                                                                                                 </w:t>
      </w:r>
      <w:r>
        <w:rPr>
          <w:sz w:val="30"/>
          <w:szCs w:val="30"/>
        </w:rPr>
        <w:t xml:space="preserve">                                                                         </w:t>
      </w:r>
    </w:p>
    <w:p>
      <w:pPr>
        <w:widowControl/>
        <w:jc w:val="left"/>
        <w:rPr>
          <w:sz w:val="30"/>
          <w:szCs w:val="30"/>
        </w:rPr>
      </w:pPr>
      <w:r>
        <w:rPr>
          <w:rFonts w:hint="eastAsia"/>
          <w:sz w:val="30"/>
          <w:szCs w:val="30"/>
        </w:rPr>
        <w:t>2.公务用车购置及运行维护费支出2.50万元，主要包括：（1）购置车辆0辆；（2）机关公务车保有量1辆，全年运行维护费支出2.5万元。</w:t>
      </w:r>
    </w:p>
    <w:p>
      <w:pPr>
        <w:widowControl/>
        <w:jc w:val="left"/>
        <w:rPr>
          <w:sz w:val="30"/>
          <w:szCs w:val="30"/>
        </w:rPr>
      </w:pPr>
      <w:r>
        <w:rPr>
          <w:rFonts w:hint="eastAsia"/>
          <w:sz w:val="30"/>
          <w:szCs w:val="30"/>
        </w:rPr>
        <w:t>3.公务接待费支出16.41万元。接待批次约为273次，全年接待约人数约600人。</w:t>
      </w:r>
    </w:p>
    <w:p>
      <w:pPr>
        <w:widowControl/>
        <w:jc w:val="left"/>
        <w:rPr>
          <w:sz w:val="30"/>
          <w:szCs w:val="30"/>
        </w:rPr>
      </w:pPr>
    </w:p>
    <w:p>
      <w:pPr>
        <w:jc w:val="left"/>
        <w:rPr>
          <w:b/>
          <w:sz w:val="32"/>
          <w:szCs w:val="32"/>
        </w:rPr>
      </w:pPr>
      <w:r>
        <w:rPr>
          <w:rFonts w:hint="eastAsia"/>
          <w:b/>
          <w:sz w:val="32"/>
          <w:szCs w:val="32"/>
        </w:rPr>
        <w:t>八、关于市科技局 2016 年度预算绩效情况说明</w:t>
      </w:r>
    </w:p>
    <w:p>
      <w:pPr>
        <w:ind w:firstLine="600" w:firstLineChars="200"/>
        <w:rPr>
          <w:sz w:val="30"/>
          <w:szCs w:val="30"/>
        </w:rPr>
      </w:pPr>
      <w:r>
        <w:rPr>
          <w:rFonts w:hint="eastAsia"/>
          <w:sz w:val="30"/>
          <w:szCs w:val="30"/>
        </w:rPr>
        <w:t>2016年本部门无绩效项目开展。</w:t>
      </w:r>
    </w:p>
    <w:p>
      <w:pPr>
        <w:jc w:val="left"/>
        <w:rPr>
          <w:b/>
          <w:sz w:val="32"/>
          <w:szCs w:val="32"/>
        </w:rPr>
      </w:pPr>
      <w:r>
        <w:rPr>
          <w:rFonts w:hint="eastAsia"/>
          <w:b/>
          <w:sz w:val="32"/>
          <w:szCs w:val="32"/>
        </w:rPr>
        <w:t>九、其他重要事项的情况说明</w:t>
      </w:r>
    </w:p>
    <w:p>
      <w:pPr>
        <w:ind w:firstLine="600" w:firstLineChars="200"/>
        <w:rPr>
          <w:rFonts w:ascii="文星黑体" w:eastAsia="文星黑体"/>
          <w:sz w:val="30"/>
          <w:szCs w:val="30"/>
        </w:rPr>
      </w:pPr>
      <w:r>
        <w:rPr>
          <w:rFonts w:hint="eastAsia" w:ascii="文星黑体" w:eastAsia="文星黑体"/>
          <w:sz w:val="30"/>
          <w:szCs w:val="30"/>
        </w:rPr>
        <w:t>（一）机关运行经费支出说明。</w:t>
      </w:r>
    </w:p>
    <w:p>
      <w:pPr>
        <w:rPr>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2016年本部门机关运行经费支出161.65万元，比2015年增加29.42万元，增长22.25%。主要原因为公用经费增加及公务业务的相对增加。</w:t>
      </w:r>
    </w:p>
    <w:p>
      <w:pPr>
        <w:ind w:firstLine="600" w:firstLineChars="200"/>
        <w:rPr>
          <w:rFonts w:ascii="文星黑体" w:eastAsia="文星黑体"/>
          <w:sz w:val="30"/>
          <w:szCs w:val="30"/>
        </w:rPr>
      </w:pPr>
      <w:r>
        <w:rPr>
          <w:rFonts w:hint="eastAsia" w:ascii="文星黑体" w:eastAsia="文星黑体"/>
          <w:sz w:val="30"/>
          <w:szCs w:val="30"/>
        </w:rPr>
        <w:t>（二）政府采购支出说明。</w:t>
      </w:r>
    </w:p>
    <w:p>
      <w:pPr>
        <w:ind w:firstLine="900" w:firstLineChars="300"/>
        <w:rPr>
          <w:sz w:val="30"/>
          <w:szCs w:val="30"/>
        </w:rPr>
      </w:pPr>
      <w:r>
        <w:rPr>
          <w:rFonts w:hint="eastAsia"/>
          <w:sz w:val="30"/>
          <w:szCs w:val="30"/>
        </w:rPr>
        <w:t>2016年本部门政府采购支出总额1.11万元，其中，政府采购货物支出1.11万元、政府采购工程支出0元、政府采购服务支出0元。</w:t>
      </w:r>
    </w:p>
    <w:p>
      <w:pPr>
        <w:ind w:firstLine="600" w:firstLineChars="200"/>
        <w:rPr>
          <w:rFonts w:ascii="文星黑体" w:eastAsia="文星黑体"/>
          <w:sz w:val="30"/>
          <w:szCs w:val="30"/>
        </w:rPr>
      </w:pPr>
      <w:r>
        <w:rPr>
          <w:rFonts w:hint="eastAsia" w:ascii="文星黑体" w:eastAsia="文星黑体"/>
          <w:sz w:val="30"/>
          <w:szCs w:val="30"/>
        </w:rPr>
        <w:t>（三）国有资产占有情况说明。</w:t>
      </w:r>
    </w:p>
    <w:p>
      <w:pPr>
        <w:ind w:firstLine="600" w:firstLineChars="200"/>
        <w:rPr>
          <w:sz w:val="30"/>
          <w:szCs w:val="30"/>
        </w:rPr>
      </w:pPr>
      <w:r>
        <w:rPr>
          <w:rFonts w:hint="eastAsia"/>
          <w:sz w:val="30"/>
          <w:szCs w:val="30"/>
        </w:rPr>
        <w:t>截至2016年12月31日，本部门共有车辆6辆，其中：一般公务用车5辆。无其他车辆。</w:t>
      </w:r>
    </w:p>
    <w:p>
      <w:pPr>
        <w:widowControl/>
        <w:jc w:val="left"/>
        <w:rPr>
          <w:sz w:val="30"/>
          <w:szCs w:val="30"/>
        </w:rPr>
      </w:pPr>
    </w:p>
    <w:p>
      <w:pPr>
        <w:rPr>
          <w:sz w:val="72"/>
        </w:rPr>
      </w:pPr>
    </w:p>
    <w:p>
      <w:pPr>
        <w:rPr>
          <w:sz w:val="72"/>
        </w:rPr>
      </w:pPr>
    </w:p>
    <w:p>
      <w:pPr>
        <w:rPr>
          <w:sz w:val="72"/>
        </w:rPr>
      </w:pPr>
    </w:p>
    <w:p>
      <w:pPr>
        <w:rPr>
          <w:sz w:val="72"/>
        </w:rPr>
      </w:pPr>
    </w:p>
    <w:p>
      <w:pPr>
        <w:rPr>
          <w:rFonts w:ascii="Times New Roman"/>
          <w:sz w:val="20"/>
        </w:rPr>
      </w:pPr>
      <w:r>
        <w:rPr>
          <w:rFonts w:ascii="Times New Roman"/>
          <w:sz w:val="20"/>
        </w:rPr>
        <mc:AlternateContent>
          <mc:Choice Requires="wps">
            <w:drawing>
              <wp:inline distT="0" distB="0" distL="114300" distR="114300">
                <wp:extent cx="9854565" cy="2053590"/>
                <wp:effectExtent l="0" t="0" r="13335" b="3810"/>
                <wp:docPr id="8" name="文本框 14"/>
                <wp:cNvGraphicFramePr/>
                <a:graphic xmlns:a="http://schemas.openxmlformats.org/drawingml/2006/main">
                  <a:graphicData uri="http://schemas.microsoft.com/office/word/2010/wordprocessingShape">
                    <wps:wsp>
                      <wps:cNvSpPr txBox="1"/>
                      <wps:spPr>
                        <a:xfrm>
                          <a:off x="0" y="0"/>
                          <a:ext cx="9854565" cy="2053590"/>
                        </a:xfrm>
                        <a:prstGeom prst="rect">
                          <a:avLst/>
                        </a:prstGeom>
                        <a:solidFill>
                          <a:srgbClr val="BBE0E3"/>
                        </a:solidFill>
                        <a:ln>
                          <a:noFill/>
                        </a:ln>
                      </wps:spPr>
                      <wps:txbx>
                        <w:txbxContent>
                          <w:p>
                            <w:pPr>
                              <w:jc w:val="both"/>
                              <w:rPr>
                                <w:sz w:val="72"/>
                              </w:rPr>
                            </w:pPr>
                            <w:r>
                              <w:rPr>
                                <w:sz w:val="72"/>
                              </w:rPr>
                              <w:t>第四部分</w:t>
                            </w:r>
                            <w:r>
                              <w:rPr>
                                <w:sz w:val="72"/>
                              </w:rPr>
                              <w:tab/>
                            </w:r>
                            <w:r>
                              <w:rPr>
                                <w:rFonts w:hint="eastAsia"/>
                                <w:sz w:val="72"/>
                              </w:rPr>
                              <w:t xml:space="preserve">    </w:t>
                            </w:r>
                            <w:r>
                              <w:rPr>
                                <w:sz w:val="72"/>
                              </w:rPr>
                              <w:t>名词解释</w:t>
                            </w:r>
                          </w:p>
                        </w:txbxContent>
                      </wps:txbx>
                      <wps:bodyPr lIns="0" tIns="0" rIns="0" bIns="0" upright="1"/>
                    </wps:wsp>
                  </a:graphicData>
                </a:graphic>
              </wp:inline>
            </w:drawing>
          </mc:Choice>
          <mc:Fallback>
            <w:pict>
              <v:shape id="文本框 14" o:spid="_x0000_s1026" o:spt="202" type="#_x0000_t202" style="height:161.7pt;width:775.95pt;" fillcolor="#BBE0E3" filled="t" stroked="f" coordsize="21600,21600" o:gfxdata="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UOs29UAAAAGAQAADwAAAAAAAAABACAA&#10;AAAiAAAAZHJzL2Rvd25yZXYueG1sUEsBAhQAFAAAAAgAh07iQIQVJCPXAQAAnQMAAA4AAAAAAAAA&#10;AQAgAAAAJAEAAGRycy9lMm9Eb2MueG1sUEsFBgAAAAAGAAYAWQEAAG0FAAAAAA==&#10;">
                <v:fill on="t" focussize="0,0"/>
                <v:stroke on="f"/>
                <v:imagedata o:title=""/>
                <o:lock v:ext="edit" aspectratio="f"/>
                <v:textbox inset="0mm,0mm,0mm,0mm">
                  <w:txbxContent>
                    <w:p>
                      <w:pPr>
                        <w:jc w:val="both"/>
                        <w:rPr>
                          <w:sz w:val="72"/>
                        </w:rPr>
                      </w:pPr>
                      <w:r>
                        <w:rPr>
                          <w:sz w:val="72"/>
                        </w:rPr>
                        <w:t>第四部分</w:t>
                      </w:r>
                      <w:r>
                        <w:rPr>
                          <w:sz w:val="72"/>
                        </w:rPr>
                        <w:tab/>
                      </w:r>
                      <w:r>
                        <w:rPr>
                          <w:rFonts w:hint="eastAsia"/>
                          <w:sz w:val="72"/>
                        </w:rPr>
                        <w:t xml:space="preserve">    </w:t>
                      </w:r>
                      <w:r>
                        <w:rPr>
                          <w:sz w:val="72"/>
                        </w:rPr>
                        <w:t>名词解释</w:t>
                      </w:r>
                    </w:p>
                  </w:txbxContent>
                </v:textbox>
                <w10:wrap type="none"/>
                <w10:anchorlock/>
              </v:shape>
            </w:pict>
          </mc:Fallback>
        </mc:AlternateContent>
      </w:r>
    </w:p>
    <w:p>
      <w:pPr>
        <w:widowControl/>
        <w:jc w:val="left"/>
        <w:rPr>
          <w:rFonts w:ascii="Times New Roman"/>
          <w:sz w:val="20"/>
        </w:rPr>
      </w:pPr>
      <w:r>
        <w:rPr>
          <w:rFonts w:ascii="Times New Roman"/>
          <w:sz w:val="20"/>
        </w:rPr>
        <w:br w:type="page"/>
      </w:r>
      <w:bookmarkStart w:id="7" w:name="_GoBack"/>
      <w:bookmarkEnd w:id="7"/>
    </w:p>
    <w:p>
      <w:pPr>
        <w:spacing w:line="360" w:lineRule="auto"/>
        <w:ind w:left="600"/>
        <w:jc w:val="left"/>
        <w:rPr>
          <w:sz w:val="30"/>
          <w:szCs w:val="30"/>
        </w:rPr>
      </w:pPr>
      <w:r>
        <w:rPr>
          <w:rFonts w:hint="eastAsia"/>
          <w:sz w:val="30"/>
          <w:szCs w:val="30"/>
        </w:rPr>
        <w:t>一、财政拨款收入：指地方财政当年拨付的资金。</w:t>
      </w:r>
    </w:p>
    <w:p>
      <w:pPr>
        <w:spacing w:line="360" w:lineRule="auto"/>
        <w:ind w:left="600"/>
        <w:jc w:val="left"/>
        <w:rPr>
          <w:sz w:val="30"/>
          <w:szCs w:val="30"/>
        </w:rPr>
      </w:pPr>
      <w:r>
        <w:rPr>
          <w:rFonts w:hint="eastAsia"/>
          <w:sz w:val="30"/>
          <w:szCs w:val="30"/>
        </w:rPr>
        <w:t>二、其他收入：指除 “财政拨款收入”、“事业收入”、“经营收入”等以外的收入。</w:t>
      </w:r>
    </w:p>
    <w:p>
      <w:pPr>
        <w:spacing w:line="360" w:lineRule="auto"/>
        <w:ind w:left="600"/>
        <w:jc w:val="left"/>
        <w:rPr>
          <w:sz w:val="30"/>
          <w:szCs w:val="30"/>
        </w:rPr>
      </w:pPr>
      <w:r>
        <w:rPr>
          <w:rFonts w:hint="eastAsia"/>
          <w:sz w:val="30"/>
          <w:szCs w:val="30"/>
        </w:rPr>
        <w:t>三、年初结转和结余：指以前年度尚未完成、结转到本年按有关规定继续使用的资金。</w:t>
      </w:r>
    </w:p>
    <w:p>
      <w:pPr>
        <w:spacing w:line="360" w:lineRule="auto"/>
        <w:ind w:firstLine="600" w:firstLineChars="200"/>
        <w:jc w:val="left"/>
        <w:rPr>
          <w:sz w:val="30"/>
          <w:szCs w:val="30"/>
        </w:rPr>
      </w:pPr>
      <w:r>
        <w:rPr>
          <w:rFonts w:hint="eastAsia"/>
          <w:sz w:val="30"/>
          <w:szCs w:val="30"/>
        </w:rPr>
        <w:t>四、一般公共服务（类）政府办公厅（室）及相关机构事务（款）事业运行（项）：指梅州科学技术局及下属单位用于保障机构正常运行、开展日常工作的基本支出。</w:t>
      </w:r>
    </w:p>
    <w:p>
      <w:pPr>
        <w:spacing w:line="360" w:lineRule="auto"/>
        <w:ind w:firstLine="600" w:firstLineChars="200"/>
        <w:jc w:val="left"/>
        <w:rPr>
          <w:sz w:val="30"/>
          <w:szCs w:val="30"/>
        </w:rPr>
      </w:pPr>
      <w:r>
        <w:rPr>
          <w:rFonts w:hint="eastAsia"/>
          <w:sz w:val="30"/>
          <w:szCs w:val="30"/>
        </w:rPr>
        <w:t>五、医疗卫生与计划生育（类）医疗保障（款）事业单位医疗（项）：指财政部门集中安排的事业单位基本医疗保险缴费经费及其他用于医疗保障方面的支出。</w:t>
      </w:r>
    </w:p>
    <w:p>
      <w:pPr>
        <w:spacing w:line="360" w:lineRule="auto"/>
        <w:ind w:firstLine="600" w:firstLineChars="200"/>
        <w:jc w:val="left"/>
        <w:rPr>
          <w:sz w:val="30"/>
          <w:szCs w:val="30"/>
        </w:rPr>
      </w:pPr>
      <w:r>
        <w:rPr>
          <w:rFonts w:hint="eastAsia"/>
          <w:sz w:val="30"/>
          <w:szCs w:val="30"/>
        </w:rPr>
        <w:t>六、住房保障（类）住房改革支出（款）住房公积金（项）：指根据《住房公积金管理条例》，单位按照人社、财政和住房公积金管理部门规定的基本工资和津贴补贴以及缴存比例为在职职工缴纳的长期住房储金。</w:t>
      </w:r>
    </w:p>
    <w:p>
      <w:pPr>
        <w:spacing w:line="360" w:lineRule="auto"/>
        <w:ind w:firstLine="600" w:firstLineChars="200"/>
        <w:jc w:val="left"/>
        <w:rPr>
          <w:sz w:val="30"/>
          <w:szCs w:val="30"/>
        </w:rPr>
      </w:pPr>
      <w:r>
        <w:rPr>
          <w:rFonts w:hint="eastAsia"/>
          <w:sz w:val="30"/>
          <w:szCs w:val="30"/>
        </w:rPr>
        <w:t>七、年末结转和结余：指本年度或以前年度预算安排、因客观条件发生变化无法按原计划实施，需要延迟到以后年度按有关规定继续使用的资金。</w:t>
      </w:r>
    </w:p>
    <w:p>
      <w:pPr>
        <w:spacing w:line="360" w:lineRule="auto"/>
        <w:ind w:firstLine="600" w:firstLineChars="200"/>
        <w:jc w:val="left"/>
        <w:rPr>
          <w:sz w:val="30"/>
          <w:szCs w:val="30"/>
        </w:rPr>
      </w:pPr>
      <w:r>
        <w:rPr>
          <w:rFonts w:hint="eastAsia"/>
          <w:sz w:val="30"/>
          <w:szCs w:val="30"/>
        </w:rPr>
        <w:t>八、基本支出：指为保障机构正常运转、完成日常工作任务而发生的人员支出和公用支出。</w:t>
      </w:r>
    </w:p>
    <w:p>
      <w:pPr>
        <w:spacing w:line="360" w:lineRule="auto"/>
        <w:ind w:firstLine="600" w:firstLineChars="200"/>
        <w:jc w:val="left"/>
        <w:rPr>
          <w:sz w:val="30"/>
          <w:szCs w:val="30"/>
        </w:rPr>
      </w:pPr>
      <w:r>
        <w:rPr>
          <w:rFonts w:hint="eastAsia"/>
          <w:sz w:val="30"/>
          <w:szCs w:val="30"/>
        </w:rPr>
        <w:t>九、项目支出：指在基本支出之外为完成特定行政任务和事业发展目标所发生的支出。</w:t>
      </w:r>
    </w:p>
    <w:p>
      <w:pPr>
        <w:spacing w:line="360" w:lineRule="auto"/>
        <w:ind w:firstLine="600" w:firstLineChars="200"/>
        <w:jc w:val="left"/>
        <w:rPr>
          <w:sz w:val="30"/>
          <w:szCs w:val="30"/>
        </w:rPr>
      </w:pPr>
      <w:r>
        <w:rPr>
          <w:rFonts w:hint="eastAsia"/>
          <w:sz w:val="30"/>
          <w:szCs w:val="30"/>
        </w:rPr>
        <w:t>十、“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sz w:val="30"/>
          <w:szCs w:val="30"/>
        </w:rPr>
      </w:pPr>
    </w:p>
    <w:p>
      <w:pPr>
        <w:rPr>
          <w:sz w:val="30"/>
          <w:szCs w:val="30"/>
        </w:rPr>
      </w:pPr>
    </w:p>
    <w:p>
      <w:pPr>
        <w:ind w:right="720"/>
        <w:jc w:val="right"/>
        <w:rPr>
          <w:sz w:val="30"/>
          <w:szCs w:val="30"/>
        </w:rPr>
      </w:pPr>
      <w:r>
        <w:rPr>
          <w:rFonts w:hint="eastAsia"/>
          <w:sz w:val="30"/>
          <w:szCs w:val="30"/>
        </w:rPr>
        <w:t>梅州市科学技术局</w:t>
      </w:r>
    </w:p>
    <w:p>
      <w:pPr>
        <w:ind w:right="720"/>
        <w:jc w:val="right"/>
        <w:rPr>
          <w:sz w:val="30"/>
          <w:szCs w:val="30"/>
        </w:rPr>
      </w:pPr>
      <w:r>
        <w:rPr>
          <w:rFonts w:hint="eastAsia"/>
          <w:sz w:val="30"/>
          <w:szCs w:val="30"/>
        </w:rPr>
        <w:t>2017年10月12日</w:t>
      </w:r>
    </w:p>
    <w:p>
      <w:pPr>
        <w:ind w:right="720"/>
        <w:jc w:val="righ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文星黑体">
    <w:altName w:val="黑体"/>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3415"/>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3419"/>
      <w:docPartObj>
        <w:docPartGallery w:val="AutoText"/>
      </w:docPartObj>
    </w:sdtPr>
    <w:sdtContent>
      <w:p>
        <w:pPr>
          <w:pStyle w:val="4"/>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2"/>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3410"/>
      <w:docPartObj>
        <w:docPartGallery w:val="AutoText"/>
      </w:docPartObj>
    </w:sdtPr>
    <w:sdtContent>
      <w:p>
        <w:pPr>
          <w:pStyle w:val="4"/>
          <w:jc w:val="center"/>
        </w:pPr>
        <w:r>
          <w:rPr>
            <w:rFonts w:hint="eastAsia"/>
          </w:rPr>
          <w:t>1</w:t>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0F"/>
    <w:rsid w:val="00080C95"/>
    <w:rsid w:val="000D2A3D"/>
    <w:rsid w:val="000D6235"/>
    <w:rsid w:val="00130F3F"/>
    <w:rsid w:val="0019160F"/>
    <w:rsid w:val="001D220A"/>
    <w:rsid w:val="00220097"/>
    <w:rsid w:val="00232616"/>
    <w:rsid w:val="00250E6F"/>
    <w:rsid w:val="00282011"/>
    <w:rsid w:val="002E6A00"/>
    <w:rsid w:val="003D4B57"/>
    <w:rsid w:val="003F76A4"/>
    <w:rsid w:val="00466F33"/>
    <w:rsid w:val="004671CD"/>
    <w:rsid w:val="00497EB7"/>
    <w:rsid w:val="005F25D8"/>
    <w:rsid w:val="00621DF6"/>
    <w:rsid w:val="00686518"/>
    <w:rsid w:val="006A74A8"/>
    <w:rsid w:val="006E49D6"/>
    <w:rsid w:val="00711CE2"/>
    <w:rsid w:val="007757D4"/>
    <w:rsid w:val="00791853"/>
    <w:rsid w:val="007B0178"/>
    <w:rsid w:val="00806088"/>
    <w:rsid w:val="00870C29"/>
    <w:rsid w:val="008901EF"/>
    <w:rsid w:val="008C0AA1"/>
    <w:rsid w:val="009108C6"/>
    <w:rsid w:val="00934D3C"/>
    <w:rsid w:val="00943D8F"/>
    <w:rsid w:val="00971197"/>
    <w:rsid w:val="009F218A"/>
    <w:rsid w:val="009F6067"/>
    <w:rsid w:val="00B05864"/>
    <w:rsid w:val="00B547A7"/>
    <w:rsid w:val="00BB2351"/>
    <w:rsid w:val="00BF7B78"/>
    <w:rsid w:val="00C00CA6"/>
    <w:rsid w:val="00C92774"/>
    <w:rsid w:val="00D55B98"/>
    <w:rsid w:val="00E456D0"/>
    <w:rsid w:val="00E60DF4"/>
    <w:rsid w:val="00E75622"/>
    <w:rsid w:val="00ED71AB"/>
    <w:rsid w:val="00F15ADC"/>
    <w:rsid w:val="00F54BC8"/>
    <w:rsid w:val="067D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eastAsia="en-US"/>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 w:type="character" w:customStyle="1" w:styleId="11">
    <w:name w:val="正文文本 Char"/>
    <w:basedOn w:val="7"/>
    <w:link w:val="2"/>
    <w:uiPriority w:val="1"/>
    <w:rPr>
      <w:rFonts w:ascii="宋体" w:hAnsi="宋体" w:eastAsia="宋体" w:cs="宋体"/>
      <w:kern w:val="0"/>
      <w:sz w:val="32"/>
      <w:szCs w:val="32"/>
      <w:lang w:eastAsia="en-US"/>
    </w:rPr>
  </w:style>
  <w:style w:type="paragraph" w:customStyle="1" w:styleId="12">
    <w:name w:val="Heading 1"/>
    <w:basedOn w:val="1"/>
    <w:qFormat/>
    <w:uiPriority w:val="1"/>
    <w:pPr>
      <w:autoSpaceDE w:val="0"/>
      <w:autoSpaceDN w:val="0"/>
      <w:ind w:left="2344"/>
      <w:jc w:val="left"/>
      <w:outlineLvl w:val="1"/>
    </w:pPr>
    <w:rPr>
      <w:rFonts w:ascii="Microsoft JhengHei" w:hAnsi="Microsoft JhengHei" w:eastAsia="Microsoft JhengHei" w:cs="Microsoft JhengHe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chart" Target="charts/chart7.xml"/><Relationship Id="rId30" Type="http://schemas.openxmlformats.org/officeDocument/2006/relationships/chart" Target="charts/chart6.xml"/><Relationship Id="rId3" Type="http://schemas.openxmlformats.org/officeDocument/2006/relationships/header" Target="header1.xml"/><Relationship Id="rId29" Type="http://schemas.openxmlformats.org/officeDocument/2006/relationships/chart" Target="charts/chart5.xml"/><Relationship Id="rId28" Type="http://schemas.openxmlformats.org/officeDocument/2006/relationships/chart" Target="charts/chart4.xml"/><Relationship Id="rId27" Type="http://schemas.openxmlformats.org/officeDocument/2006/relationships/chart" Target="charts/chart3.xml"/><Relationship Id="rId26" Type="http://schemas.openxmlformats.org/officeDocument/2006/relationships/chart" Target="charts/chart2.xml"/><Relationship Id="rId25" Type="http://schemas.openxmlformats.org/officeDocument/2006/relationships/chart" Target="charts/chart1.xml"/><Relationship Id="rId24" Type="http://schemas.openxmlformats.org/officeDocument/2006/relationships/image" Target="media/image9.emf"/><Relationship Id="rId23" Type="http://schemas.openxmlformats.org/officeDocument/2006/relationships/image" Target="media/image8.emf"/><Relationship Id="rId22" Type="http://schemas.openxmlformats.org/officeDocument/2006/relationships/image" Target="media/image7.emf"/><Relationship Id="rId21" Type="http://schemas.openxmlformats.org/officeDocument/2006/relationships/image" Target="media/image6.emf"/><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image" Target="media/image3.emf"/><Relationship Id="rId17" Type="http://schemas.openxmlformats.org/officeDocument/2006/relationships/image" Target="media/image2.emf"/><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257267141935"/>
          <c:y val="0.179816029295279"/>
          <c:w val="0.734977301622169"/>
          <c:h val="0.676122861894"/>
        </c:manualLayout>
      </c:layout>
      <c:barChart>
        <c:barDir val="col"/>
        <c:grouping val="clustered"/>
        <c:varyColors val="0"/>
        <c:ser>
          <c:idx val="0"/>
          <c:order val="0"/>
          <c:tx>
            <c:strRef>
              <c:f>Sheet1!$B$1</c:f>
              <c:strCache>
                <c:ptCount val="1"/>
                <c:pt idx="0">
                  <c:v>收、支决算总计</c:v>
                </c:pt>
              </c:strCache>
            </c:strRef>
          </c:tx>
          <c:spPr>
            <a:solidFill>
              <a:schemeClr val="accent2"/>
            </a:solidFill>
          </c:spPr>
          <c:invertIfNegative val="0"/>
          <c:dPt>
            <c:idx val="0"/>
            <c:invertIfNegative val="0"/>
            <c:bubble3D val="0"/>
            <c:spPr>
              <a:solidFill>
                <a:schemeClr val="tx2">
                  <a:lumMod val="60000"/>
                  <a:lumOff val="40000"/>
                </a:schemeClr>
              </a:solidFill>
            </c:spPr>
          </c:dPt>
          <c:dLbls>
            <c:dLbl>
              <c:idx val="0"/>
              <c:layout>
                <c:manualLayout>
                  <c:x val="0.00462962962962966"/>
                  <c:y val="0.008750156230471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62962962962966"/>
                  <c:y val="0.0127184101987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2015年</c:v>
                </c:pt>
                <c:pt idx="1">
                  <c:v>2016年</c:v>
                </c:pt>
              </c:strCache>
            </c:strRef>
          </c:cat>
          <c:val>
            <c:numRef>
              <c:f>Sheet1!$B$2:$B$3</c:f>
              <c:numCache>
                <c:formatCode>General</c:formatCode>
                <c:ptCount val="2"/>
                <c:pt idx="0">
                  <c:v>3110.22</c:v>
                </c:pt>
                <c:pt idx="1">
                  <c:v>3519.93</c:v>
                </c:pt>
              </c:numCache>
            </c:numRef>
          </c:val>
        </c:ser>
        <c:dLbls>
          <c:showLegendKey val="0"/>
          <c:showVal val="1"/>
          <c:showCatName val="0"/>
          <c:showSerName val="0"/>
          <c:showPercent val="0"/>
          <c:showBubbleSize val="0"/>
        </c:dLbls>
        <c:gapWidth val="75"/>
        <c:axId val="144257792"/>
        <c:axId val="144259328"/>
      </c:barChart>
      <c:catAx>
        <c:axId val="1442577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259328"/>
        <c:crosses val="autoZero"/>
        <c:auto val="1"/>
        <c:lblAlgn val="ctr"/>
        <c:lblOffset val="100"/>
        <c:noMultiLvlLbl val="0"/>
      </c:catAx>
      <c:valAx>
        <c:axId val="1442593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4257792"/>
        <c:crosses val="autoZero"/>
        <c:crossBetween val="between"/>
      </c:valAx>
      <c:spPr>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财政拨款收入
</a:t>
                    </a:r>
                    <a:r>
                      <a:rPr lang="en-US" altLang="zh-CN"/>
                      <a:t>98.08%</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1.22%</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上级补助收入
</a:t>
                    </a:r>
                    <a:r>
                      <a:rPr lang="en-US" altLang="zh-CN"/>
                      <a:t>0.70%</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财政拨款收入</c:v>
                </c:pt>
                <c:pt idx="1">
                  <c:v>其他收入</c:v>
                </c:pt>
                <c:pt idx="2">
                  <c:v>上级补助收入</c:v>
                </c:pt>
              </c:strCache>
            </c:strRef>
          </c:cat>
          <c:val>
            <c:numRef>
              <c:f>Sheet1!$B$2:$B$4</c:f>
              <c:numCache>
                <c:formatCode>0.00%</c:formatCode>
                <c:ptCount val="3"/>
                <c:pt idx="0">
                  <c:v>0.9808</c:v>
                </c:pt>
                <c:pt idx="1">
                  <c:v>0.0192</c:v>
                </c:pt>
                <c:pt idx="2">
                  <c:v>0.0122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explosion val="11"/>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c:formatCode>
                <c:ptCount val="2"/>
                <c:pt idx="0">
                  <c:v>0.7285</c:v>
                </c:pt>
                <c:pt idx="1">
                  <c:v>0.2715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财政拨款收、支决算总计</c:v>
                </c:pt>
              </c:strCache>
            </c:strRef>
          </c:tx>
          <c:invertIfNegative val="0"/>
          <c:dPt>
            <c:idx val="0"/>
            <c:invertIfNegative val="0"/>
            <c:bubble3D val="0"/>
            <c:spPr>
              <a:solidFill>
                <a:schemeClr val="accent1"/>
              </a:solidFill>
            </c:spPr>
          </c:dPt>
          <c:dPt>
            <c:idx val="1"/>
            <c:invertIfNegative val="0"/>
            <c:bubble3D val="0"/>
            <c:spPr>
              <a:solidFill>
                <a:srgbClr val="C00000"/>
              </a:solidFill>
            </c:spPr>
          </c:dPt>
          <c:dLbls>
            <c:dLbl>
              <c:idx val="1"/>
              <c:layout>
                <c:manualLayout>
                  <c:x val="0.00497547521664865"/>
                  <c:y val="0.009749813640373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2015年</c:v>
                </c:pt>
                <c:pt idx="1">
                  <c:v>2016年</c:v>
                </c:pt>
              </c:strCache>
            </c:strRef>
          </c:cat>
          <c:val>
            <c:numRef>
              <c:f>Sheet1!$B$2:$B$3</c:f>
              <c:numCache>
                <c:formatCode>General</c:formatCode>
                <c:ptCount val="2"/>
                <c:pt idx="0">
                  <c:v>2933.02</c:v>
                </c:pt>
                <c:pt idx="1">
                  <c:v>3540.94</c:v>
                </c:pt>
              </c:numCache>
            </c:numRef>
          </c:val>
        </c:ser>
        <c:dLbls>
          <c:showLegendKey val="0"/>
          <c:showVal val="1"/>
          <c:showCatName val="0"/>
          <c:showSerName val="0"/>
          <c:showPercent val="0"/>
          <c:showBubbleSize val="0"/>
        </c:dLbls>
        <c:gapWidth val="150"/>
        <c:axId val="145032704"/>
        <c:axId val="145034240"/>
      </c:barChart>
      <c:catAx>
        <c:axId val="1450327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034240"/>
        <c:crosses val="autoZero"/>
        <c:auto val="1"/>
        <c:lblAlgn val="ctr"/>
        <c:lblOffset val="100"/>
        <c:noMultiLvlLbl val="0"/>
      </c:catAx>
      <c:valAx>
        <c:axId val="1450342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032704"/>
        <c:crosses val="autoZero"/>
        <c:crossBetween val="between"/>
      </c:valAx>
      <c:spPr>
        <a:ln>
          <a:solidFill>
            <a:schemeClr val="accent1"/>
          </a:solid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4F81BD"/>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jeusuan </c:v>
                </c:pt>
              </c:strCache>
            </c:strRef>
          </c:tx>
          <c:invertIfNegative val="0"/>
          <c:dPt>
            <c:idx val="1"/>
            <c:invertIfNegative val="0"/>
            <c:bubble3D val="0"/>
            <c:spPr>
              <a:solidFill>
                <a:srgbClr val="C00000"/>
              </a:solidFill>
            </c:spPr>
          </c:dPt>
          <c:dLbls>
            <c:dLbl>
              <c:idx val="1"/>
              <c:layout>
                <c:manualLayout>
                  <c:x val="0.0120392999273838"/>
                  <c:y val="-0.004127966976264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1355.90</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2015年</c:v>
                </c:pt>
                <c:pt idx="1">
                  <c:v>2016年</c:v>
                </c:pt>
              </c:strCache>
            </c:strRef>
          </c:cat>
          <c:val>
            <c:numRef>
              <c:f>Sheet1!$B$2:$B$3</c:f>
              <c:numCache>
                <c:formatCode>General</c:formatCode>
                <c:ptCount val="2"/>
                <c:pt idx="0">
                  <c:v>1557.83</c:v>
                </c:pt>
                <c:pt idx="1">
                  <c:v>1355.9</c:v>
                </c:pt>
              </c:numCache>
            </c:numRef>
          </c:val>
        </c:ser>
        <c:dLbls>
          <c:showLegendKey val="0"/>
          <c:showVal val="1"/>
          <c:showCatName val="0"/>
          <c:showSerName val="0"/>
          <c:showPercent val="0"/>
          <c:showBubbleSize val="0"/>
        </c:dLbls>
        <c:gapWidth val="150"/>
        <c:axId val="145116160"/>
        <c:axId val="145117952"/>
      </c:barChart>
      <c:catAx>
        <c:axId val="1451161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17952"/>
        <c:crosses val="autoZero"/>
        <c:auto val="1"/>
        <c:lblAlgn val="ctr"/>
        <c:lblOffset val="100"/>
        <c:noMultiLvlLbl val="0"/>
      </c:catAx>
      <c:valAx>
        <c:axId val="145117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1616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12"/>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科学技术管理事务支出
</a:t>
                    </a:r>
                    <a:r>
                      <a:rPr lang="en-US" altLang="zh-CN"/>
                      <a:t>18%</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技术研究与开发支出
</a:t>
                    </a:r>
                    <a:r>
                      <a:rPr lang="en-US" altLang="zh-CN"/>
                      <a:t>21%</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科技条件与服务支出
</a:t>
                    </a:r>
                    <a:r>
                      <a:rPr lang="en-US" altLang="zh-CN"/>
                      <a:t>18%</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其他科学技术支出
</a:t>
                    </a:r>
                    <a:r>
                      <a:rPr lang="en-US" altLang="zh-CN"/>
                      <a:t>9%</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
</a:t>
                    </a:r>
                    <a:r>
                      <a:rPr lang="en-US" altLang="zh-CN"/>
                      <a:t>18%</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医疗卫生与计划生育支出
</a:t>
                    </a:r>
                    <a:r>
                      <a:rPr lang="en-US" altLang="zh-CN"/>
                      <a:t>1%</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地震事务支出
</a:t>
                    </a:r>
                    <a:r>
                      <a:rPr lang="en-US" altLang="zh-CN"/>
                      <a:t>10%</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
</a:t>
                    </a:r>
                    <a:r>
                      <a:rPr lang="en-US" altLang="zh-CN"/>
                      <a:t>6%</a:t>
                    </a:r>
                    <a:endParaRPr lang="zh-CN" altLang="en-US"/>
                  </a:p>
                </c:rich>
              </c:tx>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科学技术管理事务支出</c:v>
                </c:pt>
                <c:pt idx="1">
                  <c:v>技术研究与开发支出</c:v>
                </c:pt>
                <c:pt idx="2">
                  <c:v>科技条件与服务支出</c:v>
                </c:pt>
                <c:pt idx="3">
                  <c:v>其他科学技术支出</c:v>
                </c:pt>
                <c:pt idx="4">
                  <c:v>社会保障和就业支出</c:v>
                </c:pt>
                <c:pt idx="5">
                  <c:v>医疗卫生与计划生育支出</c:v>
                </c:pt>
                <c:pt idx="6">
                  <c:v>地震事务支出</c:v>
                </c:pt>
                <c:pt idx="7">
                  <c:v>住房保障支出</c:v>
                </c:pt>
              </c:strCache>
            </c:strRef>
          </c:cat>
          <c:val>
            <c:numRef>
              <c:f>Sheet1!$B$2:$B$9</c:f>
              <c:numCache>
                <c:formatCode>0.00%</c:formatCode>
                <c:ptCount val="8"/>
                <c:pt idx="0">
                  <c:v>0.18</c:v>
                </c:pt>
                <c:pt idx="1">
                  <c:v>0.21</c:v>
                </c:pt>
                <c:pt idx="2">
                  <c:v>0.18</c:v>
                </c:pt>
                <c:pt idx="3">
                  <c:v>0.09</c:v>
                </c:pt>
                <c:pt idx="4">
                  <c:v>0.18</c:v>
                </c:pt>
                <c:pt idx="5">
                  <c:v>0.01</c:v>
                </c:pt>
                <c:pt idx="6">
                  <c:v>0.1</c:v>
                </c:pt>
                <c:pt idx="7">
                  <c:v>0.05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c:v>
                </c:pt>
              </c:strCache>
            </c:strRef>
          </c:tx>
          <c:explosion val="0"/>
          <c:dPt>
            <c:idx val="0"/>
            <c:bubble3D val="0"/>
            <c:explosion val="13"/>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公务用车运行费</a:t>
                    </a:r>
                    <a:r>
                      <a:rPr lang="en-US" altLang="zh-CN"/>
                      <a:t>, 13.22%</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a:t>
                    </a:r>
                    <a:r>
                      <a:rPr lang="en-US" altLang="zh-CN"/>
                      <a:t>, 86.78%</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公务用车运行费</c:v>
                </c:pt>
                <c:pt idx="1">
                  <c:v>公务接待费</c:v>
                </c:pt>
              </c:strCache>
            </c:strRef>
          </c:cat>
          <c:val>
            <c:numRef>
              <c:f>Sheet1!$B$2:$B$3</c:f>
              <c:numCache>
                <c:formatCode>0.00%</c:formatCode>
                <c:ptCount val="2"/>
                <c:pt idx="0">
                  <c:v>0.1323</c:v>
                </c:pt>
                <c:pt idx="1">
                  <c:v>0.867300000000001</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01742-D571-4965-89AB-FAB0C35FC177}">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28</Pages>
  <Words>820</Words>
  <Characters>4679</Characters>
  <Lines>38</Lines>
  <Paragraphs>10</Paragraphs>
  <TotalTime>181</TotalTime>
  <ScaleCrop>false</ScaleCrop>
  <LinksUpToDate>false</LinksUpToDate>
  <CharactersWithSpaces>5489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2017-10-12T08:28:00Z</dcterms:created>
  <dc:creator>Chinese User</dc:creator>
  <cp:lastModifiedBy>苇婷</cp:lastModifiedBy>
  <cp:lastPrinted>2017-10-13T02:44:00Z</cp:lastPrinted>
  <dcterms:modified xsi:type="dcterms:W3CDTF">2021-06-11T09:36:53Z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