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49D" w:rsidRPr="00272E64" w:rsidRDefault="0000075C" w:rsidP="00272E64">
      <w:pPr>
        <w:widowControl/>
        <w:spacing w:line="276" w:lineRule="auto"/>
        <w:ind w:right="-34"/>
        <w:jc w:val="center"/>
        <w:rPr>
          <w:rFonts w:ascii="方正小标宋简体" w:eastAsia="方正小标宋简体" w:hAnsi="华文中宋" w:cs="Times New Roman"/>
          <w:bCs/>
          <w:sz w:val="36"/>
          <w:szCs w:val="36"/>
        </w:rPr>
      </w:pPr>
      <w:r w:rsidRPr="00272E64">
        <w:rPr>
          <w:rFonts w:ascii="方正小标宋简体" w:eastAsia="方正小标宋简体" w:hAnsi="华文中宋" w:cs="Times New Roman"/>
          <w:bCs/>
          <w:sz w:val="36"/>
          <w:szCs w:val="36"/>
        </w:rPr>
        <w:t>《梅州市梅县区大新城片区控制性详细规划》</w:t>
      </w:r>
    </w:p>
    <w:p w:rsidR="00F14460" w:rsidRPr="00272E64" w:rsidRDefault="0000075C" w:rsidP="00272E64">
      <w:pPr>
        <w:widowControl/>
        <w:spacing w:line="276" w:lineRule="auto"/>
        <w:ind w:right="-34"/>
        <w:jc w:val="center"/>
        <w:rPr>
          <w:rFonts w:ascii="方正小标宋简体" w:eastAsia="方正小标宋简体" w:hAnsi="华文中宋" w:cs="Times New Roman"/>
          <w:bCs/>
          <w:sz w:val="36"/>
          <w:szCs w:val="36"/>
        </w:rPr>
      </w:pPr>
      <w:r w:rsidRPr="00272E64">
        <w:rPr>
          <w:rFonts w:ascii="方正小标宋简体" w:eastAsia="方正小标宋简体" w:hAnsi="华文中宋" w:cs="Times New Roman"/>
          <w:bCs/>
          <w:sz w:val="36"/>
          <w:szCs w:val="36"/>
        </w:rPr>
        <w:t>主要内容</w:t>
      </w:r>
    </w:p>
    <w:p w:rsidR="00F14460" w:rsidRDefault="00F14460">
      <w:pPr>
        <w:rPr>
          <w:rFonts w:eastAsia="方正小标宋简体"/>
        </w:rPr>
      </w:pPr>
    </w:p>
    <w:p w:rsidR="00F14460" w:rsidRPr="00083E3B" w:rsidRDefault="0000075C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一、规划范围</w:t>
      </w:r>
    </w:p>
    <w:p w:rsid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规划区位于梅州市中心城区中部。规划范围东起梅塘西路，西至府前大道，南临梅江，北至程江河，总用地面积约5.56平方公里。</w:t>
      </w:r>
    </w:p>
    <w:p w:rsidR="00F14460" w:rsidRPr="00083E3B" w:rsidRDefault="00083E3B" w:rsidP="00272E64">
      <w:pPr>
        <w:pStyle w:val="a7"/>
        <w:widowControl/>
        <w:spacing w:after="200" w:line="360" w:lineRule="auto"/>
        <w:ind w:firstLine="480"/>
        <w:contextualSpacing/>
        <w:jc w:val="center"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noProof/>
          <w:kern w:val="0"/>
          <w:sz w:val="24"/>
          <w:szCs w:val="24"/>
        </w:rPr>
        <w:drawing>
          <wp:inline distT="0" distB="0" distL="0" distR="0">
            <wp:extent cx="5274000" cy="4327200"/>
            <wp:effectExtent l="0" t="0" r="3175" b="0"/>
            <wp:docPr id="2" name="图片 2" descr="1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1区位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5" t="7579" r="7988" b="3487"/>
                    <a:stretch/>
                  </pic:blipFill>
                  <pic:spPr bwMode="auto">
                    <a:xfrm>
                      <a:off x="0" y="0"/>
                      <a:ext cx="52740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39B" w:rsidRPr="00083E3B" w:rsidRDefault="00D6339B" w:rsidP="00083E3B">
      <w:pPr>
        <w:pStyle w:val="a7"/>
        <w:widowControl/>
        <w:spacing w:after="200" w:line="360" w:lineRule="auto"/>
        <w:ind w:firstLine="480"/>
        <w:contextualSpacing/>
        <w:jc w:val="center"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kern w:val="0"/>
          <w:sz w:val="24"/>
          <w:szCs w:val="24"/>
        </w:rPr>
        <w:t>图1区位</w:t>
      </w:r>
    </w:p>
    <w:p w:rsidR="00D6339B" w:rsidRPr="00083E3B" w:rsidRDefault="00D6339B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二</w:t>
      </w:r>
      <w:r w:rsidRPr="00083E3B">
        <w:rPr>
          <w:rFonts w:ascii="宋体" w:eastAsia="宋体" w:hAnsi="宋体"/>
          <w:b/>
          <w:kern w:val="0"/>
          <w:sz w:val="24"/>
          <w:szCs w:val="24"/>
        </w:rPr>
        <w:t>、规划原则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一）经济性原则——规划区属于商居密集的城市旧城区，规划从释放区位优势，体现土地价值的经济原则出发，盘活内部低效、闲置的存量用地，发挥土地的高效益用途，通过提升与丰富功能，增加城区的活力。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（二）可操作性原则——根据梅州发展需求，通过分类梳理现状，制定合理分期实施方案，使规划更具可操作性和实施性。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lastRenderedPageBreak/>
        <w:t>（三）特色性原则——规划区依托临江的优势，打造滨江宜居城区，创建具有丰富文化魅力和运营活力的城市空间。保留规划区现状传统风貌民居，通过活化利用的手段，打造具有客家文化风貌特色的</w:t>
      </w:r>
      <w:r w:rsidR="00726291" w:rsidRPr="00083E3B">
        <w:rPr>
          <w:rFonts w:ascii="宋体" w:eastAsia="宋体" w:hAnsi="宋体" w:hint="eastAsia"/>
          <w:kern w:val="0"/>
          <w:sz w:val="24"/>
          <w:szCs w:val="24"/>
        </w:rPr>
        <w:t>区域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。</w:t>
      </w:r>
    </w:p>
    <w:p w:rsidR="00D6339B" w:rsidRPr="00083E3B" w:rsidRDefault="00D6339B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三</w:t>
      </w:r>
      <w:r w:rsidR="0000075C" w:rsidRPr="00083E3B">
        <w:rPr>
          <w:rFonts w:ascii="宋体" w:eastAsia="宋体" w:hAnsi="宋体" w:hint="eastAsia"/>
          <w:b/>
          <w:kern w:val="0"/>
          <w:sz w:val="24"/>
          <w:szCs w:val="24"/>
        </w:rPr>
        <w:t>、</w:t>
      </w: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功能</w:t>
      </w:r>
      <w:r w:rsidRPr="00083E3B">
        <w:rPr>
          <w:rFonts w:ascii="宋体" w:eastAsia="宋体" w:hAnsi="宋体"/>
          <w:b/>
          <w:kern w:val="0"/>
          <w:sz w:val="24"/>
          <w:szCs w:val="24"/>
        </w:rPr>
        <w:t>定位</w:t>
      </w:r>
    </w:p>
    <w:p w:rsidR="00D6339B" w:rsidRPr="00083E3B" w:rsidRDefault="00D6339B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区级商业服务区、特色宜居生活区，重点发展商业、居住休闲等功能。</w:t>
      </w:r>
    </w:p>
    <w:p w:rsidR="00D6339B" w:rsidRPr="00083E3B" w:rsidRDefault="00D6339B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四</w:t>
      </w:r>
      <w:r w:rsidRPr="00083E3B">
        <w:rPr>
          <w:rFonts w:ascii="宋体" w:eastAsia="宋体" w:hAnsi="宋体"/>
          <w:b/>
          <w:kern w:val="0"/>
          <w:sz w:val="24"/>
          <w:szCs w:val="24"/>
        </w:rPr>
        <w:t>、空间结构</w:t>
      </w:r>
    </w:p>
    <w:p w:rsidR="00D6339B" w:rsidRPr="00083E3B" w:rsidRDefault="00D6339B" w:rsidP="00272E64">
      <w:pPr>
        <w:pStyle w:val="a7"/>
        <w:widowControl/>
        <w:spacing w:after="200" w:line="360" w:lineRule="auto"/>
        <w:ind w:firstLineChars="300" w:firstLine="72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规划形成“两轴两带、一心三区”的整体空间功能结构。</w:t>
      </w:r>
    </w:p>
    <w:p w:rsidR="00D6339B" w:rsidRPr="00083E3B" w:rsidRDefault="00D6339B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“两轴”：人民南路发展轴、府前大道发展轴。依托人民南路形成规划区的主要发展轴，发展现代商业等功能，并通过府前大道发展轴对接梅县区周边组团。</w:t>
      </w:r>
    </w:p>
    <w:p w:rsidR="00D6339B" w:rsidRPr="00083E3B" w:rsidRDefault="00D6339B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“两带”：梅江生态景观廊道、程江生态景观廊道。落实总规要求，沿梅江、程江控制生态廊道，并融入休闲游憩功能，提升城市景观生态品质。</w:t>
      </w:r>
    </w:p>
    <w:p w:rsidR="00D6339B" w:rsidRDefault="00D6339B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仿宋_GB2312" w:eastAsia="仿宋_GB2312"/>
          <w:sz w:val="32"/>
          <w:szCs w:val="32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“一心”：大新城商业中心。在人民南路发展轴打造大新城商业中心，配套公服、绿地等，形成片区的发展核心。</w:t>
      </w:r>
    </w:p>
    <w:p w:rsidR="00083E3B" w:rsidRDefault="00D6339B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“三区”：西山扶贵居住片区、古塘居住片区、扶外沿江居住片区。</w:t>
      </w:r>
    </w:p>
    <w:p w:rsidR="00D6339B" w:rsidRDefault="00083E3B" w:rsidP="00272E64">
      <w:pPr>
        <w:jc w:val="center"/>
        <w:rPr>
          <w:rFonts w:ascii="仿宋_GB2312" w:eastAsia="仿宋_GB2312"/>
          <w:sz w:val="32"/>
          <w:szCs w:val="32"/>
        </w:rPr>
      </w:pPr>
      <w:r w:rsidRPr="00083E3B">
        <w:rPr>
          <w:rFonts w:eastAsia="宋体"/>
          <w:noProof/>
        </w:rPr>
        <w:drawing>
          <wp:inline distT="0" distB="0" distL="0" distR="0">
            <wp:extent cx="5341183" cy="3492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/>
                    <a:stretch>
                      <a:fillRect/>
                    </a:stretch>
                  </pic:blipFill>
                  <pic:spPr>
                    <a:xfrm>
                      <a:off x="0" y="0"/>
                      <a:ext cx="5341183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FE" w:rsidRPr="00083E3B" w:rsidRDefault="00224FFE" w:rsidP="00083E3B">
      <w:pPr>
        <w:pStyle w:val="a7"/>
        <w:widowControl/>
        <w:spacing w:after="200" w:line="360" w:lineRule="auto"/>
        <w:ind w:firstLine="480"/>
        <w:contextualSpacing/>
        <w:jc w:val="center"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kern w:val="0"/>
          <w:sz w:val="24"/>
          <w:szCs w:val="24"/>
        </w:rPr>
        <w:t xml:space="preserve">图2  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功能结构</w:t>
      </w:r>
      <w:r w:rsidRPr="00083E3B">
        <w:rPr>
          <w:rFonts w:ascii="宋体" w:eastAsia="宋体" w:hAnsi="宋体"/>
          <w:kern w:val="0"/>
          <w:sz w:val="24"/>
          <w:szCs w:val="24"/>
        </w:rPr>
        <w:t>图</w:t>
      </w:r>
    </w:p>
    <w:p w:rsidR="00F14460" w:rsidRPr="00083E3B" w:rsidRDefault="00D6339B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/>
          <w:b/>
          <w:kern w:val="0"/>
          <w:sz w:val="24"/>
          <w:szCs w:val="24"/>
        </w:rPr>
        <w:t>五、人口规模与建设用地规模</w:t>
      </w:r>
    </w:p>
    <w:p w:rsidR="00D6339B" w:rsidRPr="00083E3B" w:rsidRDefault="002A1B9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kern w:val="0"/>
          <w:sz w:val="24"/>
          <w:szCs w:val="24"/>
        </w:rPr>
        <w:t>规划人口约10万人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；</w:t>
      </w:r>
      <w:r w:rsidRPr="00083E3B">
        <w:rPr>
          <w:rFonts w:ascii="宋体" w:eastAsia="宋体" w:hAnsi="宋体"/>
          <w:kern w:val="0"/>
          <w:sz w:val="24"/>
          <w:szCs w:val="24"/>
        </w:rPr>
        <w:t>规划区总用地</w:t>
      </w:r>
      <w:r w:rsidR="0030149D" w:rsidRPr="00083E3B">
        <w:rPr>
          <w:rFonts w:ascii="宋体" w:eastAsia="宋体" w:hAnsi="宋体"/>
          <w:kern w:val="0"/>
          <w:sz w:val="24"/>
          <w:szCs w:val="24"/>
        </w:rPr>
        <w:t>555.98</w:t>
      </w:r>
      <w:r w:rsidR="0030149D" w:rsidRPr="00083E3B">
        <w:rPr>
          <w:rFonts w:ascii="宋体" w:eastAsia="宋体" w:hAnsi="宋体" w:hint="eastAsia"/>
          <w:kern w:val="0"/>
          <w:sz w:val="24"/>
          <w:szCs w:val="24"/>
        </w:rPr>
        <w:t>公顷</w:t>
      </w:r>
      <w:r w:rsidRPr="00083E3B">
        <w:rPr>
          <w:rFonts w:ascii="宋体" w:eastAsia="宋体" w:hAnsi="宋体"/>
          <w:kern w:val="0"/>
          <w:sz w:val="24"/>
          <w:szCs w:val="24"/>
        </w:rPr>
        <w:t>，均为城市建设用地。</w:t>
      </w:r>
    </w:p>
    <w:p w:rsidR="00357DE2" w:rsidRPr="00083E3B" w:rsidRDefault="00357DE2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lastRenderedPageBreak/>
        <w:t>六</w:t>
      </w:r>
      <w:r w:rsidRPr="00083E3B">
        <w:rPr>
          <w:rFonts w:ascii="宋体" w:eastAsia="宋体" w:hAnsi="宋体"/>
          <w:b/>
          <w:kern w:val="0"/>
          <w:sz w:val="24"/>
          <w:szCs w:val="24"/>
        </w:rPr>
        <w:t>、土地利用规划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以《城市用地分类与规划建设用地标准》（GB50137-2011）为基本分类依据，按照总体功能布局安排土地用途，将规划用地分成居住用地、公共管理与公共服务设施用地、商业服务业设施用地、道路与交通设施用地、公用设施用地、绿地与广场用地。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规划总面积555.98公顷，全部为城市建设用地。</w:t>
      </w:r>
      <w:r w:rsidR="0002475B" w:rsidRPr="00083E3B">
        <w:rPr>
          <w:rFonts w:ascii="宋体" w:eastAsia="宋体" w:hAnsi="宋体"/>
          <w:kern w:val="0"/>
          <w:sz w:val="24"/>
          <w:szCs w:val="24"/>
        </w:rPr>
        <w:t>规划二类居住用地318.02hm</w:t>
      </w:r>
      <w:r w:rsidR="0002475B" w:rsidRPr="00272E64">
        <w:rPr>
          <w:rFonts w:ascii="宋体" w:eastAsia="宋体" w:hAnsi="宋体"/>
          <w:kern w:val="0"/>
          <w:sz w:val="24"/>
          <w:szCs w:val="24"/>
          <w:vertAlign w:val="superscript"/>
        </w:rPr>
        <w:t>2</w:t>
      </w:r>
      <w:r w:rsidR="0002475B" w:rsidRPr="00083E3B">
        <w:rPr>
          <w:rFonts w:ascii="宋体" w:eastAsia="宋体" w:hAnsi="宋体"/>
          <w:kern w:val="0"/>
          <w:sz w:val="24"/>
          <w:szCs w:val="24"/>
        </w:rPr>
        <w:t>，公共管理与公共服务</w:t>
      </w:r>
      <w:r w:rsidR="00F6704C">
        <w:rPr>
          <w:rFonts w:ascii="宋体" w:eastAsia="宋体" w:hAnsi="宋体" w:hint="eastAsia"/>
          <w:kern w:val="0"/>
          <w:sz w:val="24"/>
          <w:szCs w:val="24"/>
        </w:rPr>
        <w:t>设施</w:t>
      </w:r>
      <w:bookmarkStart w:id="0" w:name="_GoBack"/>
      <w:bookmarkEnd w:id="0"/>
      <w:r w:rsidR="0002475B" w:rsidRPr="00083E3B">
        <w:rPr>
          <w:rFonts w:ascii="宋体" w:eastAsia="宋体" w:hAnsi="宋体"/>
          <w:kern w:val="0"/>
          <w:sz w:val="24"/>
          <w:szCs w:val="24"/>
        </w:rPr>
        <w:t>用地49.61hm²，商业服务业设施用地44.23hm²，道路与交通设施用地130.23hm²，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公用设施用地1.8</w:t>
      </w:r>
      <w:r w:rsidR="0002475B" w:rsidRPr="00083E3B">
        <w:rPr>
          <w:rFonts w:ascii="宋体" w:eastAsia="宋体" w:hAnsi="宋体"/>
          <w:kern w:val="0"/>
          <w:sz w:val="24"/>
          <w:szCs w:val="24"/>
        </w:rPr>
        <w:t>1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hm</w:t>
      </w:r>
      <w:r w:rsidRPr="00083E3B">
        <w:rPr>
          <w:rFonts w:ascii="宋体" w:eastAsia="宋体" w:hAnsi="宋体"/>
          <w:kern w:val="0"/>
          <w:sz w:val="24"/>
          <w:szCs w:val="24"/>
        </w:rPr>
        <w:t>²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，</w:t>
      </w:r>
      <w:r w:rsidR="0002475B" w:rsidRPr="00083E3B">
        <w:rPr>
          <w:rFonts w:ascii="宋体" w:eastAsia="宋体" w:hAnsi="宋体"/>
          <w:kern w:val="0"/>
          <w:sz w:val="24"/>
          <w:szCs w:val="24"/>
        </w:rPr>
        <w:t>绿地与广场用地12.08hm²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。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 xml:space="preserve">商业设施用地主要沿宪梓中路、人民南路、府前大道等布局，居住用地采用组团式布置，绿地和广场用地在各个居住片区均衡布局。 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规划采用三级图则控制体系，分别为片区总图则、管理单元图则、地块图则。控制内容主要包括：</w:t>
      </w:r>
    </w:p>
    <w:p w:rsidR="00357DE2" w:rsidRPr="00083E3B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（1）强制性控制内容：土地使用性质、建筑密度、建筑限高、容积率、绿地率、配套设施（包括公共服务设施和市政公用设施）。</w:t>
      </w:r>
    </w:p>
    <w:p w:rsidR="00357DE2" w:rsidRDefault="00357DE2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（2）除以上内容外，其余为指导性内容，是参照执行的指标。主要包括：地块面积、建筑面积、人口数、停车位、土地使用兼容性等。</w:t>
      </w:r>
    </w:p>
    <w:p w:rsidR="00083E3B" w:rsidRPr="00083E3B" w:rsidRDefault="00083E3B" w:rsidP="00083E3B">
      <w:pPr>
        <w:jc w:val="center"/>
        <w:rPr>
          <w:rFonts w:ascii="宋体" w:eastAsia="宋体" w:hAnsi="宋体"/>
          <w:kern w:val="0"/>
          <w:sz w:val="24"/>
          <w:szCs w:val="24"/>
        </w:rPr>
      </w:pPr>
      <w:r w:rsidRPr="0002475B">
        <w:rPr>
          <w:rFonts w:eastAsia="仿宋_GB2312"/>
          <w:noProof/>
        </w:rPr>
        <w:drawing>
          <wp:inline distT="0" distB="0" distL="0" distR="0">
            <wp:extent cx="5274000" cy="3495600"/>
            <wp:effectExtent l="0" t="0" r="3175" b="0"/>
            <wp:docPr id="185" name="图片 185" descr="07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07土地利用规划图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 t="8592" r="2550" b="22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5B" w:rsidRPr="00083E3B" w:rsidRDefault="0002475B" w:rsidP="00083E3B">
      <w:pPr>
        <w:tabs>
          <w:tab w:val="left" w:pos="540"/>
        </w:tabs>
        <w:adjustRightInd w:val="0"/>
        <w:snapToGrid w:val="0"/>
        <w:spacing w:line="560" w:lineRule="exact"/>
        <w:ind w:firstLineChars="1350" w:firstLine="3240"/>
        <w:rPr>
          <w:rFonts w:ascii="宋体" w:eastAsia="宋体" w:hAnsi="宋体" w:cs="Times New Roman"/>
          <w:kern w:val="0"/>
          <w:sz w:val="24"/>
          <w:szCs w:val="24"/>
        </w:rPr>
      </w:pPr>
      <w:r w:rsidRPr="00083E3B">
        <w:rPr>
          <w:rFonts w:ascii="宋体" w:eastAsia="宋体" w:hAnsi="宋体" w:cs="Times New Roman" w:hint="eastAsia"/>
          <w:kern w:val="0"/>
          <w:sz w:val="24"/>
          <w:szCs w:val="24"/>
        </w:rPr>
        <w:t>图3 土地</w:t>
      </w:r>
      <w:r w:rsidRPr="00083E3B">
        <w:rPr>
          <w:rFonts w:ascii="宋体" w:eastAsia="宋体" w:hAnsi="宋体" w:cs="Times New Roman"/>
          <w:kern w:val="0"/>
          <w:sz w:val="24"/>
          <w:szCs w:val="24"/>
        </w:rPr>
        <w:t>利用规划图</w:t>
      </w:r>
    </w:p>
    <w:p w:rsidR="00F14460" w:rsidRPr="00083E3B" w:rsidRDefault="002A1B9C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lastRenderedPageBreak/>
        <w:t>七、</w:t>
      </w:r>
      <w:r w:rsidR="0000075C" w:rsidRPr="00083E3B">
        <w:rPr>
          <w:rFonts w:ascii="宋体" w:eastAsia="宋体" w:hAnsi="宋体" w:hint="eastAsia"/>
          <w:b/>
          <w:kern w:val="0"/>
          <w:sz w:val="24"/>
          <w:szCs w:val="24"/>
        </w:rPr>
        <w:t>道路规划</w:t>
      </w:r>
    </w:p>
    <w:p w:rsidR="00F14460" w:rsidRPr="006C325F" w:rsidRDefault="0000075C" w:rsidP="006C325F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color w:val="000000" w:themeColor="text1"/>
          <w:kern w:val="0"/>
          <w:sz w:val="24"/>
          <w:szCs w:val="24"/>
        </w:rPr>
      </w:pPr>
      <w:r w:rsidRPr="006C325F">
        <w:rPr>
          <w:rFonts w:ascii="宋体" w:eastAsia="宋体" w:hAnsi="宋体" w:hint="eastAsia"/>
          <w:color w:val="000000" w:themeColor="text1"/>
          <w:kern w:val="0"/>
          <w:sz w:val="24"/>
          <w:szCs w:val="24"/>
        </w:rPr>
        <w:t>规划形成“两横两纵”主干结构和方格网式的次干道和支路体系。</w:t>
      </w:r>
    </w:p>
    <w:p w:rsidR="00F14460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“两横”：广梅中路、宪梓中路。</w:t>
      </w:r>
    </w:p>
    <w:p w:rsidR="002A1B9C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“两纵”：府前大道、梅塘西路。</w:t>
      </w:r>
    </w:p>
    <w:p w:rsidR="00F14460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规划区内各等级道路规划要求如下：</w:t>
      </w:r>
    </w:p>
    <w:p w:rsidR="00F14460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（1）主干路：包括府前大道、广梅中路、梅塘西路、宪梓中路，道路红线主要控制为50米和55米，设计时速40-60公里/小时，双向6-8车道为主。</w:t>
      </w:r>
    </w:p>
    <w:p w:rsidR="00F14460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仿宋_GB2312" w:eastAsia="仿宋_GB2312"/>
          <w:sz w:val="32"/>
          <w:szCs w:val="32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（2）次干路：包括人民南路、大新街、新府街、新富街。人民南路道路红线控制为55米，设计时速40</w:t>
      </w:r>
      <w:r w:rsidRPr="00083E3B">
        <w:rPr>
          <w:rFonts w:ascii="宋体" w:eastAsia="宋体" w:hAnsi="宋体"/>
          <w:kern w:val="0"/>
          <w:sz w:val="24"/>
          <w:szCs w:val="24"/>
        </w:rPr>
        <w:t>-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60公里/小时，双向8车道；大新街、新府街、新富街道路红线主要控制宽度为30米，设计时速30</w:t>
      </w:r>
      <w:r w:rsidRPr="00083E3B">
        <w:rPr>
          <w:rFonts w:ascii="宋体" w:eastAsia="宋体" w:hAnsi="宋体"/>
          <w:kern w:val="0"/>
          <w:sz w:val="24"/>
          <w:szCs w:val="24"/>
        </w:rPr>
        <w:t>-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40公里/小时，双向4车道为主。</w:t>
      </w:r>
    </w:p>
    <w:p w:rsidR="00F14460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（3）支路：包括交通路、锦绣街、新地街、新满街、新金街等。道路红线主要控制为12米、15米、18米、24米。</w:t>
      </w:r>
    </w:p>
    <w:p w:rsidR="00083E3B" w:rsidRPr="00083E3B" w:rsidRDefault="00083E3B" w:rsidP="00083E3B">
      <w:pPr>
        <w:widowControl/>
        <w:spacing w:after="200" w:line="360" w:lineRule="auto"/>
        <w:contextualSpacing/>
        <w:jc w:val="center"/>
        <w:outlineLvl w:val="1"/>
        <w:rPr>
          <w:rFonts w:ascii="仿宋_GB2312" w:eastAsia="仿宋_GB2312"/>
          <w:sz w:val="32"/>
          <w:szCs w:val="32"/>
        </w:rPr>
      </w:pPr>
      <w:r w:rsidRPr="00083E3B">
        <w:rPr>
          <w:rFonts w:ascii="宋体" w:eastAsia="宋体" w:hAnsi="宋体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493135"/>
            <wp:effectExtent l="0" t="0" r="2540" b="0"/>
            <wp:docPr id="3" name="图片 3" descr="E:\2018\28大新城\0整合\1009修改\大新城在此基础上修改\大新城0404\10道路系统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E:\2018\28大新城\0整合\1009修改\大新城在此基础上修改\大新城0404\10道路系统规划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" t="8563" r="2313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9C" w:rsidRPr="00083E3B" w:rsidRDefault="00224FFE" w:rsidP="00083E3B">
      <w:pPr>
        <w:pStyle w:val="a7"/>
        <w:widowControl/>
        <w:spacing w:after="200" w:line="360" w:lineRule="auto"/>
        <w:ind w:firstLineChars="0" w:firstLine="0"/>
        <w:contextualSpacing/>
        <w:jc w:val="center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kern w:val="0"/>
          <w:sz w:val="24"/>
          <w:szCs w:val="24"/>
        </w:rPr>
        <w:t xml:space="preserve">图4  </w:t>
      </w:r>
      <w:r w:rsidR="0030149D" w:rsidRPr="00083E3B">
        <w:rPr>
          <w:rFonts w:ascii="宋体" w:eastAsia="宋体" w:hAnsi="宋体" w:hint="eastAsia"/>
          <w:kern w:val="0"/>
          <w:sz w:val="24"/>
          <w:szCs w:val="24"/>
        </w:rPr>
        <w:t>道路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交通</w:t>
      </w:r>
      <w:r w:rsidRPr="00083E3B">
        <w:rPr>
          <w:rFonts w:ascii="宋体" w:eastAsia="宋体" w:hAnsi="宋体"/>
          <w:kern w:val="0"/>
          <w:sz w:val="24"/>
          <w:szCs w:val="24"/>
        </w:rPr>
        <w:t>规划图</w:t>
      </w:r>
    </w:p>
    <w:p w:rsidR="00F14460" w:rsidRPr="00083E3B" w:rsidRDefault="002A1B9C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八、</w:t>
      </w:r>
      <w:r w:rsidR="0000075C" w:rsidRPr="00083E3B">
        <w:rPr>
          <w:rFonts w:ascii="宋体" w:eastAsia="宋体" w:hAnsi="宋体" w:hint="eastAsia"/>
          <w:b/>
          <w:kern w:val="0"/>
          <w:sz w:val="24"/>
          <w:szCs w:val="24"/>
        </w:rPr>
        <w:t>公共服务设施规划</w:t>
      </w:r>
    </w:p>
    <w:p w:rsidR="00F14460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采用分级与分类相结合的方法配置公共服务设施。规划1个区级公共服务中心，为大新城商业中心；3个居住区级公共服务中心，包括扶贵西山居住区服务中心、古塘居住区服务中心、沿江扶外居住区服务中心，配置文化、医疗、教育等设施；按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lastRenderedPageBreak/>
        <w:t>服务人口1-1.5万进行配置，形成6个居住小区级公共服务中心，配置文化站、卫生站、幼儿园等设施。</w:t>
      </w:r>
    </w:p>
    <w:p w:rsidR="00083E3B" w:rsidRDefault="00083E3B" w:rsidP="00083E3B">
      <w:pPr>
        <w:pStyle w:val="a7"/>
        <w:widowControl/>
        <w:spacing w:after="200" w:line="360" w:lineRule="auto"/>
        <w:ind w:firstLineChars="0" w:firstLine="0"/>
        <w:contextualSpacing/>
        <w:jc w:val="center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>
            <wp:extent cx="5274310" cy="3492423"/>
            <wp:effectExtent l="0" t="0" r="2540" b="0"/>
            <wp:docPr id="4" name="图片 4" descr="E:\2018\28大新城\0整合\1009修改\大新城在此基础上修改\大新城0404\14公共服务设施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E:\2018\28大新城\0整合\1009修改\大新城在此基础上修改\大新城0404\14公共服务设施规划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8590" r="2205" b="20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5B" w:rsidRPr="00083E3B" w:rsidRDefault="00224FFE" w:rsidP="00083E3B">
      <w:pPr>
        <w:pStyle w:val="a7"/>
        <w:widowControl/>
        <w:spacing w:after="200" w:line="360" w:lineRule="auto"/>
        <w:ind w:firstLineChars="0" w:firstLine="0"/>
        <w:contextualSpacing/>
        <w:jc w:val="center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/>
          <w:kern w:val="0"/>
          <w:sz w:val="24"/>
          <w:szCs w:val="24"/>
        </w:rPr>
        <w:t xml:space="preserve">图5  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公共服务设施</w:t>
      </w:r>
      <w:r w:rsidRPr="00083E3B">
        <w:rPr>
          <w:rFonts w:ascii="宋体" w:eastAsia="宋体" w:hAnsi="宋体"/>
          <w:kern w:val="0"/>
          <w:sz w:val="24"/>
          <w:szCs w:val="24"/>
        </w:rPr>
        <w:t>规划图</w:t>
      </w:r>
    </w:p>
    <w:p w:rsidR="00F14460" w:rsidRPr="00083E3B" w:rsidRDefault="002A1B9C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九、</w:t>
      </w:r>
      <w:r w:rsidR="0000075C" w:rsidRPr="00083E3B">
        <w:rPr>
          <w:rFonts w:ascii="宋体" w:eastAsia="宋体" w:hAnsi="宋体" w:hint="eastAsia"/>
          <w:b/>
          <w:kern w:val="0"/>
          <w:sz w:val="24"/>
          <w:szCs w:val="24"/>
        </w:rPr>
        <w:t>绿地系统规划</w:t>
      </w:r>
    </w:p>
    <w:p w:rsidR="00F14460" w:rsidRPr="00083E3B" w:rsidRDefault="0000075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结合现有的不可移动文物、历史价值</w:t>
      </w:r>
      <w:r w:rsidRPr="00083E3B">
        <w:rPr>
          <w:rFonts w:ascii="宋体" w:eastAsia="宋体" w:hAnsi="宋体"/>
          <w:kern w:val="0"/>
          <w:sz w:val="24"/>
          <w:szCs w:val="24"/>
        </w:rPr>
        <w:t>较高</w:t>
      </w:r>
      <w:r w:rsidRPr="00083E3B">
        <w:rPr>
          <w:rFonts w:ascii="宋体" w:eastAsia="宋体" w:hAnsi="宋体" w:hint="eastAsia"/>
          <w:kern w:val="0"/>
          <w:sz w:val="24"/>
          <w:szCs w:val="24"/>
        </w:rPr>
        <w:t>的老旧民居等资源，打造多层级的绿地系统，实现“300米见绿，500米见园”。</w:t>
      </w:r>
      <w:r w:rsidR="00357DE2" w:rsidRP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 xml:space="preserve"> 规划绿地与广场用地总面积</w:t>
      </w:r>
      <w:r w:rsidR="0002475B" w:rsidRP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>12.08</w:t>
      </w:r>
      <w:r w:rsidR="00357DE2" w:rsidRP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>公顷，占规划建设用地总量的2.</w:t>
      </w:r>
      <w:r w:rsidR="0002475B" w:rsidRP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>17</w:t>
      </w:r>
      <w:r w:rsid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>%</w:t>
      </w:r>
      <w:r w:rsidR="00357DE2" w:rsidRPr="006C325F">
        <w:rPr>
          <w:rFonts w:ascii="宋体" w:eastAsia="宋体" w:hAnsi="宋体"/>
          <w:color w:val="000000" w:themeColor="text1"/>
          <w:kern w:val="0"/>
          <w:sz w:val="24"/>
          <w:szCs w:val="24"/>
        </w:rPr>
        <w:t>。</w:t>
      </w:r>
      <w:r w:rsidR="00357DE2" w:rsidRPr="00083E3B">
        <w:rPr>
          <w:rFonts w:ascii="宋体" w:eastAsia="宋体" w:hAnsi="宋体"/>
          <w:kern w:val="0"/>
          <w:sz w:val="24"/>
          <w:szCs w:val="24"/>
        </w:rPr>
        <w:t>规划居住区级社区公园3个，分别位于西山陈氏大屋跨东侧、林氏祖屋周边、张林祖屋周边。</w:t>
      </w:r>
    </w:p>
    <w:p w:rsidR="00F14460" w:rsidRPr="00083E3B" w:rsidRDefault="002A1B9C" w:rsidP="00083E3B">
      <w:pPr>
        <w:pStyle w:val="a7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b/>
          <w:kern w:val="0"/>
          <w:sz w:val="24"/>
          <w:szCs w:val="24"/>
        </w:rPr>
        <w:t>十</w:t>
      </w:r>
      <w:r w:rsidRPr="00083E3B">
        <w:rPr>
          <w:rFonts w:ascii="宋体" w:eastAsia="宋体" w:hAnsi="宋体"/>
          <w:b/>
          <w:kern w:val="0"/>
          <w:sz w:val="24"/>
          <w:szCs w:val="24"/>
        </w:rPr>
        <w:t>、</w:t>
      </w:r>
      <w:r w:rsidR="0000075C" w:rsidRPr="00083E3B">
        <w:rPr>
          <w:rFonts w:ascii="宋体" w:eastAsia="宋体" w:hAnsi="宋体" w:hint="eastAsia"/>
          <w:b/>
          <w:kern w:val="0"/>
          <w:sz w:val="24"/>
          <w:szCs w:val="24"/>
        </w:rPr>
        <w:t>市政公用工程</w:t>
      </w:r>
    </w:p>
    <w:p w:rsidR="00F14460" w:rsidRPr="00083E3B" w:rsidRDefault="002A1B9C" w:rsidP="00083E3B">
      <w:pPr>
        <w:pStyle w:val="a7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083E3B">
        <w:rPr>
          <w:rFonts w:ascii="宋体" w:eastAsia="宋体" w:hAnsi="宋体" w:hint="eastAsia"/>
          <w:kern w:val="0"/>
          <w:sz w:val="24"/>
          <w:szCs w:val="24"/>
        </w:rPr>
        <w:t>以规划区用地及人口规模为参照，结合道路、场地竖向进行布置</w:t>
      </w:r>
      <w:r w:rsidR="00357DE2" w:rsidRPr="00083E3B">
        <w:rPr>
          <w:rFonts w:ascii="宋体" w:eastAsia="宋体" w:hAnsi="宋体" w:hint="eastAsia"/>
          <w:kern w:val="0"/>
          <w:sz w:val="24"/>
          <w:szCs w:val="24"/>
        </w:rPr>
        <w:t>。</w:t>
      </w:r>
    </w:p>
    <w:sectPr w:rsidR="00F14460" w:rsidRPr="00083E3B" w:rsidSect="00474070">
      <w:headerReference w:type="default" r:id="rId12"/>
      <w:footerReference w:type="default" r:id="rId13"/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A64" w:rsidRDefault="00A43A64">
      <w:r>
        <w:separator/>
      </w:r>
    </w:p>
  </w:endnote>
  <w:endnote w:type="continuationSeparator" w:id="0">
    <w:p w:rsidR="00A43A64" w:rsidRDefault="00A4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9291941"/>
    </w:sdtPr>
    <w:sdtEndPr/>
    <w:sdtContent>
      <w:p w:rsidR="00001E1C" w:rsidRDefault="00A43A64">
        <w:pPr>
          <w:pStyle w:val="a3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F6704C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001E1C" w:rsidRDefault="00001E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A64" w:rsidRDefault="00A43A64">
      <w:r>
        <w:separator/>
      </w:r>
    </w:p>
  </w:footnote>
  <w:footnote w:type="continuationSeparator" w:id="0">
    <w:p w:rsidR="00A43A64" w:rsidRDefault="00A43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E1C" w:rsidRDefault="00001E1C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5D6365D"/>
    <w:rsid w:val="0000075C"/>
    <w:rsid w:val="00001E1C"/>
    <w:rsid w:val="00015991"/>
    <w:rsid w:val="0002475B"/>
    <w:rsid w:val="00083E3B"/>
    <w:rsid w:val="00204A6B"/>
    <w:rsid w:val="00224FFE"/>
    <w:rsid w:val="00272E64"/>
    <w:rsid w:val="002A1B9C"/>
    <w:rsid w:val="0030149D"/>
    <w:rsid w:val="00357DE2"/>
    <w:rsid w:val="00474070"/>
    <w:rsid w:val="00583D04"/>
    <w:rsid w:val="006C325F"/>
    <w:rsid w:val="00726291"/>
    <w:rsid w:val="008051C6"/>
    <w:rsid w:val="0090453B"/>
    <w:rsid w:val="00A43A64"/>
    <w:rsid w:val="00C3599F"/>
    <w:rsid w:val="00C44827"/>
    <w:rsid w:val="00D6339B"/>
    <w:rsid w:val="00F14460"/>
    <w:rsid w:val="00F6704C"/>
    <w:rsid w:val="00FF15E7"/>
    <w:rsid w:val="35D63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2462AF-D553-42CC-BDD7-302EE4FB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39B"/>
    <w:pPr>
      <w:widowControl w:val="0"/>
      <w:jc w:val="both"/>
    </w:pPr>
    <w:rPr>
      <w:rFonts w:ascii="Times New Roman" w:eastAsia="Times New Roman" w:hAnsi="Times New Roman" w:cs="黑体"/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rsid w:val="00474070"/>
    <w:pPr>
      <w:keepNext/>
      <w:keepLines/>
      <w:spacing w:line="520" w:lineRule="exact"/>
      <w:jc w:val="center"/>
      <w:outlineLvl w:val="1"/>
    </w:pPr>
    <w:rPr>
      <w:rFonts w:ascii="方正小标宋简体" w:eastAsia="方正小标宋简体" w:hAnsi="华文中宋" w:cstheme="majorBidi"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rsid w:val="00474070"/>
    <w:pPr>
      <w:keepNext/>
      <w:keepLines/>
      <w:spacing w:line="560" w:lineRule="exact"/>
      <w:jc w:val="center"/>
      <w:outlineLvl w:val="2"/>
    </w:pPr>
    <w:rPr>
      <w:rFonts w:eastAsia="方正小标宋简体"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474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474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47407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6">
    <w:name w:val="一、"/>
    <w:basedOn w:val="a"/>
    <w:next w:val="a"/>
    <w:qFormat/>
    <w:rsid w:val="00474070"/>
    <w:pPr>
      <w:tabs>
        <w:tab w:val="left" w:pos="540"/>
      </w:tabs>
      <w:adjustRightInd w:val="0"/>
      <w:snapToGrid w:val="0"/>
      <w:spacing w:afterLines="50" w:line="520" w:lineRule="exact"/>
      <w:ind w:firstLineChars="200" w:firstLine="640"/>
      <w:outlineLvl w:val="2"/>
    </w:pPr>
    <w:rPr>
      <w:rFonts w:ascii="黑体" w:eastAsia="黑体"/>
      <w:sz w:val="32"/>
      <w:szCs w:val="32"/>
    </w:rPr>
  </w:style>
  <w:style w:type="paragraph" w:customStyle="1" w:styleId="1">
    <w:name w:val="样式1"/>
    <w:basedOn w:val="a"/>
    <w:qFormat/>
    <w:rsid w:val="00474070"/>
    <w:pPr>
      <w:tabs>
        <w:tab w:val="left" w:pos="540"/>
      </w:tabs>
      <w:adjustRightInd w:val="0"/>
      <w:snapToGrid w:val="0"/>
      <w:spacing w:beforeLines="50" w:afterLines="50"/>
      <w:ind w:firstLineChars="200" w:firstLine="640"/>
      <w:outlineLvl w:val="2"/>
    </w:pPr>
    <w:rPr>
      <w:rFonts w:ascii="黑体" w:eastAsia="黑体"/>
      <w:sz w:val="32"/>
      <w:szCs w:val="32"/>
    </w:rPr>
  </w:style>
  <w:style w:type="paragraph" w:styleId="a7">
    <w:name w:val="List Paragraph"/>
    <w:basedOn w:val="a"/>
    <w:qFormat/>
    <w:rsid w:val="00474070"/>
    <w:pPr>
      <w:ind w:firstLineChars="200" w:firstLine="420"/>
    </w:pPr>
    <w:rPr>
      <w:rFonts w:cs="Times New Roman"/>
    </w:rPr>
  </w:style>
  <w:style w:type="paragraph" w:styleId="a8">
    <w:name w:val="Balloon Text"/>
    <w:basedOn w:val="a"/>
    <w:link w:val="Char"/>
    <w:rsid w:val="00001E1C"/>
    <w:rPr>
      <w:sz w:val="18"/>
      <w:szCs w:val="18"/>
    </w:rPr>
  </w:style>
  <w:style w:type="character" w:customStyle="1" w:styleId="Char">
    <w:name w:val="批注框文本 Char"/>
    <w:basedOn w:val="a0"/>
    <w:link w:val="a8"/>
    <w:rsid w:val="00001E1C"/>
    <w:rPr>
      <w:rFonts w:ascii="Times New Roman" w:eastAsia="Times New Roman" w:hAnsi="Times New Roman" w:cs="黑体"/>
      <w:kern w:val="2"/>
      <w:sz w:val="18"/>
      <w:szCs w:val="18"/>
    </w:rPr>
  </w:style>
  <w:style w:type="paragraph" w:styleId="a9">
    <w:name w:val="Document Map"/>
    <w:basedOn w:val="a"/>
    <w:link w:val="Char0"/>
    <w:rsid w:val="00001E1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9"/>
    <w:rsid w:val="00001E1C"/>
    <w:rPr>
      <w:rFonts w:ascii="宋体" w:eastAsia="宋体" w:hAnsi="Times New Roman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284</Words>
  <Characters>1619</Characters>
  <Application>Microsoft Office Word</Application>
  <DocSecurity>0</DocSecurity>
  <Lines>13</Lines>
  <Paragraphs>3</Paragraphs>
  <ScaleCrop>false</ScaleCrop>
  <Company>Microsoft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zhangyuqun</dc:creator>
  <cp:lastModifiedBy>吴爱勤</cp:lastModifiedBy>
  <cp:revision>5</cp:revision>
  <dcterms:created xsi:type="dcterms:W3CDTF">2019-07-29T03:46:00Z</dcterms:created>
  <dcterms:modified xsi:type="dcterms:W3CDTF">2019-07-30T03:07:00Z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