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Calibri" w:eastAsia="宋体" w:cs="Times New Roman"/>
          <w:b/>
          <w:bCs/>
          <w:sz w:val="28"/>
          <w:szCs w:val="28"/>
        </w:rPr>
      </w:pPr>
      <w:r>
        <w:rPr>
          <w:rFonts w:ascii="Times New Roman" w:hAnsi="Times New Roman" w:cs="Times New Roman"/>
          <w:b/>
          <w:bCs/>
          <w:sz w:val="24"/>
          <w:szCs w:val="24"/>
        </w:rPr>
        <w:t>附件</w:t>
      </w:r>
      <w:r>
        <w:rPr>
          <w:rFonts w:hint="eastAsia" w:ascii="Times New Roman" w:hAnsi="Times New Roman" w:cs="Times New Roman"/>
          <w:b/>
          <w:bCs/>
          <w:sz w:val="24"/>
          <w:szCs w:val="24"/>
        </w:rPr>
        <w:t>6</w:t>
      </w:r>
      <w:r>
        <w:rPr>
          <w:rFonts w:hint="eastAsia" w:ascii="Times New Roman" w:hAnsi="Calibri" w:eastAsia="宋体" w:cs="Times New Roman"/>
          <w:b/>
          <w:bCs/>
          <w:sz w:val="28"/>
          <w:szCs w:val="28"/>
        </w:rPr>
        <w:t xml:space="preserve"> </w:t>
      </w:r>
    </w:p>
    <w:p>
      <w:pPr>
        <w:jc w:val="center"/>
        <w:rPr>
          <w:rFonts w:ascii="Times New Roman" w:hAnsi="Calibri" w:eastAsia="宋体" w:cs="Times New Roman"/>
          <w:b/>
          <w:bCs/>
          <w:sz w:val="28"/>
          <w:szCs w:val="28"/>
        </w:rPr>
      </w:pPr>
      <w:r>
        <w:rPr>
          <w:rFonts w:hint="eastAsia" w:ascii="Times New Roman" w:hAnsi="Calibri" w:eastAsia="宋体" w:cs="Times New Roman"/>
          <w:b/>
          <w:bCs/>
          <w:sz w:val="28"/>
          <w:szCs w:val="28"/>
        </w:rPr>
        <w:t>梅州市天銮再生资源有限公司年处理40000吨废旧塑料</w:t>
      </w:r>
    </w:p>
    <w:p>
      <w:pPr>
        <w:jc w:val="center"/>
        <w:rPr>
          <w:b/>
          <w:sz w:val="28"/>
          <w:szCs w:val="28"/>
        </w:rPr>
      </w:pPr>
      <w:r>
        <w:rPr>
          <w:rFonts w:hint="eastAsia" w:ascii="Times New Roman" w:hAnsi="Calibri" w:eastAsia="宋体" w:cs="Times New Roman"/>
          <w:b/>
          <w:bCs/>
          <w:sz w:val="28"/>
          <w:szCs w:val="28"/>
        </w:rPr>
        <w:t>回收利用、深加工项目</w:t>
      </w:r>
      <w:r>
        <w:rPr>
          <w:rFonts w:hint="eastAsia"/>
          <w:b/>
          <w:sz w:val="28"/>
          <w:szCs w:val="28"/>
        </w:rPr>
        <w:t>环境影响报告书专家意见修改回应表</w:t>
      </w:r>
    </w:p>
    <w:tbl>
      <w:tblPr>
        <w:tblStyle w:val="5"/>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686"/>
        <w:gridCol w:w="3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Align w:val="center"/>
          </w:tcPr>
          <w:p>
            <w:pPr>
              <w:jc w:val="center"/>
              <w:rPr>
                <w:rFonts w:ascii="Times New Roman" w:hAnsi="Times New Roman" w:cs="Times New Roman"/>
                <w:b/>
                <w:color w:val="000000" w:themeColor="text1"/>
                <w:szCs w:val="21"/>
                <w14:textFill>
                  <w14:solidFill>
                    <w14:schemeClr w14:val="tx1"/>
                  </w14:solidFill>
                </w14:textFill>
              </w:rPr>
            </w:pPr>
            <w:r>
              <w:rPr>
                <w:rFonts w:ascii="Times New Roman" w:cs="Times New Roman" w:hAnsiTheme="minorEastAsia"/>
                <w:b/>
                <w:color w:val="000000" w:themeColor="text1"/>
                <w:szCs w:val="21"/>
                <w14:textFill>
                  <w14:solidFill>
                    <w14:schemeClr w14:val="tx1"/>
                  </w14:solidFill>
                </w14:textFill>
              </w:rPr>
              <w:t>序号</w:t>
            </w:r>
          </w:p>
        </w:tc>
        <w:tc>
          <w:tcPr>
            <w:tcW w:w="3686" w:type="dxa"/>
            <w:vAlign w:val="center"/>
          </w:tcPr>
          <w:p>
            <w:pPr>
              <w:jc w:val="center"/>
              <w:rPr>
                <w:rFonts w:ascii="Times New Roman" w:hAnsi="Times New Roman" w:cs="Times New Roman"/>
                <w:b/>
                <w:color w:val="000000" w:themeColor="text1"/>
                <w:szCs w:val="21"/>
                <w14:textFill>
                  <w14:solidFill>
                    <w14:schemeClr w14:val="tx1"/>
                  </w14:solidFill>
                </w14:textFill>
              </w:rPr>
            </w:pPr>
            <w:r>
              <w:rPr>
                <w:rFonts w:ascii="Times New Roman" w:cs="Times New Roman" w:hAnsiTheme="minorEastAsia"/>
                <w:b/>
                <w:color w:val="000000" w:themeColor="text1"/>
                <w:szCs w:val="21"/>
                <w14:textFill>
                  <w14:solidFill>
                    <w14:schemeClr w14:val="tx1"/>
                  </w14:solidFill>
                </w14:textFill>
              </w:rPr>
              <w:t>意见</w:t>
            </w:r>
          </w:p>
        </w:tc>
        <w:tc>
          <w:tcPr>
            <w:tcW w:w="3543" w:type="dxa"/>
            <w:vAlign w:val="center"/>
          </w:tcPr>
          <w:p>
            <w:pPr>
              <w:jc w:val="center"/>
              <w:rPr>
                <w:rFonts w:ascii="Times New Roman" w:hAnsi="Times New Roman" w:cs="Times New Roman"/>
                <w:b/>
                <w:color w:val="000000" w:themeColor="text1"/>
                <w:szCs w:val="21"/>
                <w14:textFill>
                  <w14:solidFill>
                    <w14:schemeClr w14:val="tx1"/>
                  </w14:solidFill>
                </w14:textFill>
              </w:rPr>
            </w:pPr>
            <w:r>
              <w:rPr>
                <w:rFonts w:ascii="Times New Roman" w:cs="Times New Roman" w:hAnsiTheme="minorEastAsia"/>
                <w:b/>
                <w:color w:val="000000" w:themeColor="text1"/>
                <w:szCs w:val="21"/>
                <w14:textFill>
                  <w14:solidFill>
                    <w14:schemeClr w14:val="tx1"/>
                  </w14:solidFill>
                </w14:textFill>
              </w:rPr>
              <w:t>修改回应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restart"/>
            <w:vAlign w:val="center"/>
          </w:tcPr>
          <w:p>
            <w:pPr>
              <w:rPr>
                <w:rFonts w:ascii="Times New Roman" w:hAnsi="Times New Roman" w:cs="Times New Roman"/>
                <w:color w:val="000000" w:themeColor="text1"/>
                <w:szCs w:val="21"/>
                <w14:textFill>
                  <w14:solidFill>
                    <w14:schemeClr w14:val="tx1"/>
                  </w14:solidFill>
                </w14:textFill>
              </w:rPr>
            </w:pPr>
            <w:r>
              <w:rPr>
                <w:rFonts w:ascii="Times New Roman" w:cs="Times New Roman" w:hAnsiTheme="minorEastAsia"/>
                <w:color w:val="000000" w:themeColor="text1"/>
                <w:szCs w:val="21"/>
                <w14:textFill>
                  <w14:solidFill>
                    <w14:schemeClr w14:val="tx1"/>
                  </w14:solidFill>
                </w14:textFill>
              </w:rPr>
              <w:t>一、项目概况与工程分析</w:t>
            </w:r>
          </w:p>
        </w:tc>
        <w:tc>
          <w:tcPr>
            <w:tcW w:w="3686"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1、完善项目建设内容，完善项目生产线主要设备的技术参数（型号、规格、功率等），完善废水、废气处理设施和收集管网（线）布设图，核实原辅材料；完善平面布置图；</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已根据厂房结构、废气处理情况等补充完善项目建设内容，详见P6</w:t>
            </w:r>
            <w:r>
              <w:rPr>
                <w:rFonts w:hint="eastAsia" w:ascii="Times New Roman" w:hAnsi="Times New Roman" w:cs="Times New Roman"/>
                <w:color w:val="000000" w:themeColor="text1"/>
                <w:szCs w:val="21"/>
                <w:lang w:val="en-US" w:eastAsia="zh-CN"/>
                <w14:textFill>
                  <w14:solidFill>
                    <w14:schemeClr w14:val="tx1"/>
                  </w14:solidFill>
                </w14:textFill>
              </w:rPr>
              <w:t>6</w:t>
            </w:r>
            <w:r>
              <w:rPr>
                <w:rFonts w:hint="eastAsia" w:ascii="Times New Roman" w:hAnsi="Times New Roman" w:cs="Times New Roman"/>
                <w:color w:val="000000" w:themeColor="text1"/>
                <w:szCs w:val="21"/>
                <w14:textFill>
                  <w14:solidFill>
                    <w14:schemeClr w14:val="tx1"/>
                  </w14:solidFill>
                </w14:textFill>
              </w:rPr>
              <w:t>，表3.1-5；已补充项目生产线主要设备的技术参数，详见P6</w:t>
            </w:r>
            <w:r>
              <w:rPr>
                <w:rFonts w:hint="eastAsia" w:ascii="Times New Roman" w:hAnsi="Times New Roman" w:cs="Times New Roman"/>
                <w:color w:val="000000" w:themeColor="text1"/>
                <w:szCs w:val="21"/>
                <w:lang w:val="en-US" w:eastAsia="zh-CN"/>
                <w14:textFill>
                  <w14:solidFill>
                    <w14:schemeClr w14:val="tx1"/>
                  </w14:solidFill>
                </w14:textFill>
              </w:rPr>
              <w:t>7</w:t>
            </w:r>
            <w:r>
              <w:rPr>
                <w:rFonts w:hint="eastAsia" w:ascii="Times New Roman" w:hAnsi="Times New Roman" w:cs="Times New Roman"/>
                <w:color w:val="000000" w:themeColor="text1"/>
                <w:szCs w:val="21"/>
                <w14:textFill>
                  <w14:solidFill>
                    <w14:schemeClr w14:val="tx1"/>
                  </w14:solidFill>
                </w14:textFill>
              </w:rPr>
              <w:t>，表3.1-6；已补充废水、废气处理设施和收集管网（线），并完善平面布置图，详见P7</w:t>
            </w:r>
            <w:r>
              <w:rPr>
                <w:rFonts w:hint="eastAsia" w:ascii="Times New Roman" w:hAnsi="Times New Roman" w:cs="Times New Roman"/>
                <w:color w:val="000000" w:themeColor="text1"/>
                <w:szCs w:val="21"/>
                <w:lang w:val="en-US" w:eastAsia="zh-CN"/>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已重新核实原辅材料用量并进行相应修改，详见P6</w:t>
            </w:r>
            <w:r>
              <w:rPr>
                <w:rFonts w:hint="eastAsia" w:ascii="Times New Roman" w:hAnsi="Times New Roman" w:cs="Times New Roman"/>
                <w:color w:val="000000" w:themeColor="text1"/>
                <w:szCs w:val="21"/>
                <w:lang w:val="en-US" w:eastAsia="zh-CN"/>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hAnsi="Times New Roman" w:cs="Times New Roman"/>
                <w:color w:val="000000" w:themeColor="text1"/>
                <w:szCs w:val="21"/>
                <w14:textFill>
                  <w14:solidFill>
                    <w14:schemeClr w14:val="tx1"/>
                  </w14:solidFill>
                </w14:textFill>
              </w:rPr>
            </w:pPr>
          </w:p>
        </w:tc>
        <w:tc>
          <w:tcPr>
            <w:tcW w:w="3686" w:type="dxa"/>
            <w:vAlign w:val="center"/>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、核实项目物料平衡、水平衡，进一步核实废水、废气和固体废物的污染源强，明确引用数据来源、参数及计算公式，并分析引用的合理性；完善项目工艺流程和产污环节图；</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已根据原辅材料用量重新核实并修改项目物料平衡，详见P9</w:t>
            </w:r>
            <w:r>
              <w:rPr>
                <w:rFonts w:hint="eastAsia" w:ascii="Times New Roman" w:hAnsi="Times New Roman" w:cs="Times New Roman"/>
                <w:color w:val="000000" w:themeColor="text1"/>
                <w:szCs w:val="21"/>
                <w:lang w:val="en-US" w:eastAsia="zh-CN"/>
                <w14:textFill>
                  <w14:solidFill>
                    <w14:schemeClr w14:val="tx1"/>
                  </w14:solidFill>
                </w14:textFill>
              </w:rPr>
              <w:t>6</w:t>
            </w:r>
            <w:r>
              <w:rPr>
                <w:rFonts w:hint="eastAsia" w:ascii="Times New Roman" w:hAnsi="Times New Roman" w:cs="Times New Roman"/>
                <w:color w:val="000000" w:themeColor="text1"/>
                <w:szCs w:val="21"/>
                <w14:textFill>
                  <w14:solidFill>
                    <w14:schemeClr w14:val="tx1"/>
                  </w14:solidFill>
                </w14:textFill>
              </w:rPr>
              <w:t>；已根据类比法补充分析废水引用数据来源、参数及计算可行性依据，并核实水平衡分析，详见P</w:t>
            </w:r>
            <w:r>
              <w:rPr>
                <w:rFonts w:hint="eastAsia" w:ascii="Times New Roman" w:hAnsi="Times New Roman" w:cs="Times New Roman"/>
                <w:color w:val="000000" w:themeColor="text1"/>
                <w:szCs w:val="21"/>
                <w:lang w:val="en-US" w:eastAsia="zh-CN"/>
                <w14:textFill>
                  <w14:solidFill>
                    <w14:schemeClr w14:val="tx1"/>
                  </w14:solidFill>
                </w14:textFill>
              </w:rPr>
              <w:t>99</w:t>
            </w:r>
            <w:r>
              <w:rPr>
                <w:rFonts w:hint="eastAsia" w:ascii="Times New Roman" w:hAnsi="Times New Roman" w:cs="Times New Roman"/>
                <w:color w:val="000000" w:themeColor="text1"/>
                <w:szCs w:val="21"/>
                <w14:textFill>
                  <w14:solidFill>
                    <w14:schemeClr w14:val="tx1"/>
                  </w14:solidFill>
                </w14:textFill>
              </w:rPr>
              <w:t>，P11</w:t>
            </w:r>
            <w:r>
              <w:rPr>
                <w:rFonts w:hint="eastAsia" w:ascii="Times New Roman" w:hAnsi="Times New Roman" w:cs="Times New Roman"/>
                <w:color w:val="000000" w:themeColor="text1"/>
                <w:szCs w:val="21"/>
                <w:lang w:val="en-US" w:eastAsia="zh-CN"/>
                <w14:textFill>
                  <w14:solidFill>
                    <w14:schemeClr w14:val="tx1"/>
                  </w14:solidFill>
                </w14:textFill>
              </w:rPr>
              <w:t>4</w:t>
            </w:r>
            <w:r>
              <w:rPr>
                <w:rFonts w:hint="eastAsia" w:ascii="Times New Roman" w:hAnsi="Times New Roman" w:cs="Times New Roman"/>
                <w:color w:val="000000" w:themeColor="text1"/>
                <w:szCs w:val="21"/>
                <w14:textFill>
                  <w14:solidFill>
                    <w14:schemeClr w14:val="tx1"/>
                  </w14:solidFill>
                </w14:textFill>
              </w:rPr>
              <w:t>；项目部分工序用水存在交叉利用，已根据项目全厂进水跟出水平衡重新核实项目水平衡图，详见P10</w:t>
            </w:r>
            <w:r>
              <w:rPr>
                <w:rFonts w:hint="eastAsia" w:ascii="Times New Roman" w:hAnsi="Times New Roman" w:cs="Times New Roman"/>
                <w:color w:val="000000" w:themeColor="text1"/>
                <w:szCs w:val="21"/>
                <w:lang w:val="en-US" w:eastAsia="zh-CN"/>
                <w14:textFill>
                  <w14:solidFill>
                    <w14:schemeClr w14:val="tx1"/>
                  </w14:solidFill>
                </w14:textFill>
              </w:rPr>
              <w:t>4</w:t>
            </w:r>
            <w:r>
              <w:rPr>
                <w:rFonts w:hint="eastAsia" w:ascii="Times New Roman" w:hAnsi="Times New Roman" w:cs="Times New Roman"/>
                <w:color w:val="000000" w:themeColor="text1"/>
                <w:szCs w:val="21"/>
                <w14:textFill>
                  <w14:solidFill>
                    <w14:schemeClr w14:val="tx1"/>
                  </w14:solidFill>
                </w14:textFill>
              </w:rPr>
              <w:t>；已通过排污系数法及类比法补充分析废气引用数据来源、参数及计算可行性依据，并补充苯乙烯、二甲苯、污水处理站恶臭等污染物分析，详见P10</w:t>
            </w:r>
            <w:r>
              <w:rPr>
                <w:rFonts w:hint="eastAsia" w:ascii="Times New Roman" w:hAnsi="Times New Roman" w:cs="Times New Roman"/>
                <w:color w:val="000000" w:themeColor="text1"/>
                <w:szCs w:val="21"/>
                <w:lang w:val="en-US" w:eastAsia="zh-CN"/>
                <w14:textFill>
                  <w14:solidFill>
                    <w14:schemeClr w14:val="tx1"/>
                  </w14:solidFill>
                </w14:textFill>
              </w:rPr>
              <w:t>5</w:t>
            </w:r>
            <w:r>
              <w:rPr>
                <w:rFonts w:hint="eastAsia" w:ascii="Times New Roman" w:hAnsi="Times New Roman" w:cs="Times New Roman"/>
                <w:color w:val="000000" w:themeColor="text1"/>
                <w:szCs w:val="21"/>
                <w14:textFill>
                  <w14:solidFill>
                    <w14:schemeClr w14:val="tx1"/>
                  </w14:solidFill>
                </w14:textFill>
              </w:rPr>
              <w:t>-P11</w:t>
            </w:r>
            <w:r>
              <w:rPr>
                <w:rFonts w:hint="eastAsia" w:ascii="Times New Roman" w:hAnsi="Times New Roman" w:cs="Times New Roman"/>
                <w:color w:val="000000" w:themeColor="text1"/>
                <w:szCs w:val="21"/>
                <w:lang w:val="en-US" w:eastAsia="zh-CN"/>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；已重新核实固体废物污染源强，并根据前文工程分析同步修改废活性炭量，详见P11</w:t>
            </w:r>
            <w:r>
              <w:rPr>
                <w:rFonts w:hint="eastAsia" w:ascii="Times New Roman" w:hAnsi="Times New Roman" w:cs="Times New Roman"/>
                <w:color w:val="000000" w:themeColor="text1"/>
                <w:szCs w:val="21"/>
                <w:lang w:val="en-US" w:eastAsia="zh-CN"/>
                <w14:textFill>
                  <w14:solidFill>
                    <w14:schemeClr w14:val="tx1"/>
                  </w14:solidFill>
                </w14:textFill>
              </w:rPr>
              <w:t>8</w:t>
            </w:r>
            <w:r>
              <w:rPr>
                <w:rFonts w:hint="eastAsia" w:ascii="Times New Roman" w:hAnsi="Times New Roman" w:cs="Times New Roman"/>
                <w:color w:val="000000" w:themeColor="text1"/>
                <w:szCs w:val="21"/>
                <w14:textFill>
                  <w14:solidFill>
                    <w14:schemeClr w14:val="tx1"/>
                  </w14:solidFill>
                </w14:textFill>
              </w:rPr>
              <w:t>，全文同步修改；已在项目工艺流程和产污环节图中补充废水废气处理措施，详见P7</w:t>
            </w:r>
            <w:r>
              <w:rPr>
                <w:rFonts w:hint="eastAsia" w:ascii="Times New Roman" w:hAnsi="Times New Roman" w:cs="Times New Roman"/>
                <w:color w:val="000000" w:themeColor="text1"/>
                <w:szCs w:val="21"/>
                <w:lang w:val="en-US" w:eastAsia="zh-CN"/>
                <w14:textFill>
                  <w14:solidFill>
                    <w14:schemeClr w14:val="tx1"/>
                  </w14:solidFill>
                </w14:textFill>
              </w:rPr>
              <w:t>8</w:t>
            </w:r>
            <w:r>
              <w:rPr>
                <w:rFonts w:hint="eastAsia" w:ascii="Times New Roman" w:hAnsi="Times New Roman" w:cs="Times New Roman"/>
                <w:color w:val="000000" w:themeColor="text1"/>
                <w:szCs w:val="21"/>
                <w14:textFill>
                  <w14:solidFill>
                    <w14:schemeClr w14:val="tx1"/>
                  </w14:solidFill>
                </w14:textFill>
              </w:rPr>
              <w:t>-P9</w:t>
            </w:r>
            <w:r>
              <w:rPr>
                <w:rFonts w:hint="eastAsia" w:ascii="Times New Roman" w:hAnsi="Times New Roman" w:cs="Times New Roman"/>
                <w:color w:val="000000" w:themeColor="text1"/>
                <w:szCs w:val="21"/>
                <w:lang w:val="en-US" w:eastAsia="zh-CN"/>
                <w14:textFill>
                  <w14:solidFill>
                    <w14:schemeClr w14:val="tx1"/>
                  </w14:solidFill>
                </w14:textFill>
              </w:rPr>
              <w:t>0</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hAnsi="Times New Roman" w:cs="Times New Roman"/>
                <w:color w:val="000000" w:themeColor="text1"/>
                <w:szCs w:val="21"/>
                <w14:textFill>
                  <w14:solidFill>
                    <w14:schemeClr w14:val="tx1"/>
                  </w14:solidFill>
                </w14:textFill>
              </w:rPr>
            </w:pPr>
          </w:p>
        </w:tc>
        <w:tc>
          <w:tcPr>
            <w:tcW w:w="3686" w:type="dxa"/>
            <w:vAlign w:val="center"/>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、核实大气污染物排放标准；</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已将施工期大气污染物排放标准改为广东省《大气污染物排放限值》</w:t>
            </w:r>
            <w:r>
              <w:rPr>
                <w:rFonts w:ascii="Times New Roman" w:hAnsi="Times New Roman" w:cs="Times New Roman"/>
                <w:color w:val="000000" w:themeColor="text1"/>
                <w:szCs w:val="21"/>
                <w14:textFill>
                  <w14:solidFill>
                    <w14:schemeClr w14:val="tx1"/>
                  </w14:solidFill>
                </w14:textFill>
              </w:rPr>
              <w:t>(DB44/27-200</w:t>
            </w:r>
            <w:r>
              <w:rPr>
                <w:rFonts w:hint="eastAsia" w:ascii="Times New Roman" w:hAnsi="Times New Roman" w:cs="Times New Roman"/>
                <w:color w:val="000000" w:themeColor="text1"/>
                <w:szCs w:val="21"/>
                <w14:textFill>
                  <w14:solidFill>
                    <w14:schemeClr w14:val="tx1"/>
                  </w14:solidFill>
                </w14:textFill>
              </w:rPr>
              <w:t>1</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第二时段无组织标准，营运期废气补充苯乙烯、二甲苯、氯化氢标准及广东省《大气污染物排放限值》</w:t>
            </w:r>
            <w:r>
              <w:rPr>
                <w:rFonts w:ascii="Times New Roman" w:hAnsi="Times New Roman" w:cs="Times New Roman"/>
                <w:color w:val="000000" w:themeColor="text1"/>
                <w:szCs w:val="21"/>
                <w14:textFill>
                  <w14:solidFill>
                    <w14:schemeClr w14:val="tx1"/>
                  </w14:solidFill>
                </w14:textFill>
              </w:rPr>
              <w:t>(DB44/27-200</w:t>
            </w:r>
            <w:r>
              <w:rPr>
                <w:rFonts w:hint="eastAsia" w:ascii="Times New Roman" w:hAnsi="Times New Roman" w:cs="Times New Roman"/>
                <w:color w:val="000000" w:themeColor="text1"/>
                <w:szCs w:val="21"/>
                <w14:textFill>
                  <w14:solidFill>
                    <w14:schemeClr w14:val="tx1"/>
                  </w14:solidFill>
                </w14:textFill>
              </w:rPr>
              <w:t>1</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标准，详见P2</w:t>
            </w:r>
            <w:r>
              <w:rPr>
                <w:rFonts w:hint="eastAsia" w:ascii="Times New Roman" w:hAnsi="Times New Roman" w:cs="Times New Roman"/>
                <w:color w:val="000000" w:themeColor="text1"/>
                <w:szCs w:val="21"/>
                <w:lang w:val="en-US" w:eastAsia="zh-CN"/>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hAnsi="Times New Roman" w:cs="Times New Roman"/>
                <w:color w:val="000000" w:themeColor="text1"/>
                <w:szCs w:val="21"/>
                <w14:textFill>
                  <w14:solidFill>
                    <w14:schemeClr w14:val="tx1"/>
                  </w14:solidFill>
                </w14:textFill>
              </w:rPr>
            </w:pPr>
          </w:p>
        </w:tc>
        <w:tc>
          <w:tcPr>
            <w:tcW w:w="3686" w:type="dxa"/>
            <w:vAlign w:val="center"/>
          </w:tcPr>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w:t>
            </w:r>
            <w:r>
              <w:rPr>
                <w:rFonts w:hint="eastAsia" w:ascii="Times New Roman" w:hAnsi="Times New Roman" w:cs="Times New Roman"/>
                <w:color w:val="000000" w:themeColor="text1"/>
                <w:szCs w:val="21"/>
                <w14:textFill>
                  <w14:solidFill>
                    <w14:schemeClr w14:val="tx1"/>
                  </w14:solidFill>
                </w14:textFill>
              </w:rPr>
              <w:t>、核实劳动工作制度，并按核实情况完善污染影响分析和防治措施。</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已核实劳动工作制度，详见P6</w:t>
            </w:r>
            <w:r>
              <w:rPr>
                <w:rFonts w:hint="eastAsia" w:ascii="Times New Roman" w:hAnsi="Times New Roman" w:cs="Times New Roman"/>
                <w:color w:val="000000" w:themeColor="text1"/>
                <w:szCs w:val="21"/>
                <w:lang w:val="en-US" w:eastAsia="zh-CN"/>
                <w14:textFill>
                  <w14:solidFill>
                    <w14:schemeClr w14:val="tx1"/>
                  </w14:solidFill>
                </w14:textFill>
              </w:rPr>
              <w:t>0</w:t>
            </w:r>
            <w:r>
              <w:rPr>
                <w:rFonts w:hint="eastAsia" w:ascii="Times New Roman" w:hAnsi="Times New Roman" w:cs="Times New Roman"/>
                <w:color w:val="000000" w:themeColor="text1"/>
                <w:szCs w:val="21"/>
                <w14:textFill>
                  <w14:solidFill>
                    <w14:schemeClr w14:val="tx1"/>
                  </w14:solidFill>
                </w14:textFill>
              </w:rPr>
              <w:t>、P6</w:t>
            </w:r>
            <w:r>
              <w:rPr>
                <w:rFonts w:hint="eastAsia" w:ascii="Times New Roman" w:hAnsi="Times New Roman" w:cs="Times New Roman"/>
                <w:color w:val="000000" w:themeColor="text1"/>
                <w:szCs w:val="21"/>
                <w:lang w:val="en-US" w:eastAsia="zh-CN"/>
                <w14:textFill>
                  <w14:solidFill>
                    <w14:schemeClr w14:val="tx1"/>
                  </w14:solidFill>
                </w14:textFill>
              </w:rPr>
              <w:t>8</w:t>
            </w:r>
            <w:r>
              <w:rPr>
                <w:rFonts w:hint="eastAsia" w:ascii="Times New Roman" w:hAnsi="Times New Roman" w:cs="Times New Roman"/>
                <w:color w:val="000000" w:themeColor="text1"/>
                <w:szCs w:val="21"/>
                <w14:textFill>
                  <w14:solidFill>
                    <w14:schemeClr w14:val="tx1"/>
                  </w14:solidFill>
                </w14:textFill>
              </w:rPr>
              <w:t>；已根据劳动工作制度修改污染影响分析和防治措施，并修改相关大气预测内容，详见P3</w:t>
            </w:r>
            <w:r>
              <w:rPr>
                <w:rFonts w:hint="eastAsia" w:ascii="Times New Roman" w:hAnsi="Times New Roman" w:cs="Times New Roman"/>
                <w:color w:val="000000" w:themeColor="text1"/>
                <w:szCs w:val="21"/>
                <w:lang w:val="en-US" w:eastAsia="zh-CN"/>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-P3</w:t>
            </w:r>
            <w:r>
              <w:rPr>
                <w:rFonts w:hint="eastAsia" w:ascii="Times New Roman" w:hAnsi="Times New Roman" w:cs="Times New Roman"/>
                <w:color w:val="000000" w:themeColor="text1"/>
                <w:szCs w:val="21"/>
                <w:lang w:val="en-US" w:eastAsia="zh-CN"/>
                <w14:textFill>
                  <w14:solidFill>
                    <w14:schemeClr w14:val="tx1"/>
                  </w14:solidFill>
                </w14:textFill>
              </w:rPr>
              <w:t>5</w:t>
            </w:r>
            <w:r>
              <w:rPr>
                <w:rFonts w:hint="eastAsia" w:ascii="Times New Roman" w:hAnsi="Times New Roman" w:cs="Times New Roman"/>
                <w:color w:val="000000" w:themeColor="text1"/>
                <w:szCs w:val="21"/>
                <w14:textFill>
                  <w14:solidFill>
                    <w14:schemeClr w14:val="tx1"/>
                  </w14:solidFill>
                </w14:textFill>
              </w:rPr>
              <w:t>，P10</w:t>
            </w:r>
            <w:r>
              <w:rPr>
                <w:rFonts w:hint="eastAsia" w:ascii="Times New Roman" w:hAnsi="Times New Roman" w:cs="Times New Roman"/>
                <w:color w:val="000000" w:themeColor="text1"/>
                <w:szCs w:val="21"/>
                <w:lang w:val="en-US" w:eastAsia="zh-CN"/>
                <w14:textFill>
                  <w14:solidFill>
                    <w14:schemeClr w14:val="tx1"/>
                  </w14:solidFill>
                </w14:textFill>
              </w:rPr>
              <w:t>5</w:t>
            </w:r>
            <w:r>
              <w:rPr>
                <w:rFonts w:hint="eastAsia"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lang w:val="en-US" w:eastAsia="zh-CN"/>
                <w14:textFill>
                  <w14:solidFill>
                    <w14:schemeClr w14:val="tx1"/>
                  </w14:solidFill>
                </w14:textFill>
              </w:rPr>
              <w:t>19</w:t>
            </w:r>
            <w:r>
              <w:rPr>
                <w:rFonts w:hint="eastAsia" w:ascii="Times New Roman" w:hAnsi="Times New Roman" w:cs="Times New Roman"/>
                <w:color w:val="000000" w:themeColor="text1"/>
                <w:szCs w:val="21"/>
                <w14:textFill>
                  <w14:solidFill>
                    <w14:schemeClr w14:val="tx1"/>
                  </w14:solidFill>
                </w14:textFill>
              </w:rPr>
              <w:t>，全文同步进行修改。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restart"/>
            <w:vAlign w:val="center"/>
          </w:tcPr>
          <w:p>
            <w:pPr>
              <w:rPr>
                <w:rFonts w:ascii="Times New Roman" w:hAnsi="Times New Roman" w:cs="Times New Roman"/>
                <w:color w:val="000000" w:themeColor="text1"/>
                <w:szCs w:val="21"/>
                <w14:textFill>
                  <w14:solidFill>
                    <w14:schemeClr w14:val="tx1"/>
                  </w14:solidFill>
                </w14:textFill>
              </w:rPr>
            </w:pPr>
            <w:r>
              <w:rPr>
                <w:rFonts w:ascii="Times New Roman" w:cs="Times New Roman" w:hAnsiTheme="minorEastAsia"/>
                <w:color w:val="000000" w:themeColor="text1"/>
                <w:szCs w:val="21"/>
                <w14:textFill>
                  <w14:solidFill>
                    <w14:schemeClr w14:val="tx1"/>
                  </w14:solidFill>
                </w14:textFill>
              </w:rPr>
              <w:t>二、环境</w:t>
            </w:r>
            <w:r>
              <w:rPr>
                <w:rFonts w:hint="eastAsia" w:ascii="Times New Roman" w:cs="Times New Roman" w:hAnsiTheme="minorEastAsia"/>
                <w:color w:val="000000" w:themeColor="text1"/>
                <w:szCs w:val="21"/>
                <w14:textFill>
                  <w14:solidFill>
                    <w14:schemeClr w14:val="tx1"/>
                  </w14:solidFill>
                </w14:textFill>
              </w:rPr>
              <w:t>质量</w:t>
            </w:r>
            <w:r>
              <w:rPr>
                <w:rFonts w:ascii="Times New Roman" w:cs="Times New Roman" w:hAnsiTheme="minorEastAsia"/>
                <w:color w:val="000000" w:themeColor="text1"/>
                <w:szCs w:val="21"/>
                <w14:textFill>
                  <w14:solidFill>
                    <w14:schemeClr w14:val="tx1"/>
                  </w14:solidFill>
                </w14:textFill>
              </w:rPr>
              <w:t>现状评价</w:t>
            </w:r>
          </w:p>
        </w:tc>
        <w:tc>
          <w:tcPr>
            <w:tcW w:w="3686" w:type="dxa"/>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1、核实环境质量现状监测点位图；</w:t>
            </w:r>
            <w:r>
              <w:rPr>
                <w:rFonts w:ascii="Times New Roman" w:hAnsi="Times New Roman" w:cs="Times New Roman"/>
                <w:color w:val="000000" w:themeColor="text1"/>
                <w:szCs w:val="21"/>
                <w14:textFill>
                  <w14:solidFill>
                    <w14:schemeClr w14:val="tx1"/>
                  </w14:solidFill>
                </w14:textFill>
              </w:rPr>
              <w:t xml:space="preserve"> </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已核实环境质量现状监测点位图，并根据监测点位图相应修改表4.2-1大气监测点位置表，表4.4-3地下水监测结果表，详见P13</w:t>
            </w:r>
            <w:r>
              <w:rPr>
                <w:rFonts w:hint="eastAsia" w:ascii="Times New Roman" w:hAnsi="Times New Roman" w:cs="Times New Roman"/>
                <w:color w:val="000000" w:themeColor="text1"/>
                <w:szCs w:val="21"/>
                <w:lang w:val="en-US" w:eastAsia="zh-CN"/>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，P14</w:t>
            </w:r>
            <w:r>
              <w:rPr>
                <w:rFonts w:hint="eastAsia" w:ascii="Times New Roman" w:hAnsi="Times New Roman" w:cs="Times New Roman"/>
                <w:color w:val="000000" w:themeColor="text1"/>
                <w:szCs w:val="21"/>
                <w:lang w:val="en-US" w:eastAsia="zh-CN"/>
                <w14:textFill>
                  <w14:solidFill>
                    <w14:schemeClr w14:val="tx1"/>
                  </w14:solidFill>
                </w14:textFill>
              </w:rPr>
              <w:t>7</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cs="Times New Roman" w:hAnsiTheme="minorEastAsia"/>
                <w:color w:val="000000" w:themeColor="text1"/>
                <w:szCs w:val="21"/>
                <w14:textFill>
                  <w14:solidFill>
                    <w14:schemeClr w14:val="tx1"/>
                  </w14:solidFill>
                </w14:textFill>
              </w:rPr>
            </w:pPr>
          </w:p>
        </w:tc>
        <w:tc>
          <w:tcPr>
            <w:tcW w:w="3686" w:type="dxa"/>
            <w:vAlign w:val="center"/>
          </w:tcPr>
          <w:p>
            <w:pPr>
              <w:spacing w:line="540" w:lineRule="exact"/>
              <w:rPr>
                <w:rFonts w:ascii="Times New Roman" w:hAnsi="Times New Roman" w:cs="Times New Roman"/>
                <w:snapToGrid w:val="0"/>
                <w:color w:val="000000" w:themeColor="text1"/>
                <w:kern w:val="0"/>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2、补充声环境敏感点现状调查。</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已根据声环境敏感点现状调查补充项目附近杨文村散落居民点噪声现状监测，详见P14</w:t>
            </w:r>
            <w:r>
              <w:rPr>
                <w:rFonts w:hint="eastAsia" w:ascii="Times New Roman" w:hAnsi="Times New Roman" w:cs="Times New Roman"/>
                <w:color w:val="000000" w:themeColor="text1"/>
                <w:szCs w:val="21"/>
                <w:lang w:val="en-US" w:eastAsia="zh-CN"/>
                <w14:textFill>
                  <w14:solidFill>
                    <w14:schemeClr w14:val="tx1"/>
                  </w14:solidFill>
                </w14:textFill>
              </w:rPr>
              <w:t>8</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restart"/>
            <w:vAlign w:val="center"/>
          </w:tcPr>
          <w:p>
            <w:pPr>
              <w:rPr>
                <w:rFonts w:ascii="Times New Roman" w:hAnsi="Times New Roman" w:cs="Times New Roman"/>
                <w:color w:val="000000" w:themeColor="text1"/>
                <w:szCs w:val="21"/>
                <w14:textFill>
                  <w14:solidFill>
                    <w14:schemeClr w14:val="tx1"/>
                  </w14:solidFill>
                </w14:textFill>
              </w:rPr>
            </w:pPr>
            <w:r>
              <w:rPr>
                <w:rFonts w:ascii="Times New Roman" w:cs="Times New Roman" w:hAnsiTheme="minorEastAsia"/>
                <w:color w:val="000000" w:themeColor="text1"/>
                <w:szCs w:val="21"/>
                <w14:textFill>
                  <w14:solidFill>
                    <w14:schemeClr w14:val="tx1"/>
                  </w14:solidFill>
                </w14:textFill>
              </w:rPr>
              <w:t>三、环境影响</w:t>
            </w:r>
            <w:r>
              <w:rPr>
                <w:rFonts w:hint="eastAsia" w:ascii="Times New Roman" w:cs="Times New Roman" w:hAnsiTheme="minorEastAsia"/>
                <w:color w:val="000000" w:themeColor="text1"/>
                <w:szCs w:val="21"/>
                <w14:textFill>
                  <w14:solidFill>
                    <w14:schemeClr w14:val="tx1"/>
                  </w14:solidFill>
                </w14:textFill>
              </w:rPr>
              <w:t>评价结论</w:t>
            </w:r>
          </w:p>
        </w:tc>
        <w:tc>
          <w:tcPr>
            <w:tcW w:w="3686" w:type="dxa"/>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1、进一步论述生活污水用于周边绿地灌溉的可行性；</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已项目根据劳动成员食宿情况，通过分析项目区域降水天数及周边绿地灌溉面积、生活污水处理工艺进一步论述了生活污水用于周边绿地灌溉的可行性，详见P16</w:t>
            </w:r>
            <w:r>
              <w:rPr>
                <w:rFonts w:hint="eastAsia" w:ascii="Times New Roman" w:hAnsi="Times New Roman" w:cs="Times New Roman"/>
                <w:color w:val="000000" w:themeColor="text1"/>
                <w:szCs w:val="21"/>
                <w:lang w:val="en-US" w:eastAsia="zh-CN"/>
                <w14:textFill>
                  <w14:solidFill>
                    <w14:schemeClr w14:val="tx1"/>
                  </w14:solidFill>
                </w14:textFill>
              </w:rPr>
              <w:t>8</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hAnsi="Times New Roman" w:cs="Times New Roman"/>
                <w:color w:val="000000" w:themeColor="text1"/>
                <w:szCs w:val="21"/>
                <w14:textFill>
                  <w14:solidFill>
                    <w14:schemeClr w14:val="tx1"/>
                  </w14:solidFill>
                </w14:textFill>
              </w:rPr>
            </w:pPr>
          </w:p>
        </w:tc>
        <w:tc>
          <w:tcPr>
            <w:tcW w:w="3686" w:type="dxa"/>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2、核实声环境质量标准和评价等级，并按导则要求完善预测内容；</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已根据声环境质量标准和评级等级，及补充监测内容，按导则要求补充完善表5.2-21预测内容，详见P17</w:t>
            </w:r>
            <w:r>
              <w:rPr>
                <w:rFonts w:hint="eastAsia" w:ascii="Times New Roman" w:hAnsi="Times New Roman" w:cs="Times New Roman"/>
                <w:color w:val="000000" w:themeColor="text1"/>
                <w:szCs w:val="21"/>
                <w:lang w:val="en-US" w:eastAsia="zh-CN"/>
                <w14:textFill>
                  <w14:solidFill>
                    <w14:schemeClr w14:val="tx1"/>
                  </w14:solidFill>
                </w14:textFill>
              </w:rPr>
              <w:t>8</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hAnsi="Times New Roman" w:cs="Times New Roman"/>
                <w:color w:val="000000" w:themeColor="text1"/>
                <w:szCs w:val="21"/>
                <w14:textFill>
                  <w14:solidFill>
                    <w14:schemeClr w14:val="tx1"/>
                  </w14:solidFill>
                </w14:textFill>
              </w:rPr>
            </w:pPr>
          </w:p>
        </w:tc>
        <w:tc>
          <w:tcPr>
            <w:tcW w:w="3686" w:type="dxa"/>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、补充周边污染源调查，完善项目风险影响分析内容和措施。</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已补充5.2.8章周边污染源调查内容，详见P18</w:t>
            </w:r>
            <w:r>
              <w:rPr>
                <w:rFonts w:hint="eastAsia" w:ascii="Times New Roman" w:hAnsi="Times New Roman" w:cs="Times New Roman"/>
                <w:color w:val="000000" w:themeColor="text1"/>
                <w:szCs w:val="21"/>
                <w:lang w:val="en-US" w:eastAsia="zh-CN"/>
                <w14:textFill>
                  <w14:solidFill>
                    <w14:schemeClr w14:val="tx1"/>
                  </w14:solidFill>
                </w14:textFill>
              </w:rPr>
              <w:t>4</w:t>
            </w:r>
            <w:r>
              <w:rPr>
                <w:rFonts w:hint="eastAsia" w:ascii="Times New Roman" w:hAnsi="Times New Roman" w:cs="Times New Roman"/>
                <w:color w:val="000000" w:themeColor="text1"/>
                <w:szCs w:val="21"/>
                <w14:textFill>
                  <w14:solidFill>
                    <w14:schemeClr w14:val="tx1"/>
                  </w14:solidFill>
                </w14:textFill>
              </w:rPr>
              <w:t>；已根据废旧塑料原料在运输、储存过程存在的风险，补充分析相关内容和措施，详见P1</w:t>
            </w:r>
            <w:r>
              <w:rPr>
                <w:rFonts w:hint="eastAsia" w:ascii="Times New Roman" w:hAnsi="Times New Roman" w:cs="Times New Roman"/>
                <w:color w:val="000000" w:themeColor="text1"/>
                <w:szCs w:val="21"/>
                <w:lang w:val="en-US" w:eastAsia="zh-CN"/>
                <w14:textFill>
                  <w14:solidFill>
                    <w14:schemeClr w14:val="tx1"/>
                  </w14:solidFill>
                </w14:textFill>
              </w:rPr>
              <w:t>89</w:t>
            </w:r>
            <w:r>
              <w:rPr>
                <w:rFonts w:hint="eastAsia" w:ascii="Times New Roman" w:hAnsi="Times New Roman" w:cs="Times New Roman"/>
                <w:color w:val="000000" w:themeColor="text1"/>
                <w:szCs w:val="21"/>
                <w14:textFill>
                  <w14:solidFill>
                    <w14:schemeClr w14:val="tx1"/>
                  </w14:solidFill>
                </w14:textFill>
              </w:rPr>
              <w:t>，P19</w:t>
            </w:r>
            <w:r>
              <w:rPr>
                <w:rFonts w:hint="eastAsia" w:ascii="Times New Roman" w:hAnsi="Times New Roman" w:cs="Times New Roman"/>
                <w:color w:val="000000" w:themeColor="text1"/>
                <w:szCs w:val="21"/>
                <w:lang w:val="en-US" w:eastAsia="zh-CN"/>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restart"/>
            <w:vAlign w:val="center"/>
          </w:tcPr>
          <w:p>
            <w:pPr>
              <w:rPr>
                <w:rFonts w:ascii="Times New Roman" w:hAnsi="Times New Roman" w:cs="Times New Roman"/>
                <w:color w:val="000000" w:themeColor="text1"/>
                <w:szCs w:val="21"/>
                <w14:textFill>
                  <w14:solidFill>
                    <w14:schemeClr w14:val="tx1"/>
                  </w14:solidFill>
                </w14:textFill>
              </w:rPr>
            </w:pPr>
            <w:r>
              <w:rPr>
                <w:rFonts w:ascii="Times New Roman" w:cs="Times New Roman" w:hAnsiTheme="minorEastAsia"/>
                <w:color w:val="000000" w:themeColor="text1"/>
                <w:szCs w:val="21"/>
                <w14:textFill>
                  <w14:solidFill>
                    <w14:schemeClr w14:val="tx1"/>
                  </w14:solidFill>
                </w14:textFill>
              </w:rPr>
              <w:t>四、</w:t>
            </w:r>
            <w:r>
              <w:rPr>
                <w:rFonts w:hint="eastAsia" w:ascii="Times New Roman" w:cs="Times New Roman" w:hAnsiTheme="minorEastAsia"/>
                <w:color w:val="000000" w:themeColor="text1"/>
                <w:szCs w:val="21"/>
                <w14:textFill>
                  <w14:solidFill>
                    <w14:schemeClr w14:val="tx1"/>
                  </w14:solidFill>
                </w14:textFill>
              </w:rPr>
              <w:t>环境保护措施</w:t>
            </w:r>
          </w:p>
        </w:tc>
        <w:tc>
          <w:tcPr>
            <w:tcW w:w="3686" w:type="dxa"/>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1、补充废水处理设施的规模及参数；核实废气收集和处理效率，并进一步分析可达标性；</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已根据项目拟建设废水处理设施，补充了废水处理设施的规模及参数，见P21</w:t>
            </w:r>
            <w:r>
              <w:rPr>
                <w:rFonts w:hint="eastAsia" w:ascii="Times New Roman" w:hAnsi="Times New Roman" w:cs="Times New Roman"/>
                <w:color w:val="000000" w:themeColor="text1"/>
                <w:szCs w:val="21"/>
                <w:lang w:val="en-US" w:eastAsia="zh-CN"/>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-P21</w:t>
            </w:r>
            <w:r>
              <w:rPr>
                <w:rFonts w:hint="eastAsia" w:ascii="Times New Roman" w:hAnsi="Times New Roman" w:cs="Times New Roman"/>
                <w:color w:val="000000" w:themeColor="text1"/>
                <w:szCs w:val="21"/>
                <w:lang w:val="en-US" w:eastAsia="zh-CN"/>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；已根据《广东省印刷行业挥发性有机化合物废气治理技术指南》及废气处理工程经验，重新核实并修改废气收集和处理效率，补充分析了可达标性论述，见P20</w:t>
            </w:r>
            <w:r>
              <w:rPr>
                <w:rFonts w:hint="eastAsia" w:ascii="Times New Roman" w:hAnsi="Times New Roman" w:cs="Times New Roman"/>
                <w:color w:val="000000" w:themeColor="text1"/>
                <w:szCs w:val="21"/>
                <w:lang w:val="en-US" w:eastAsia="zh-CN"/>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，P20</w:t>
            </w:r>
            <w:r>
              <w:rPr>
                <w:rFonts w:hint="eastAsia" w:ascii="Times New Roman" w:hAnsi="Times New Roman" w:cs="Times New Roman"/>
                <w:color w:val="000000" w:themeColor="text1"/>
                <w:szCs w:val="21"/>
                <w:lang w:val="en-US" w:eastAsia="zh-CN"/>
                <w14:textFill>
                  <w14:solidFill>
                    <w14:schemeClr w14:val="tx1"/>
                  </w14:solidFill>
                </w14:textFill>
              </w:rPr>
              <w:t>7</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hAnsi="Times New Roman" w:cs="Times New Roman"/>
                <w:color w:val="000000" w:themeColor="text1"/>
                <w:szCs w:val="21"/>
                <w14:textFill>
                  <w14:solidFill>
                    <w14:schemeClr w14:val="tx1"/>
                  </w14:solidFill>
                </w14:textFill>
              </w:rPr>
            </w:pPr>
          </w:p>
        </w:tc>
        <w:tc>
          <w:tcPr>
            <w:tcW w:w="3686" w:type="dxa"/>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2、按《废塑料回收与再生利用污染防治技术规范（试行）》要求提出相应污染防治措施。</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已结合《排污许可证申请与核发技术规范 废弃资源加工工业》（HJ1034-2019）与《废塑料回收与再生利用污染防治技术规范（试行）》中提出的相应污染防治措施分析，补充分析项目污染防治措施可行性分析，详见P20</w:t>
            </w:r>
            <w:r>
              <w:rPr>
                <w:rFonts w:hint="eastAsia" w:ascii="Times New Roman" w:hAnsi="Times New Roman" w:cs="Times New Roman"/>
                <w:color w:val="000000" w:themeColor="text1"/>
                <w:szCs w:val="21"/>
                <w:lang w:val="en-US" w:eastAsia="zh-CN"/>
                <w14:textFill>
                  <w14:solidFill>
                    <w14:schemeClr w14:val="tx1"/>
                  </w14:solidFill>
                </w14:textFill>
              </w:rPr>
              <w:t>8</w:t>
            </w:r>
            <w:r>
              <w:rPr>
                <w:rFonts w:hint="eastAsia" w:ascii="Times New Roman" w:hAnsi="Times New Roman" w:cs="Times New Roman"/>
                <w:color w:val="000000" w:themeColor="text1"/>
                <w:szCs w:val="21"/>
                <w14:textFill>
                  <w14:solidFill>
                    <w14:schemeClr w14:val="tx1"/>
                  </w14:solidFill>
                </w14:textFill>
              </w:rPr>
              <w:t>-P2</w:t>
            </w:r>
            <w:r>
              <w:rPr>
                <w:rFonts w:hint="eastAsia" w:ascii="Times New Roman" w:hAnsi="Times New Roman" w:cs="Times New Roman"/>
                <w:color w:val="000000" w:themeColor="text1"/>
                <w:szCs w:val="21"/>
                <w:lang w:val="en-US" w:eastAsia="zh-CN"/>
                <w14:textFill>
                  <w14:solidFill>
                    <w14:schemeClr w14:val="tx1"/>
                  </w14:solidFill>
                </w14:textFill>
              </w:rPr>
              <w:t>19</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1384" w:type="dxa"/>
            <w:vMerge w:val="restart"/>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五、</w:t>
            </w:r>
            <w:r>
              <w:rPr>
                <w:rFonts w:hint="eastAsia" w:ascii="Times New Roman" w:hAnsi="Times New Roman" w:cs="Times New Roman"/>
                <w:color w:val="000000" w:themeColor="text1"/>
                <w:szCs w:val="21"/>
                <w14:textFill>
                  <w14:solidFill>
                    <w14:schemeClr w14:val="tx1"/>
                  </w14:solidFill>
                </w14:textFill>
              </w:rPr>
              <w:t>产业政策相符性分析</w:t>
            </w:r>
          </w:p>
        </w:tc>
        <w:tc>
          <w:tcPr>
            <w:tcW w:w="3686" w:type="dxa"/>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1、补充项目选址与当地相关规划相符性分析；</w:t>
            </w:r>
          </w:p>
        </w:tc>
        <w:tc>
          <w:tcPr>
            <w:tcW w:w="3543" w:type="dxa"/>
            <w:vAlign w:val="center"/>
          </w:tcPr>
          <w:p>
            <w:pPr>
              <w:rPr>
                <w:rFonts w:hint="eastAsia" w:ascii="Times New Roman" w:hAnsi="Times New Roman" w:cs="Times New Roman" w:eastAsiaTheme="minorEastAsia"/>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已根据项目用地情况结合《梅州市环境保护规划纲要》（2007~2020年）补充项目相符性分析，详见P</w:t>
            </w:r>
            <w:r>
              <w:rPr>
                <w:rFonts w:hint="eastAsia" w:ascii="Times New Roman" w:hAnsi="Times New Roman" w:cs="Times New Roman"/>
                <w:color w:val="000000" w:themeColor="text1"/>
                <w:szCs w:val="21"/>
                <w:lang w:val="en-US" w:eastAsia="zh-CN"/>
                <w14:textFill>
                  <w14:solidFill>
                    <w14:schemeClr w14:val="tx1"/>
                  </w14:solidFill>
                </w14:textFill>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p>
        </w:tc>
        <w:tc>
          <w:tcPr>
            <w:tcW w:w="3686" w:type="dxa"/>
            <w:vAlign w:val="center"/>
          </w:tcPr>
          <w:p>
            <w:pPr>
              <w:spacing w:line="540" w:lineRule="exact"/>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2、进一步分析项目选址的合理性和合法性；</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已从用地类型、是否涉及自然保护区、饮用水源保护区、基本农田等角度补充分析项目项目用地合理、合法性分析，详见P</w:t>
            </w:r>
            <w:r>
              <w:rPr>
                <w:rFonts w:hint="eastAsia" w:ascii="Times New Roman" w:hAnsi="Times New Roman" w:cs="Times New Roman"/>
                <w:color w:val="000000" w:themeColor="text1"/>
                <w:szCs w:val="21"/>
                <w:lang w:val="en-US" w:eastAsia="zh-CN"/>
                <w14:textFill>
                  <w14:solidFill>
                    <w14:schemeClr w14:val="tx1"/>
                  </w14:solidFill>
                </w14:textFill>
              </w:rPr>
              <w:t>59</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cs="Times New Roman" w:hAnsiTheme="minorEastAsia"/>
                <w:color w:val="000000" w:themeColor="text1"/>
                <w:szCs w:val="21"/>
                <w14:textFill>
                  <w14:solidFill>
                    <w14:schemeClr w14:val="tx1"/>
                  </w14:solidFill>
                </w14:textFill>
              </w:rPr>
            </w:pPr>
          </w:p>
        </w:tc>
        <w:tc>
          <w:tcPr>
            <w:tcW w:w="3686" w:type="dxa"/>
            <w:vAlign w:val="center"/>
          </w:tcPr>
          <w:p>
            <w:pPr>
              <w:spacing w:line="540" w:lineRule="exact"/>
              <w:jc w:val="left"/>
              <w:rPr>
                <w:rFonts w:ascii="仿宋" w:hAnsi="仿宋" w:eastAsia="仿宋"/>
                <w:color w:val="000000" w:themeColor="text1"/>
                <w:sz w:val="32"/>
                <w:szCs w:val="32"/>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3、完善项目平面布置合理性分析。</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已根据项目平面布置情况，补充完善平面布置合理性分析，详见P</w:t>
            </w:r>
            <w:r>
              <w:rPr>
                <w:rFonts w:hint="eastAsia" w:ascii="Times New Roman" w:hAnsi="Times New Roman" w:cs="Times New Roman"/>
                <w:color w:val="000000" w:themeColor="text1"/>
                <w:szCs w:val="21"/>
                <w:lang w:val="en-US" w:eastAsia="zh-CN"/>
                <w14:textFill>
                  <w14:solidFill>
                    <w14:schemeClr w14:val="tx1"/>
                  </w14:solidFill>
                </w14:textFill>
              </w:rPr>
              <w:t>69</w:t>
            </w: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cs="Times New Roman" w:hAnsiTheme="minorEastAsia"/>
                <w:color w:val="000000" w:themeColor="text1"/>
                <w:szCs w:val="21"/>
                <w14:textFill>
                  <w14:solidFill>
                    <w14:schemeClr w14:val="tx1"/>
                  </w14:solidFill>
                </w14:textFill>
              </w:rPr>
              <w:t>六</w:t>
            </w:r>
            <w:r>
              <w:rPr>
                <w:rFonts w:ascii="Times New Roman" w:cs="Times New Roman" w:hAnsiTheme="minorEastAsia"/>
                <w:color w:val="000000" w:themeColor="text1"/>
                <w:szCs w:val="21"/>
                <w14:textFill>
                  <w14:solidFill>
                    <w14:schemeClr w14:val="tx1"/>
                  </w14:solidFill>
                </w14:textFill>
              </w:rPr>
              <w:t>、</w:t>
            </w:r>
            <w:r>
              <w:rPr>
                <w:rFonts w:hint="eastAsia" w:ascii="Times New Roman" w:cs="Times New Roman" w:hAnsiTheme="minorEastAsia"/>
                <w:color w:val="000000" w:themeColor="text1"/>
                <w:szCs w:val="21"/>
                <w14:textFill>
                  <w14:solidFill>
                    <w14:schemeClr w14:val="tx1"/>
                  </w14:solidFill>
                </w14:textFill>
              </w:rPr>
              <w:t>公众参与</w:t>
            </w:r>
          </w:p>
        </w:tc>
        <w:tc>
          <w:tcPr>
            <w:tcW w:w="3686" w:type="dxa"/>
            <w:vAlign w:val="center"/>
          </w:tcPr>
          <w:p>
            <w:pPr>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按《环境影响评价公众参与办法》（生态环境部令第4号）要求完善公众参与内容</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已按《环境影响评价公众参与办法》（生态环境部令第4号）要求完善公众参与内容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cs="Times New Roman" w:hAnsiTheme="minorEastAsia"/>
                <w:color w:val="000000" w:themeColor="text1"/>
                <w:szCs w:val="21"/>
                <w14:textFill>
                  <w14:solidFill>
                    <w14:schemeClr w14:val="tx1"/>
                  </w14:solidFill>
                </w14:textFill>
              </w:rPr>
              <w:t>七</w:t>
            </w:r>
            <w:r>
              <w:rPr>
                <w:rFonts w:ascii="Times New Roman" w:cs="Times New Roman" w:hAnsiTheme="minorEastAsia"/>
                <w:color w:val="000000" w:themeColor="text1"/>
                <w:szCs w:val="21"/>
                <w14:textFill>
                  <w14:solidFill>
                    <w14:schemeClr w14:val="tx1"/>
                  </w14:solidFill>
                </w14:textFill>
              </w:rPr>
              <w:t>、</w:t>
            </w:r>
            <w:r>
              <w:rPr>
                <w:rFonts w:hint="eastAsia" w:ascii="Times New Roman" w:cs="Times New Roman" w:hAnsiTheme="minorEastAsia"/>
                <w:bCs/>
                <w:color w:val="000000" w:themeColor="text1"/>
                <w:szCs w:val="21"/>
                <w14:textFill>
                  <w14:solidFill>
                    <w14:schemeClr w14:val="tx1"/>
                  </w14:solidFill>
                </w14:textFill>
              </w:rPr>
              <w:t>环境影响经济损益分析</w:t>
            </w:r>
          </w:p>
        </w:tc>
        <w:tc>
          <w:tcPr>
            <w:tcW w:w="3686" w:type="dxa"/>
            <w:vAlign w:val="center"/>
          </w:tcPr>
          <w:p>
            <w:pPr>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restart"/>
            <w:vAlign w:val="center"/>
          </w:tcPr>
          <w:p>
            <w:pPr>
              <w:rPr>
                <w:rFonts w:ascii="Times New Roman" w:cs="Times New Roman" w:hAnsiTheme="minorEastAsia"/>
                <w:color w:val="000000" w:themeColor="text1"/>
                <w:szCs w:val="21"/>
                <w14:textFill>
                  <w14:solidFill>
                    <w14:schemeClr w14:val="tx1"/>
                  </w14:solidFill>
                </w14:textFill>
              </w:rPr>
            </w:pPr>
            <w:r>
              <w:rPr>
                <w:rFonts w:hint="eastAsia" w:ascii="Times New Roman" w:cs="Times New Roman" w:hAnsiTheme="minorEastAsia"/>
                <w:color w:val="000000" w:themeColor="text1"/>
                <w:szCs w:val="21"/>
                <w14:textFill>
                  <w14:solidFill>
                    <w14:schemeClr w14:val="tx1"/>
                  </w14:solidFill>
                </w14:textFill>
              </w:rPr>
              <w:t>八、环境管理与总量控制</w:t>
            </w:r>
          </w:p>
        </w:tc>
        <w:tc>
          <w:tcPr>
            <w:tcW w:w="3686" w:type="dxa"/>
            <w:vAlign w:val="center"/>
          </w:tcPr>
          <w:p>
            <w:pPr>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1、按《排污许可证申请与核发技术规范-废弃资源加工工业》（</w:t>
            </w:r>
            <w:r>
              <w:rPr>
                <w:rFonts w:ascii="Times New Roman" w:hAnsi="Times New Roman" w:cs="Times New Roman"/>
                <w:bCs/>
                <w:color w:val="000000" w:themeColor="text1"/>
                <w:szCs w:val="21"/>
                <w14:textFill>
                  <w14:solidFill>
                    <w14:schemeClr w14:val="tx1"/>
                  </w14:solidFill>
                </w14:textFill>
              </w:rPr>
              <w:t>HJ 1034</w:t>
            </w:r>
            <w:r>
              <w:rPr>
                <w:rFonts w:hint="eastAsia" w:ascii="Times New Roman" w:hAnsi="Times New Roman" w:cs="Times New Roman"/>
                <w:bCs/>
                <w:color w:val="000000" w:themeColor="text1"/>
                <w:szCs w:val="21"/>
                <w14:textFill>
                  <w14:solidFill>
                    <w14:schemeClr w14:val="tx1"/>
                  </w14:solidFill>
                </w14:textFill>
              </w:rPr>
              <w:t>—</w:t>
            </w:r>
            <w:r>
              <w:rPr>
                <w:rFonts w:ascii="Times New Roman" w:hAnsi="Times New Roman" w:cs="Times New Roman"/>
                <w:bCs/>
                <w:color w:val="000000" w:themeColor="text1"/>
                <w:szCs w:val="21"/>
                <w14:textFill>
                  <w14:solidFill>
                    <w14:schemeClr w14:val="tx1"/>
                  </w14:solidFill>
                </w14:textFill>
              </w:rPr>
              <w:t>2019</w:t>
            </w:r>
            <w:r>
              <w:rPr>
                <w:rFonts w:hint="eastAsia" w:ascii="Times New Roman" w:hAnsi="Times New Roman" w:cs="Times New Roman"/>
                <w:bCs/>
                <w:color w:val="000000" w:themeColor="text1"/>
                <w:szCs w:val="21"/>
                <w14:textFill>
                  <w14:solidFill>
                    <w14:schemeClr w14:val="tx1"/>
                  </w14:solidFill>
                </w14:textFill>
              </w:rPr>
              <w:t>）及相关规范要求完善环境监测内容；</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已按照</w:t>
            </w:r>
            <w:r>
              <w:rPr>
                <w:rFonts w:hint="eastAsia" w:ascii="Times New Roman" w:hAnsi="Times New Roman" w:cs="Times New Roman"/>
                <w:bCs/>
                <w:color w:val="000000" w:themeColor="text1"/>
                <w:szCs w:val="21"/>
                <w14:textFill>
                  <w14:solidFill>
                    <w14:schemeClr w14:val="tx1"/>
                  </w14:solidFill>
                </w14:textFill>
              </w:rPr>
              <w:t>《排污许可证申请与核发技术规范-废弃资源加工工业》（</w:t>
            </w:r>
            <w:r>
              <w:rPr>
                <w:rFonts w:ascii="Times New Roman" w:hAnsi="Times New Roman" w:cs="Times New Roman"/>
                <w:bCs/>
                <w:color w:val="000000" w:themeColor="text1"/>
                <w:szCs w:val="21"/>
                <w14:textFill>
                  <w14:solidFill>
                    <w14:schemeClr w14:val="tx1"/>
                  </w14:solidFill>
                </w14:textFill>
              </w:rPr>
              <w:t>HJ 1034</w:t>
            </w:r>
            <w:r>
              <w:rPr>
                <w:rFonts w:hint="eastAsia" w:ascii="Times New Roman" w:hAnsi="Times New Roman" w:cs="Times New Roman"/>
                <w:bCs/>
                <w:color w:val="000000" w:themeColor="text1"/>
                <w:szCs w:val="21"/>
                <w14:textFill>
                  <w14:solidFill>
                    <w14:schemeClr w14:val="tx1"/>
                  </w14:solidFill>
                </w14:textFill>
              </w:rPr>
              <w:t>—</w:t>
            </w:r>
            <w:r>
              <w:rPr>
                <w:rFonts w:ascii="Times New Roman" w:hAnsi="Times New Roman" w:cs="Times New Roman"/>
                <w:bCs/>
                <w:color w:val="000000" w:themeColor="text1"/>
                <w:szCs w:val="21"/>
                <w14:textFill>
                  <w14:solidFill>
                    <w14:schemeClr w14:val="tx1"/>
                  </w14:solidFill>
                </w14:textFill>
              </w:rPr>
              <w:t>2019</w:t>
            </w:r>
            <w:r>
              <w:rPr>
                <w:rFonts w:hint="eastAsia" w:ascii="Times New Roman" w:hAnsi="Times New Roman" w:cs="Times New Roman"/>
                <w:bCs/>
                <w:color w:val="000000" w:themeColor="text1"/>
                <w:szCs w:val="2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《排污许可证申请与核发技术规范 </w:t>
            </w:r>
            <w:r>
              <w:rPr>
                <w:rFonts w:hint="eastAsia" w:ascii="Times New Roman" w:hAnsi="Times New Roman" w:cs="Times New Roman"/>
                <w:color w:val="000000" w:themeColor="text1"/>
                <w14:textFill>
                  <w14:solidFill>
                    <w14:schemeClr w14:val="tx1"/>
                  </w14:solidFill>
                </w14:textFill>
              </w:rPr>
              <w:t>橡胶和塑料制品</w:t>
            </w:r>
            <w:r>
              <w:rPr>
                <w:rFonts w:ascii="Times New Roman" w:hAnsi="Times New Roman" w:cs="Times New Roman"/>
                <w:color w:val="000000" w:themeColor="text1"/>
                <w14:textFill>
                  <w14:solidFill>
                    <w14:schemeClr w14:val="tx1"/>
                  </w14:solidFill>
                </w14:textFill>
              </w:rPr>
              <w:t>工业》</w:t>
            </w:r>
            <w:r>
              <w:rPr>
                <w:rFonts w:hint="eastAsia" w:ascii="Times New Roman" w:hAnsi="Times New Roman" w:cs="Times New Roman"/>
                <w:color w:val="000000" w:themeColor="text1"/>
                <w14:textFill>
                  <w14:solidFill>
                    <w14:schemeClr w14:val="tx1"/>
                  </w14:solidFill>
                </w14:textFill>
              </w:rPr>
              <w:t>（HJ1122-2020）及相关污染物排放标准完善环境监测内容，见P23</w:t>
            </w:r>
            <w:r>
              <w:rPr>
                <w:rFonts w:hint="eastAsia" w:ascii="Times New Roman" w:hAnsi="Times New Roman" w:cs="Times New Roman"/>
                <w:color w:val="000000" w:themeColor="text1"/>
                <w:lang w:val="en-US" w:eastAsia="zh-CN"/>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4" w:type="dxa"/>
            <w:vMerge w:val="continue"/>
            <w:vAlign w:val="center"/>
          </w:tcPr>
          <w:p>
            <w:pPr>
              <w:rPr>
                <w:rFonts w:ascii="Times New Roman" w:hAnsi="Times New Roman" w:cs="Times New Roman"/>
                <w:color w:val="000000" w:themeColor="text1"/>
                <w:szCs w:val="21"/>
                <w14:textFill>
                  <w14:solidFill>
                    <w14:schemeClr w14:val="tx1"/>
                  </w14:solidFill>
                </w14:textFill>
              </w:rPr>
            </w:pPr>
          </w:p>
        </w:tc>
        <w:tc>
          <w:tcPr>
            <w:tcW w:w="3686" w:type="dxa"/>
            <w:vAlign w:val="center"/>
          </w:tcPr>
          <w:p>
            <w:pPr>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2、核实大气污染物排放总量并说明总量来源，核实三同时验收表。</w:t>
            </w:r>
          </w:p>
        </w:tc>
        <w:tc>
          <w:tcPr>
            <w:tcW w:w="3543" w:type="dxa"/>
            <w:vAlign w:val="center"/>
          </w:tcPr>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已核实三同时验收表，见P2</w:t>
            </w:r>
            <w:r>
              <w:rPr>
                <w:rFonts w:hint="eastAsia" w:ascii="Times New Roman" w:hAnsi="Times New Roman" w:cs="Times New Roman"/>
                <w:color w:val="000000" w:themeColor="text1"/>
                <w:szCs w:val="21"/>
                <w:lang w:val="en-US" w:eastAsia="zh-CN"/>
                <w14:textFill>
                  <w14:solidFill>
                    <w14:schemeClr w14:val="tx1"/>
                  </w14:solidFill>
                </w14:textFill>
              </w:rPr>
              <w:t>37</w:t>
            </w:r>
            <w:r>
              <w:rPr>
                <w:rFonts w:hint="eastAsia" w:ascii="Times New Roman" w:hAnsi="Times New Roman" w:cs="Times New Roman"/>
                <w:color w:val="000000" w:themeColor="text1"/>
                <w:szCs w:val="21"/>
                <w14:textFill>
                  <w14:solidFill>
                    <w14:schemeClr w14:val="tx1"/>
                  </w14:solidFill>
                </w14:textFill>
              </w:rPr>
              <w:t>。</w:t>
            </w:r>
          </w:p>
        </w:tc>
      </w:tr>
    </w:tbl>
    <w:p>
      <w:pPr>
        <w:jc w:val="left"/>
        <w:rPr>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8F6"/>
    <w:rsid w:val="00003719"/>
    <w:rsid w:val="00011409"/>
    <w:rsid w:val="00015751"/>
    <w:rsid w:val="00015B24"/>
    <w:rsid w:val="00015BB2"/>
    <w:rsid w:val="00021448"/>
    <w:rsid w:val="000227E0"/>
    <w:rsid w:val="0002473C"/>
    <w:rsid w:val="00054D6C"/>
    <w:rsid w:val="0008448B"/>
    <w:rsid w:val="000930AB"/>
    <w:rsid w:val="00097F41"/>
    <w:rsid w:val="000D0163"/>
    <w:rsid w:val="000D5ACE"/>
    <w:rsid w:val="000F03CA"/>
    <w:rsid w:val="000F75B6"/>
    <w:rsid w:val="001142A8"/>
    <w:rsid w:val="00116F3F"/>
    <w:rsid w:val="001327AE"/>
    <w:rsid w:val="00133560"/>
    <w:rsid w:val="0015516C"/>
    <w:rsid w:val="001611BA"/>
    <w:rsid w:val="0018353A"/>
    <w:rsid w:val="001933C6"/>
    <w:rsid w:val="001A76B5"/>
    <w:rsid w:val="001C03C3"/>
    <w:rsid w:val="001C5950"/>
    <w:rsid w:val="001F0973"/>
    <w:rsid w:val="001F1F7E"/>
    <w:rsid w:val="00236730"/>
    <w:rsid w:val="00262A80"/>
    <w:rsid w:val="0026536A"/>
    <w:rsid w:val="00290098"/>
    <w:rsid w:val="00297B7F"/>
    <w:rsid w:val="002A02EB"/>
    <w:rsid w:val="002C28A5"/>
    <w:rsid w:val="002C3DEB"/>
    <w:rsid w:val="002D2BAD"/>
    <w:rsid w:val="002D3960"/>
    <w:rsid w:val="002D404A"/>
    <w:rsid w:val="002D6CE1"/>
    <w:rsid w:val="003073C9"/>
    <w:rsid w:val="00323EB8"/>
    <w:rsid w:val="00327761"/>
    <w:rsid w:val="00341610"/>
    <w:rsid w:val="00351C8C"/>
    <w:rsid w:val="00376223"/>
    <w:rsid w:val="00377B9C"/>
    <w:rsid w:val="0039275D"/>
    <w:rsid w:val="003A02A8"/>
    <w:rsid w:val="003C23F3"/>
    <w:rsid w:val="003D41D9"/>
    <w:rsid w:val="003E3056"/>
    <w:rsid w:val="003F063A"/>
    <w:rsid w:val="003F12F6"/>
    <w:rsid w:val="00413122"/>
    <w:rsid w:val="00457809"/>
    <w:rsid w:val="00464BD5"/>
    <w:rsid w:val="004654B6"/>
    <w:rsid w:val="00466858"/>
    <w:rsid w:val="004A3F55"/>
    <w:rsid w:val="004A423F"/>
    <w:rsid w:val="004B46B4"/>
    <w:rsid w:val="004C25A5"/>
    <w:rsid w:val="004C5B72"/>
    <w:rsid w:val="004D75F7"/>
    <w:rsid w:val="004D7804"/>
    <w:rsid w:val="004F5D43"/>
    <w:rsid w:val="005056CB"/>
    <w:rsid w:val="00511DEB"/>
    <w:rsid w:val="00512CD0"/>
    <w:rsid w:val="00522769"/>
    <w:rsid w:val="00540651"/>
    <w:rsid w:val="005533D6"/>
    <w:rsid w:val="00560391"/>
    <w:rsid w:val="00563EB9"/>
    <w:rsid w:val="00594F00"/>
    <w:rsid w:val="005954F8"/>
    <w:rsid w:val="005A48F4"/>
    <w:rsid w:val="005D7A40"/>
    <w:rsid w:val="005E03E4"/>
    <w:rsid w:val="005E3C1D"/>
    <w:rsid w:val="005F1374"/>
    <w:rsid w:val="00600DE2"/>
    <w:rsid w:val="00611408"/>
    <w:rsid w:val="00625ACE"/>
    <w:rsid w:val="006342A7"/>
    <w:rsid w:val="00643A9D"/>
    <w:rsid w:val="00684E3D"/>
    <w:rsid w:val="006873C6"/>
    <w:rsid w:val="006968DD"/>
    <w:rsid w:val="006B3035"/>
    <w:rsid w:val="006D18FE"/>
    <w:rsid w:val="006D2DE7"/>
    <w:rsid w:val="00702AF7"/>
    <w:rsid w:val="00713C67"/>
    <w:rsid w:val="00716C11"/>
    <w:rsid w:val="007222E1"/>
    <w:rsid w:val="00722B54"/>
    <w:rsid w:val="00727EC4"/>
    <w:rsid w:val="0073127B"/>
    <w:rsid w:val="007359A8"/>
    <w:rsid w:val="00743E4A"/>
    <w:rsid w:val="00760C58"/>
    <w:rsid w:val="007639AC"/>
    <w:rsid w:val="007641C0"/>
    <w:rsid w:val="00767183"/>
    <w:rsid w:val="00775998"/>
    <w:rsid w:val="0077638B"/>
    <w:rsid w:val="00781ABA"/>
    <w:rsid w:val="007B4022"/>
    <w:rsid w:val="007B6526"/>
    <w:rsid w:val="007E1BFC"/>
    <w:rsid w:val="007E35A1"/>
    <w:rsid w:val="007E41BF"/>
    <w:rsid w:val="007E65A3"/>
    <w:rsid w:val="007F5C01"/>
    <w:rsid w:val="00807E4D"/>
    <w:rsid w:val="00812AE9"/>
    <w:rsid w:val="00841121"/>
    <w:rsid w:val="00851F0E"/>
    <w:rsid w:val="0086398C"/>
    <w:rsid w:val="00870BAD"/>
    <w:rsid w:val="00874FFB"/>
    <w:rsid w:val="00875F42"/>
    <w:rsid w:val="008825BC"/>
    <w:rsid w:val="00894626"/>
    <w:rsid w:val="00896FC3"/>
    <w:rsid w:val="008974C9"/>
    <w:rsid w:val="00897DF8"/>
    <w:rsid w:val="008B056E"/>
    <w:rsid w:val="008C0C2C"/>
    <w:rsid w:val="008E5617"/>
    <w:rsid w:val="008E7445"/>
    <w:rsid w:val="00902654"/>
    <w:rsid w:val="009116DD"/>
    <w:rsid w:val="009140BE"/>
    <w:rsid w:val="0092468B"/>
    <w:rsid w:val="00924867"/>
    <w:rsid w:val="00942603"/>
    <w:rsid w:val="00943234"/>
    <w:rsid w:val="00972A66"/>
    <w:rsid w:val="00985D44"/>
    <w:rsid w:val="009A06D9"/>
    <w:rsid w:val="009B1878"/>
    <w:rsid w:val="009B450A"/>
    <w:rsid w:val="009C5564"/>
    <w:rsid w:val="009D0EEC"/>
    <w:rsid w:val="009F4C4A"/>
    <w:rsid w:val="009F6B5F"/>
    <w:rsid w:val="009F7839"/>
    <w:rsid w:val="00A06B26"/>
    <w:rsid w:val="00A3584F"/>
    <w:rsid w:val="00A50CCC"/>
    <w:rsid w:val="00A711D3"/>
    <w:rsid w:val="00A870C6"/>
    <w:rsid w:val="00A87E40"/>
    <w:rsid w:val="00A93B9C"/>
    <w:rsid w:val="00AA23E9"/>
    <w:rsid w:val="00AA57AC"/>
    <w:rsid w:val="00AD5991"/>
    <w:rsid w:val="00AE073E"/>
    <w:rsid w:val="00B136C1"/>
    <w:rsid w:val="00B41FCF"/>
    <w:rsid w:val="00B45FCE"/>
    <w:rsid w:val="00B468F6"/>
    <w:rsid w:val="00B56CD1"/>
    <w:rsid w:val="00B62EA0"/>
    <w:rsid w:val="00B73FFC"/>
    <w:rsid w:val="00B75C98"/>
    <w:rsid w:val="00B829AE"/>
    <w:rsid w:val="00B86613"/>
    <w:rsid w:val="00BA352D"/>
    <w:rsid w:val="00BA72E2"/>
    <w:rsid w:val="00BB3C82"/>
    <w:rsid w:val="00BC204D"/>
    <w:rsid w:val="00BF7F2D"/>
    <w:rsid w:val="00C345AB"/>
    <w:rsid w:val="00C52511"/>
    <w:rsid w:val="00C552F9"/>
    <w:rsid w:val="00C90767"/>
    <w:rsid w:val="00CA0B9E"/>
    <w:rsid w:val="00CA1E8D"/>
    <w:rsid w:val="00CA369B"/>
    <w:rsid w:val="00CB229B"/>
    <w:rsid w:val="00CC3B62"/>
    <w:rsid w:val="00CD0A84"/>
    <w:rsid w:val="00CD38B6"/>
    <w:rsid w:val="00D369AB"/>
    <w:rsid w:val="00D422CF"/>
    <w:rsid w:val="00D42F41"/>
    <w:rsid w:val="00D46F55"/>
    <w:rsid w:val="00D61A13"/>
    <w:rsid w:val="00D85597"/>
    <w:rsid w:val="00D95B57"/>
    <w:rsid w:val="00DA04B9"/>
    <w:rsid w:val="00DB7277"/>
    <w:rsid w:val="00E10F3B"/>
    <w:rsid w:val="00E41D70"/>
    <w:rsid w:val="00E44F2B"/>
    <w:rsid w:val="00E5279D"/>
    <w:rsid w:val="00E55065"/>
    <w:rsid w:val="00E61D06"/>
    <w:rsid w:val="00E645E7"/>
    <w:rsid w:val="00EA2038"/>
    <w:rsid w:val="00EA2244"/>
    <w:rsid w:val="00EB0A49"/>
    <w:rsid w:val="00ED0179"/>
    <w:rsid w:val="00ED4767"/>
    <w:rsid w:val="00ED6B4E"/>
    <w:rsid w:val="00EE10EC"/>
    <w:rsid w:val="00EE36A6"/>
    <w:rsid w:val="00F0392E"/>
    <w:rsid w:val="00F03958"/>
    <w:rsid w:val="00F216A4"/>
    <w:rsid w:val="00F41879"/>
    <w:rsid w:val="00F43BFB"/>
    <w:rsid w:val="00F44787"/>
    <w:rsid w:val="00F467D2"/>
    <w:rsid w:val="00F658B2"/>
    <w:rsid w:val="00F66B95"/>
    <w:rsid w:val="00F82FB9"/>
    <w:rsid w:val="00F93482"/>
    <w:rsid w:val="00F96135"/>
    <w:rsid w:val="00FC43C4"/>
    <w:rsid w:val="00FD48AE"/>
    <w:rsid w:val="00FF3C46"/>
    <w:rsid w:val="06D33225"/>
    <w:rsid w:val="131A748E"/>
    <w:rsid w:val="17BB36DE"/>
    <w:rsid w:val="187E18B6"/>
    <w:rsid w:val="1A516F94"/>
    <w:rsid w:val="203721A5"/>
    <w:rsid w:val="38F54FD0"/>
    <w:rsid w:val="50924EC3"/>
    <w:rsid w:val="5B400D4D"/>
    <w:rsid w:val="633E1900"/>
    <w:rsid w:val="7D7915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CAT'S EYE</Company>
  <Pages>3</Pages>
  <Words>335</Words>
  <Characters>1915</Characters>
  <Lines>15</Lines>
  <Paragraphs>4</Paragraphs>
  <TotalTime>24</TotalTime>
  <ScaleCrop>false</ScaleCrop>
  <LinksUpToDate>false</LinksUpToDate>
  <CharactersWithSpaces>2246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2020-10-15T02:56:00Z</dcterms:created>
  <dc:creator>CAT</dc:creator>
  <cp:lastModifiedBy>Administrator</cp:lastModifiedBy>
  <dcterms:modified xsi:type="dcterms:W3CDTF">2020-11-18T05:36:11Z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