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9A" w:rsidRPr="00BC0B19" w:rsidRDefault="00451E9A" w:rsidP="00451E9A">
      <w:pPr>
        <w:pStyle w:val="1"/>
        <w:spacing w:line="566" w:lineRule="exact"/>
        <w:jc w:val="center"/>
        <w:rPr>
          <w:rFonts w:ascii="文星标宋" w:eastAsia="文星标宋" w:hAnsi="文星标宋" w:cs="文星标宋"/>
          <w:bCs/>
          <w:lang w:eastAsia="zh-CN"/>
        </w:rPr>
      </w:pPr>
      <w:r w:rsidRPr="00BC0B19">
        <w:rPr>
          <w:rFonts w:ascii="文星标宋" w:eastAsia="文星标宋" w:hAnsi="文星标宋" w:cs="文星标宋" w:hint="eastAsia"/>
          <w:bCs/>
          <w:lang w:eastAsia="zh-CN"/>
        </w:rPr>
        <w:t>梅州市房屋建筑和市政基础设施工程质量、消防、人防等融合监管工作指引（1.0版）</w:t>
      </w:r>
    </w:p>
    <w:p w:rsidR="00451E9A" w:rsidRDefault="00451E9A" w:rsidP="00451E9A">
      <w:pPr>
        <w:spacing w:before="12"/>
        <w:rPr>
          <w:rFonts w:ascii="仿宋" w:eastAsia="仿宋" w:hAnsi="仿宋" w:cs="仿宋"/>
          <w:sz w:val="44"/>
          <w:szCs w:val="44"/>
          <w:lang w:eastAsia="zh-CN"/>
        </w:rPr>
      </w:pP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为进一步规范我市建筑工程质量、消防、人防等融合统一监督，确保工程建设</w:t>
      </w:r>
      <w:bookmarkStart w:id="0" w:name="_GoBack"/>
      <w:bookmarkEnd w:id="0"/>
      <w:r>
        <w:rPr>
          <w:rFonts w:ascii="文星仿宋" w:eastAsia="文星仿宋" w:hint="eastAsia"/>
          <w:kern w:val="2"/>
          <w:sz w:val="32"/>
          <w:szCs w:val="32"/>
          <w:lang w:eastAsia="zh-CN"/>
        </w:rPr>
        <w:t>质量，根据《建筑法》《人民防空法》《消防法》《建设工程质量管理条例》《人民防空工程质量监督管理规定》《广东省结建式人防工程质量监督工作指引》《关于加强房屋建筑和市政基础设施工程消防施工质量监管的通知》等有关要求，制定本工作指引。</w:t>
      </w:r>
    </w:p>
    <w:p w:rsidR="00451E9A" w:rsidRPr="008D20C2" w:rsidRDefault="00451E9A" w:rsidP="00451E9A">
      <w:pPr>
        <w:adjustRightInd w:val="0"/>
        <w:snapToGrid w:val="0"/>
        <w:spacing w:line="600" w:lineRule="exact"/>
        <w:ind w:firstLineChars="200" w:firstLine="640"/>
        <w:jc w:val="both"/>
        <w:rPr>
          <w:rFonts w:ascii="文星黑体" w:eastAsia="文星黑体"/>
          <w:bCs/>
          <w:kern w:val="2"/>
          <w:sz w:val="32"/>
          <w:szCs w:val="32"/>
          <w:lang w:eastAsia="zh-CN"/>
        </w:rPr>
      </w:pPr>
      <w:r w:rsidRPr="008D20C2">
        <w:rPr>
          <w:rFonts w:ascii="文星黑体" w:eastAsia="文星黑体" w:hint="eastAsia"/>
          <w:bCs/>
          <w:kern w:val="2"/>
          <w:sz w:val="32"/>
          <w:szCs w:val="32"/>
          <w:lang w:eastAsia="zh-CN"/>
        </w:rPr>
        <w:t>一、工程监督程序</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工程质量监督机构收到施工许可证办结信息后，应根据工程项目质量安全风险分级监管要求，拟定融合统一监督通知书和监督计划书（包括工程质量、消防、人防，以及装配式建筑、海绵城市建设、充电设施、无障碍设施和配套附属及绿化工程等内容）。组织现场查勘和开展现场质量监督交底（告知）会议，抽查主要岗位人员资格和告知质量监督依据、程序、内容、方法和措施，并下发监督计划书，可根据工程进度和实际情况进行二次交底。</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工程质量监督机构依据审查合格的施工图设计文件，按监督计划，组织开展工程质量监督抽查、抽检工作。工程质量监督机构在项目基本完工前应提前做好技术服务工作，监督指导建设单位开展工程竣工联合验收。</w:t>
      </w:r>
    </w:p>
    <w:p w:rsidR="00451E9A" w:rsidRPr="008D20C2" w:rsidRDefault="00451E9A" w:rsidP="00451E9A">
      <w:pPr>
        <w:adjustRightInd w:val="0"/>
        <w:snapToGrid w:val="0"/>
        <w:spacing w:line="600" w:lineRule="exact"/>
        <w:ind w:firstLineChars="200" w:firstLine="640"/>
        <w:jc w:val="both"/>
        <w:rPr>
          <w:rFonts w:ascii="文星黑体" w:eastAsia="文星黑体"/>
          <w:bCs/>
          <w:kern w:val="2"/>
          <w:sz w:val="32"/>
          <w:szCs w:val="32"/>
          <w:lang w:eastAsia="zh-CN"/>
        </w:rPr>
      </w:pPr>
      <w:r w:rsidRPr="008D20C2">
        <w:rPr>
          <w:rFonts w:ascii="文星黑体" w:eastAsia="文星黑体" w:hint="eastAsia"/>
          <w:bCs/>
          <w:kern w:val="2"/>
          <w:sz w:val="32"/>
          <w:szCs w:val="32"/>
          <w:lang w:eastAsia="zh-CN"/>
        </w:rPr>
        <w:t>二、工程监督主要环节及工作内容</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工程质量监督机构在工程施工过程中，应重点抽查工程建设有关责任主体的质量行为，抽查、抽测涉及结构质量安全和重要使用功能的实体质量，并融合抽查消防、人防、装配式建筑、海绵城市建设、充电设施、无障碍设施和配套附属及绿化工程等各专项内容（见附件）。针对检查发现的问题，应立即责令整改，并跟踪落实整改情况形成闭环。</w:t>
      </w:r>
    </w:p>
    <w:p w:rsidR="00451E9A" w:rsidRPr="00EB5359" w:rsidRDefault="00451E9A" w:rsidP="00451E9A">
      <w:pPr>
        <w:adjustRightInd w:val="0"/>
        <w:snapToGrid w:val="0"/>
        <w:spacing w:line="600" w:lineRule="exact"/>
        <w:ind w:firstLineChars="200" w:firstLine="640"/>
        <w:jc w:val="both"/>
        <w:rPr>
          <w:rFonts w:ascii="文星楷体" w:eastAsia="文星楷体"/>
          <w:kern w:val="2"/>
          <w:sz w:val="32"/>
          <w:szCs w:val="32"/>
          <w:lang w:eastAsia="zh-CN"/>
        </w:rPr>
      </w:pPr>
      <w:r w:rsidRPr="00EB5359">
        <w:rPr>
          <w:rFonts w:ascii="文星楷体" w:eastAsia="文星楷体" w:hint="eastAsia"/>
          <w:kern w:val="2"/>
          <w:sz w:val="32"/>
          <w:szCs w:val="32"/>
          <w:lang w:eastAsia="zh-CN"/>
        </w:rPr>
        <w:t>（一）地基与基础、主体结构施工阶段质量监督。</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1.建设单位按照有关规定组织制定地基、基础和主体结构</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含钢结构和人防）质量检测方案，检测方案须在实施前由建设、施工、监理、设计（勘察）和检测单位共同把关，加盖公章后送监督机构备查。地基与基础、主体结构分部（子分部）工程完工后，监理单位组织有关单位人员进行验收。工程质量监督机构重点对涉及结构安全的关键部位及重要质量控制资料进行抽查，并对分部（子分部）工程验收的组织形式、程序是否符合有关规定进行监督。</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2.结建人防工程：在人防结构层（底板、墙体和顶板）施工阶段，工程质量监督机构可结合工程主体结构实体质量抽查一并开展人防结构层质量抽查，重点对关键部位及其质量控制资料进行抽查。</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3.消防工程：在主体施工阶段，工程质量监督机构可结合工程主体结构实体质量抽查一并开展消防工程质量抽查，重点对地下室、首层、标准层（含裙房、避难层）的建筑防火分区分隔等内容进行抽查，并做好消防监督检查记录。</w:t>
      </w:r>
    </w:p>
    <w:p w:rsidR="00451E9A" w:rsidRPr="00774ADB" w:rsidRDefault="00451E9A" w:rsidP="00451E9A">
      <w:pPr>
        <w:adjustRightInd w:val="0"/>
        <w:snapToGrid w:val="0"/>
        <w:spacing w:line="600" w:lineRule="exact"/>
        <w:ind w:firstLineChars="200" w:firstLine="640"/>
        <w:jc w:val="both"/>
        <w:rPr>
          <w:rFonts w:ascii="文星楷体" w:eastAsia="文星楷体"/>
          <w:kern w:val="2"/>
          <w:sz w:val="32"/>
          <w:szCs w:val="32"/>
          <w:lang w:eastAsia="zh-CN"/>
        </w:rPr>
      </w:pPr>
      <w:r w:rsidRPr="00774ADB">
        <w:rPr>
          <w:rFonts w:ascii="文星楷体" w:eastAsia="文星楷体" w:hint="eastAsia"/>
          <w:kern w:val="2"/>
          <w:sz w:val="32"/>
          <w:szCs w:val="32"/>
          <w:lang w:eastAsia="zh-CN"/>
        </w:rPr>
        <w:t>（二）装饰装修、建筑节能和建筑设备安装施工阶段质量监督。</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1.建设单位按照有关规定组织制定装饰装修、幕墙子分部、建筑节能、消防和智能建筑分部工程等质量检测方案，检测方案须在实施前由建设、施工、监理、设计和检测单位共同把关，加盖公章后送工程质量监督机构备查。节能分部工程完工后，监理单位组织有关单位人员进行验收，工程质量监督机构重点对分部工程验收的组织形式、程序是否符合有关规定进行监督。</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2.结建人防工程：在防护设备安装阶段，工程质量监督机构可结合工程实体质量抽查一并开展防护设备安装质量抽查，重点对关键部位及其质量控制资料进行抽查。</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3.消防工程：消防设施、设备施工安装及建筑外围施工阶段，工程质量监督机构可结合工程实体质量抽查一并开展消防工程质量抽查，重点对消防设施、设备及建筑外围施工质量等内容，以及外保温材料、装修材料、电线电缆等的燃烧性能进行抽查，并做好消防监督检查记录。</w:t>
      </w:r>
    </w:p>
    <w:p w:rsidR="00451E9A" w:rsidRPr="00774ADB" w:rsidRDefault="00451E9A" w:rsidP="00451E9A">
      <w:pPr>
        <w:adjustRightInd w:val="0"/>
        <w:snapToGrid w:val="0"/>
        <w:spacing w:line="600" w:lineRule="exact"/>
        <w:ind w:firstLineChars="200" w:firstLine="640"/>
        <w:jc w:val="both"/>
        <w:rPr>
          <w:rFonts w:ascii="文星楷体" w:eastAsia="文星楷体"/>
          <w:kern w:val="2"/>
          <w:sz w:val="32"/>
          <w:szCs w:val="32"/>
          <w:lang w:eastAsia="zh-CN"/>
        </w:rPr>
      </w:pPr>
      <w:r w:rsidRPr="00774ADB">
        <w:rPr>
          <w:rFonts w:ascii="文星楷体" w:eastAsia="文星楷体" w:hint="eastAsia"/>
          <w:kern w:val="2"/>
          <w:sz w:val="32"/>
          <w:szCs w:val="32"/>
          <w:lang w:eastAsia="zh-CN"/>
        </w:rPr>
        <w:t>（三）相关配套建设工程质量监督。</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工程质量监督机构应结合工程实体质量抽查，一并开展装配式建筑、海绵城市建设、无障碍设施、充电设施、附属配套及绿化工程等工程配套建设工程质量抽查，重点对关键部位的隐蔽验收、重要使用功能及建设单位质量检查记录等关键质量控制资料进行抽查，核查工程配套建设工程的落实情况。</w:t>
      </w:r>
    </w:p>
    <w:p w:rsidR="00451E9A" w:rsidRPr="008D20C2" w:rsidRDefault="00451E9A" w:rsidP="00451E9A">
      <w:pPr>
        <w:adjustRightInd w:val="0"/>
        <w:snapToGrid w:val="0"/>
        <w:spacing w:line="600" w:lineRule="exact"/>
        <w:ind w:firstLineChars="200" w:firstLine="640"/>
        <w:jc w:val="both"/>
        <w:rPr>
          <w:rFonts w:ascii="文星黑体" w:eastAsia="文星黑体"/>
          <w:bCs/>
          <w:kern w:val="2"/>
          <w:sz w:val="32"/>
          <w:szCs w:val="32"/>
          <w:lang w:eastAsia="zh-CN"/>
        </w:rPr>
      </w:pPr>
      <w:r w:rsidRPr="008D20C2">
        <w:rPr>
          <w:rFonts w:ascii="文星黑体" w:eastAsia="文星黑体" w:hint="eastAsia"/>
          <w:bCs/>
          <w:kern w:val="2"/>
          <w:sz w:val="32"/>
          <w:szCs w:val="32"/>
          <w:lang w:eastAsia="zh-CN"/>
        </w:rPr>
        <w:t>三、工程竣工联合验收前质量检查</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工程质量监督机构在联合验收前按规定编制工程质量监督报告并上传至竣工联合验收系统，项目如涉及消防、人防、装配式建筑、海绵城市建设、充电设施、无障碍设施和配套附属及绿化工程等内容，工程监督机构出具的工程质量监督报告应反映上述内容。</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1.在项目基本完工前，工程质量监督机构要提前做好技术服务工作，重点对涉及结构质量安全和重要使用功能的实体质量及其控制资料进行抽查，核查是否有不符合施工图设计文件及违反国家有关强制性标准的情况。</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2.对装配式建筑项目，工程质量监督机构应核查建设单位是否组织参建单位对装配式建筑项目</w:t>
      </w:r>
      <w:proofErr w:type="gramStart"/>
      <w:r>
        <w:rPr>
          <w:rFonts w:ascii="文星仿宋" w:eastAsia="文星仿宋" w:hint="eastAsia"/>
          <w:kern w:val="2"/>
          <w:sz w:val="32"/>
          <w:szCs w:val="32"/>
          <w:lang w:eastAsia="zh-CN"/>
        </w:rPr>
        <w:t>预评价</w:t>
      </w:r>
      <w:proofErr w:type="gramEnd"/>
      <w:r>
        <w:rPr>
          <w:rFonts w:ascii="文星仿宋" w:eastAsia="文星仿宋" w:hint="eastAsia"/>
          <w:kern w:val="2"/>
          <w:sz w:val="32"/>
          <w:szCs w:val="32"/>
          <w:lang w:eastAsia="zh-CN"/>
        </w:rPr>
        <w:t>内容进行最终复核。</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3.对结建人防工程，工程质量监督机构可结合工程实体质量检查，核查人防工程是否完成设计和合同约定内容，抽查人防工程实体质量及质量检查记录的落实情况，核查是否制定平战功能转换预案、现场是否符合平战功能转换要求、是否按照规定要求悬挂人民防空工程标志牌。</w:t>
      </w:r>
    </w:p>
    <w:p w:rsidR="00451E9A" w:rsidRDefault="00451E9A" w:rsidP="00451E9A">
      <w:pPr>
        <w:adjustRightInd w:val="0"/>
        <w:snapToGrid w:val="0"/>
        <w:spacing w:line="600" w:lineRule="exact"/>
        <w:ind w:firstLineChars="200" w:firstLine="640"/>
        <w:jc w:val="both"/>
        <w:rPr>
          <w:rFonts w:ascii="文星仿宋" w:eastAsia="文星仿宋"/>
          <w:kern w:val="2"/>
          <w:sz w:val="32"/>
          <w:szCs w:val="32"/>
          <w:lang w:eastAsia="zh-CN"/>
        </w:rPr>
      </w:pPr>
      <w:r>
        <w:rPr>
          <w:rFonts w:ascii="文星仿宋" w:eastAsia="文星仿宋" w:hint="eastAsia"/>
          <w:kern w:val="2"/>
          <w:sz w:val="32"/>
          <w:szCs w:val="32"/>
          <w:lang w:eastAsia="zh-CN"/>
        </w:rPr>
        <w:t>4.对消防工程，现场消防设施经消防技术服务机构（如有委托）检测合格后，建设单位应按《建设工程消防设计审查验收管理暂行规定》（住房城乡建设部令第51条）及《建设工程消防设计审查验收工作细则》相关要求组织消防全面查验，查验结果符合要求后，工程质量监督机构可结合工程实体质量检查，核查消防工程是否完成设计和合同约定内容，抽查消防工程实体质量落实情况及测试消防设施运行情况。</w:t>
      </w:r>
    </w:p>
    <w:p w:rsidR="00451E9A" w:rsidRDefault="00451E9A" w:rsidP="00451E9A">
      <w:pPr>
        <w:rPr>
          <w:rFonts w:ascii="仿宋" w:eastAsia="仿宋" w:hAnsi="仿宋" w:cs="仿宋"/>
          <w:sz w:val="32"/>
          <w:szCs w:val="32"/>
          <w:lang w:eastAsia="zh-CN"/>
        </w:rPr>
      </w:pPr>
    </w:p>
    <w:p w:rsidR="00451E9A" w:rsidRDefault="00451E9A" w:rsidP="00451E9A">
      <w:pPr>
        <w:pStyle w:val="a5"/>
        <w:spacing w:before="0" w:line="358" w:lineRule="auto"/>
        <w:ind w:firstLineChars="200" w:firstLine="640"/>
        <w:rPr>
          <w:rFonts w:ascii="文星仿宋" w:eastAsia="文星仿宋" w:hAnsiTheme="minorHAnsi"/>
          <w:kern w:val="2"/>
          <w:lang w:eastAsia="zh-CN"/>
        </w:rPr>
      </w:pPr>
      <w:r>
        <w:rPr>
          <w:rFonts w:ascii="文星仿宋" w:eastAsia="文星仿宋" w:hAnsiTheme="minorHAnsi" w:hint="eastAsia"/>
          <w:kern w:val="2"/>
          <w:lang w:eastAsia="zh-CN"/>
        </w:rPr>
        <w:t>附件：工程质量监督工作抽查内容</w:t>
      </w:r>
    </w:p>
    <w:p w:rsidR="00451E9A" w:rsidRDefault="00451E9A" w:rsidP="00451E9A">
      <w:pPr>
        <w:spacing w:before="12"/>
        <w:rPr>
          <w:rFonts w:ascii="仿宋" w:eastAsia="仿宋" w:hAnsi="仿宋" w:cs="仿宋"/>
          <w:sz w:val="21"/>
          <w:szCs w:val="21"/>
          <w:lang w:eastAsia="zh-CN"/>
        </w:rPr>
      </w:pPr>
    </w:p>
    <w:p w:rsidR="00451E9A" w:rsidRDefault="00451E9A" w:rsidP="00451E9A">
      <w:pPr>
        <w:rPr>
          <w:rFonts w:ascii="仿宋" w:eastAsia="仿宋" w:hAnsi="仿宋" w:cs="仿宋"/>
          <w:sz w:val="21"/>
          <w:szCs w:val="21"/>
          <w:lang w:eastAsia="zh-CN"/>
        </w:rPr>
        <w:sectPr w:rsidR="00451E9A">
          <w:footerReference w:type="even" r:id="rId7"/>
          <w:footerReference w:type="default" r:id="rId8"/>
          <w:pgSz w:w="11900" w:h="16840"/>
          <w:pgMar w:top="1600" w:right="1797" w:bottom="1440" w:left="1797" w:header="0" w:footer="983" w:gutter="0"/>
          <w:pgNumType w:start="1"/>
          <w:cols w:space="720"/>
        </w:sectPr>
      </w:pPr>
    </w:p>
    <w:p w:rsidR="00451E9A" w:rsidRDefault="00451E9A" w:rsidP="00451E9A">
      <w:pPr>
        <w:ind w:left="113"/>
        <w:jc w:val="center"/>
        <w:rPr>
          <w:rFonts w:ascii="仿宋" w:eastAsia="仿宋" w:hAnsi="仿宋" w:cs="仿宋"/>
          <w:b/>
          <w:bCs/>
          <w:sz w:val="36"/>
          <w:szCs w:val="36"/>
          <w:lang w:eastAsia="zh-CN"/>
        </w:rPr>
      </w:pPr>
      <w:r>
        <w:rPr>
          <w:rFonts w:ascii="仿宋" w:eastAsia="仿宋" w:hAnsi="仿宋" w:cs="仿宋" w:hint="eastAsia"/>
          <w:b/>
          <w:bCs/>
          <w:sz w:val="36"/>
          <w:szCs w:val="36"/>
          <w:lang w:eastAsia="zh-CN"/>
        </w:rPr>
        <w:t>工程质量监督工作抽查内容</w:t>
      </w:r>
    </w:p>
    <w:p w:rsidR="00451E9A" w:rsidRDefault="00451E9A" w:rsidP="00451E9A">
      <w:pPr>
        <w:ind w:left="113"/>
        <w:rPr>
          <w:rFonts w:ascii="仿宋" w:eastAsia="仿宋" w:hAnsi="仿宋" w:cs="仿宋"/>
          <w:b/>
          <w:bCs/>
          <w:sz w:val="28"/>
          <w:szCs w:val="28"/>
          <w:lang w:eastAsia="zh-CN"/>
        </w:rPr>
      </w:pPr>
      <w:r>
        <w:rPr>
          <w:rFonts w:ascii="仿宋" w:eastAsia="仿宋" w:hAnsi="仿宋" w:cs="仿宋" w:hint="eastAsia"/>
          <w:b/>
          <w:bCs/>
          <w:sz w:val="28"/>
          <w:szCs w:val="28"/>
          <w:lang w:eastAsia="zh-CN"/>
        </w:rPr>
        <w:t>开展质量监督工作，可重点抽查以下内容</w:t>
      </w:r>
    </w:p>
    <w:p w:rsidR="00451E9A" w:rsidRDefault="00451E9A" w:rsidP="00451E9A">
      <w:pPr>
        <w:spacing w:before="4"/>
        <w:rPr>
          <w:rFonts w:ascii="仿宋" w:eastAsia="仿宋" w:hAnsi="仿宋" w:cs="仿宋"/>
          <w:sz w:val="10"/>
          <w:szCs w:val="10"/>
          <w:lang w:eastAsia="zh-CN"/>
        </w:rPr>
      </w:pPr>
    </w:p>
    <w:tbl>
      <w:tblPr>
        <w:tblW w:w="9329" w:type="dxa"/>
        <w:tblInd w:w="248" w:type="dxa"/>
        <w:tblLayout w:type="fixed"/>
        <w:tblCellMar>
          <w:left w:w="0" w:type="dxa"/>
          <w:right w:w="0" w:type="dxa"/>
        </w:tblCellMar>
        <w:tblLook w:val="04A0" w:firstRow="1" w:lastRow="0" w:firstColumn="1" w:lastColumn="0" w:noHBand="0" w:noVBand="1"/>
      </w:tblPr>
      <w:tblGrid>
        <w:gridCol w:w="504"/>
        <w:gridCol w:w="450"/>
        <w:gridCol w:w="13"/>
        <w:gridCol w:w="466"/>
        <w:gridCol w:w="7896"/>
      </w:tblGrid>
      <w:tr w:rsidR="00451E9A" w:rsidTr="00A91D23">
        <w:trPr>
          <w:trHeight w:hRule="exact" w:val="464"/>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序号</w:t>
            </w:r>
            <w:proofErr w:type="spellEnd"/>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right="1"/>
              <w:jc w:val="center"/>
              <w:rPr>
                <w:rFonts w:ascii="仿宋" w:eastAsia="仿宋" w:hAnsi="仿宋" w:cs="仿宋"/>
                <w:sz w:val="21"/>
                <w:szCs w:val="21"/>
                <w:lang w:eastAsia="zh-CN"/>
              </w:rPr>
            </w:pPr>
            <w:r>
              <w:rPr>
                <w:rFonts w:ascii="仿宋" w:eastAsia="仿宋" w:hAnsi="仿宋" w:cs="仿宋" w:hint="eastAsia"/>
                <w:b/>
                <w:bCs/>
                <w:sz w:val="24"/>
                <w:szCs w:val="24"/>
                <w:lang w:eastAsia="zh-CN"/>
              </w:rPr>
              <w:t>抽查重点</w:t>
            </w:r>
          </w:p>
        </w:tc>
      </w:tr>
      <w:tr w:rsidR="00451E9A" w:rsidTr="00A91D23">
        <w:trPr>
          <w:trHeight w:hRule="exact" w:val="464"/>
        </w:trPr>
        <w:tc>
          <w:tcPr>
            <w:tcW w:w="504" w:type="dxa"/>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b/>
                <w:bCs/>
                <w:sz w:val="21"/>
                <w:szCs w:val="21"/>
              </w:rPr>
              <w:t>一</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center"/>
              <w:rPr>
                <w:rFonts w:ascii="仿宋" w:eastAsia="仿宋" w:hAnsi="仿宋" w:cs="仿宋"/>
                <w:sz w:val="21"/>
                <w:szCs w:val="21"/>
                <w:lang w:eastAsia="zh-CN"/>
              </w:rPr>
            </w:pPr>
            <w:r>
              <w:rPr>
                <w:rFonts w:ascii="仿宋" w:eastAsia="仿宋" w:hAnsi="仿宋" w:cs="仿宋" w:hint="eastAsia"/>
                <w:b/>
                <w:bCs/>
                <w:sz w:val="21"/>
                <w:szCs w:val="21"/>
                <w:lang w:eastAsia="zh-CN"/>
              </w:rPr>
              <w:t>参建各方责任主体质量行为</w:t>
            </w:r>
          </w:p>
        </w:tc>
      </w:tr>
      <w:tr w:rsidR="00451E9A" w:rsidTr="00A91D23">
        <w:trPr>
          <w:trHeight w:hRule="exact" w:val="629"/>
        </w:trPr>
        <w:tc>
          <w:tcPr>
            <w:tcW w:w="504" w:type="dxa"/>
            <w:tcBorders>
              <w:top w:val="single" w:sz="4" w:space="0" w:color="auto"/>
              <w:left w:val="single" w:sz="2" w:space="0" w:color="000000"/>
              <w:bottom w:val="single" w:sz="4" w:space="0" w:color="auto"/>
              <w:right w:val="single" w:sz="4" w:space="0" w:color="000000"/>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1</w:t>
            </w:r>
          </w:p>
        </w:tc>
        <w:tc>
          <w:tcPr>
            <w:tcW w:w="929" w:type="dxa"/>
            <w:gridSpan w:val="3"/>
            <w:tcBorders>
              <w:top w:val="single" w:sz="4" w:space="0" w:color="auto"/>
              <w:left w:val="single" w:sz="4" w:space="0" w:color="000000"/>
              <w:bottom w:val="single" w:sz="4" w:space="0" w:color="auto"/>
              <w:right w:val="single" w:sz="4" w:space="0" w:color="auto"/>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日常监督</w:t>
            </w:r>
          </w:p>
        </w:tc>
        <w:tc>
          <w:tcPr>
            <w:tcW w:w="7896" w:type="dxa"/>
            <w:tcBorders>
              <w:top w:val="single" w:sz="4" w:space="0" w:color="000000"/>
              <w:left w:val="single" w:sz="4" w:space="0" w:color="auto"/>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对建设、设计、施工图审查、施工、监理、检测机构及技术服务机构等责任主体的施工质量行为是否符合法律法规及标准规范要求进行监督抽查。</w:t>
            </w:r>
          </w:p>
        </w:tc>
      </w:tr>
      <w:tr w:rsidR="00451E9A" w:rsidTr="00A91D23">
        <w:trPr>
          <w:trHeight w:hRule="exact" w:val="1132"/>
        </w:trPr>
        <w:tc>
          <w:tcPr>
            <w:tcW w:w="504" w:type="dxa"/>
            <w:tcBorders>
              <w:left w:val="single" w:sz="2" w:space="0" w:color="000000"/>
              <w:bottom w:val="single" w:sz="4" w:space="0" w:color="auto"/>
              <w:right w:val="single" w:sz="4" w:space="0" w:color="000000"/>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2</w:t>
            </w:r>
          </w:p>
        </w:tc>
        <w:tc>
          <w:tcPr>
            <w:tcW w:w="929" w:type="dxa"/>
            <w:gridSpan w:val="3"/>
            <w:tcBorders>
              <w:top w:val="single" w:sz="4" w:space="0" w:color="000000"/>
              <w:left w:val="single" w:sz="4" w:space="0" w:color="000000"/>
              <w:bottom w:val="single" w:sz="4" w:space="0" w:color="auto"/>
              <w:right w:val="single" w:sz="4" w:space="0" w:color="auto"/>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消防工程</w:t>
            </w:r>
          </w:p>
        </w:tc>
        <w:tc>
          <w:tcPr>
            <w:tcW w:w="7896" w:type="dxa"/>
            <w:tcBorders>
              <w:top w:val="single" w:sz="4" w:space="0" w:color="000000"/>
              <w:left w:val="single" w:sz="4" w:space="0" w:color="auto"/>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重点对特殊工程消防设计审查办理（涉及消防的图纸设计文件是否与审查意见书相符）、消防施工质量管理体系、材料进场检验、隐蔽及分部分项工程验收、消防设施性能检测、系统功能调试(含联调联试)、工程竣工验收消防查验等质量行为进行监督抽查。</w:t>
            </w:r>
          </w:p>
        </w:tc>
      </w:tr>
      <w:tr w:rsidR="00451E9A" w:rsidTr="00A91D23">
        <w:trPr>
          <w:trHeight w:hRule="exact" w:val="793"/>
        </w:trPr>
        <w:tc>
          <w:tcPr>
            <w:tcW w:w="504" w:type="dxa"/>
            <w:tcBorders>
              <w:top w:val="single" w:sz="4" w:space="0" w:color="auto"/>
              <w:left w:val="single" w:sz="2"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3</w:t>
            </w:r>
          </w:p>
        </w:tc>
        <w:tc>
          <w:tcPr>
            <w:tcW w:w="929" w:type="dxa"/>
            <w:gridSpan w:val="3"/>
            <w:tcBorders>
              <w:top w:val="single" w:sz="4" w:space="0" w:color="auto"/>
              <w:left w:val="single" w:sz="4" w:space="0" w:color="000000"/>
              <w:bottom w:val="single" w:sz="4" w:space="0" w:color="000000"/>
              <w:right w:val="single" w:sz="4" w:space="0" w:color="auto"/>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人防工程</w:t>
            </w:r>
          </w:p>
        </w:tc>
        <w:tc>
          <w:tcPr>
            <w:tcW w:w="7896" w:type="dxa"/>
            <w:tcBorders>
              <w:top w:val="single" w:sz="4" w:space="0" w:color="000000"/>
              <w:left w:val="single" w:sz="4" w:space="0" w:color="auto"/>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重点对人防工程行政许可办理、人防施工质量管理体系、材料进场检验、隐蔽及分部分项工程验收、人防设施性能检测、系统功能调试(含联调联试)等质量行为进行监督抽查。</w:t>
            </w:r>
          </w:p>
        </w:tc>
      </w:tr>
      <w:tr w:rsidR="00451E9A" w:rsidTr="00A91D23">
        <w:trPr>
          <w:trHeight w:hRule="exact" w:val="464"/>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b/>
                <w:bCs/>
                <w:sz w:val="21"/>
                <w:szCs w:val="21"/>
              </w:rPr>
              <w:t>二</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center"/>
              <w:rPr>
                <w:rFonts w:ascii="仿宋" w:eastAsia="仿宋" w:hAnsi="仿宋" w:cs="仿宋"/>
                <w:sz w:val="21"/>
                <w:szCs w:val="21"/>
              </w:rPr>
            </w:pPr>
            <w:proofErr w:type="spellStart"/>
            <w:r>
              <w:rPr>
                <w:rFonts w:ascii="仿宋" w:eastAsia="仿宋" w:hAnsi="仿宋" w:cs="仿宋" w:hint="eastAsia"/>
                <w:b/>
                <w:bCs/>
                <w:sz w:val="21"/>
                <w:szCs w:val="21"/>
              </w:rPr>
              <w:t>实体质量</w:t>
            </w:r>
            <w:proofErr w:type="spellEnd"/>
          </w:p>
        </w:tc>
      </w:tr>
      <w:tr w:rsidR="00451E9A" w:rsidTr="00A91D23">
        <w:trPr>
          <w:trHeight w:hRule="exact" w:val="464"/>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1</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地基与基础</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桩基第一根桩试桩或第一批桩的成孔质量验收。</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验槽（天然地基、复合地基）。</w:t>
            </w:r>
          </w:p>
        </w:tc>
      </w:tr>
      <w:tr w:rsidR="00451E9A" w:rsidTr="00A91D23">
        <w:trPr>
          <w:trHeight w:hRule="exact" w:val="464"/>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承台、</w:t>
            </w:r>
            <w:proofErr w:type="gramStart"/>
            <w:r>
              <w:rPr>
                <w:rFonts w:ascii="仿宋" w:eastAsia="仿宋" w:hAnsi="仿宋" w:cs="仿宋" w:hint="eastAsia"/>
                <w:sz w:val="21"/>
                <w:szCs w:val="21"/>
                <w:lang w:eastAsia="zh-CN"/>
              </w:rPr>
              <w:t>筏板钢筋</w:t>
            </w:r>
            <w:proofErr w:type="gramEnd"/>
            <w:r>
              <w:rPr>
                <w:rFonts w:ascii="仿宋" w:eastAsia="仿宋" w:hAnsi="仿宋" w:cs="仿宋" w:hint="eastAsia"/>
                <w:sz w:val="21"/>
                <w:szCs w:val="21"/>
                <w:lang w:eastAsia="zh-CN"/>
              </w:rPr>
              <w:t>及地基、基础子分部验收。</w:t>
            </w:r>
          </w:p>
        </w:tc>
      </w:tr>
      <w:tr w:rsidR="00451E9A" w:rsidTr="00A91D23">
        <w:trPr>
          <w:trHeight w:hRule="exact" w:val="464"/>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2</w:t>
            </w:r>
          </w:p>
        </w:tc>
        <w:tc>
          <w:tcPr>
            <w:tcW w:w="463" w:type="dxa"/>
            <w:gridSpan w:val="2"/>
            <w:vMerge w:val="restart"/>
            <w:tcBorders>
              <w:top w:val="single" w:sz="4" w:space="0" w:color="000000"/>
              <w:left w:val="single" w:sz="4" w:space="0" w:color="000000"/>
              <w:right w:val="single" w:sz="2" w:space="0" w:color="000000"/>
            </w:tcBorders>
          </w:tcPr>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19"/>
                <w:szCs w:val="19"/>
              </w:rPr>
            </w:pPr>
          </w:p>
          <w:p w:rsidR="00451E9A" w:rsidRDefault="00451E9A" w:rsidP="00A91D23">
            <w:pPr>
              <w:pStyle w:val="TableParagraph"/>
              <w:spacing w:line="278" w:lineRule="auto"/>
              <w:ind w:left="127" w:right="128"/>
              <w:jc w:val="both"/>
              <w:rPr>
                <w:rFonts w:ascii="仿宋" w:eastAsia="仿宋" w:hAnsi="仿宋" w:cs="仿宋"/>
                <w:sz w:val="21"/>
                <w:szCs w:val="21"/>
              </w:rPr>
            </w:pPr>
            <w:proofErr w:type="spellStart"/>
            <w:r>
              <w:rPr>
                <w:rFonts w:ascii="仿宋" w:eastAsia="仿宋" w:hAnsi="仿宋" w:cs="仿宋" w:hint="eastAsia"/>
                <w:sz w:val="21"/>
                <w:szCs w:val="21"/>
              </w:rPr>
              <w:t>主体工程</w:t>
            </w:r>
            <w:proofErr w:type="spellEnd"/>
          </w:p>
        </w:tc>
        <w:tc>
          <w:tcPr>
            <w:tcW w:w="466" w:type="dxa"/>
            <w:vMerge w:val="restart"/>
            <w:tcBorders>
              <w:top w:val="single" w:sz="4" w:space="0" w:color="000000"/>
              <w:left w:val="single" w:sz="2" w:space="0" w:color="000000"/>
              <w:right w:val="single" w:sz="4" w:space="0" w:color="000000"/>
            </w:tcBorders>
          </w:tcPr>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0"/>
                <w:szCs w:val="20"/>
              </w:rPr>
            </w:pPr>
          </w:p>
          <w:p w:rsidR="00451E9A" w:rsidRDefault="00451E9A" w:rsidP="00A91D23">
            <w:pPr>
              <w:pStyle w:val="TableParagraph"/>
              <w:rPr>
                <w:rFonts w:ascii="仿宋" w:eastAsia="仿宋" w:hAnsi="仿宋" w:cs="仿宋"/>
                <w:sz w:val="29"/>
                <w:szCs w:val="29"/>
              </w:rPr>
            </w:pPr>
          </w:p>
          <w:p w:rsidR="00451E9A" w:rsidRDefault="00451E9A" w:rsidP="00A91D23">
            <w:pPr>
              <w:pStyle w:val="TableParagraph"/>
              <w:spacing w:line="278" w:lineRule="auto"/>
              <w:ind w:left="126" w:right="125"/>
              <w:jc w:val="both"/>
              <w:rPr>
                <w:rFonts w:ascii="仿宋" w:eastAsia="仿宋" w:hAnsi="仿宋" w:cs="仿宋"/>
                <w:sz w:val="21"/>
                <w:szCs w:val="21"/>
              </w:rPr>
            </w:pPr>
            <w:proofErr w:type="spellStart"/>
            <w:r>
              <w:rPr>
                <w:rFonts w:ascii="仿宋" w:eastAsia="仿宋" w:hAnsi="仿宋" w:cs="仿宋" w:hint="eastAsia"/>
                <w:sz w:val="21"/>
                <w:szCs w:val="21"/>
              </w:rPr>
              <w:t>地下结构</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底板、墙体、顶板钢筋工程（含人防层）。</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底板、墙体、顶板混凝土结构施工（含人防层）。</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proofErr w:type="gramStart"/>
            <w:r>
              <w:rPr>
                <w:rFonts w:ascii="仿宋" w:eastAsia="仿宋" w:hAnsi="仿宋" w:cs="仿宋" w:hint="eastAsia"/>
                <w:sz w:val="21"/>
                <w:szCs w:val="21"/>
                <w:lang w:eastAsia="zh-CN"/>
              </w:rPr>
              <w:t>后浇带及</w:t>
            </w:r>
            <w:proofErr w:type="gramEnd"/>
            <w:r>
              <w:rPr>
                <w:rFonts w:ascii="仿宋" w:eastAsia="仿宋" w:hAnsi="仿宋" w:cs="仿宋" w:hint="eastAsia"/>
                <w:sz w:val="21"/>
                <w:szCs w:val="21"/>
                <w:lang w:eastAsia="zh-CN"/>
              </w:rPr>
              <w:t>变形缝设置。</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人防门框、门扇吊环、防爆地漏及管线安装及预埋。</w:t>
            </w:r>
          </w:p>
        </w:tc>
      </w:tr>
      <w:tr w:rsidR="00451E9A" w:rsidTr="00A91D23">
        <w:trPr>
          <w:trHeight w:hRule="exact" w:val="592"/>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人防设备安装及施工。</w:t>
            </w:r>
          </w:p>
        </w:tc>
      </w:tr>
      <w:tr w:rsidR="00451E9A" w:rsidTr="00A91D23">
        <w:trPr>
          <w:trHeight w:hRule="exact" w:val="651"/>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bottom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2" w:space="0" w:color="000000"/>
              <w:right w:val="single" w:sz="2" w:space="0" w:color="000000"/>
            </w:tcBorders>
            <w:vAlign w:val="center"/>
          </w:tcPr>
          <w:p w:rsidR="00451E9A" w:rsidRDefault="00451E9A" w:rsidP="00A91D23">
            <w:pPr>
              <w:pStyle w:val="TableParagraph"/>
              <w:spacing w:line="280" w:lineRule="auto"/>
              <w:ind w:left="102" w:right="103"/>
              <w:jc w:val="both"/>
              <w:rPr>
                <w:rFonts w:ascii="仿宋" w:eastAsia="仿宋" w:hAnsi="仿宋" w:cs="仿宋"/>
                <w:sz w:val="21"/>
                <w:szCs w:val="21"/>
                <w:lang w:eastAsia="zh-CN"/>
              </w:rPr>
            </w:pPr>
            <w:r>
              <w:rPr>
                <w:rFonts w:ascii="仿宋" w:eastAsia="仿宋" w:hAnsi="仿宋" w:cs="仿宋" w:hint="eastAsia"/>
                <w:spacing w:val="12"/>
                <w:sz w:val="21"/>
                <w:szCs w:val="21"/>
                <w:lang w:eastAsia="zh-CN"/>
              </w:rPr>
              <w:t>建筑类别与耐火等级、总平面布局、防火间距、消防平面布置、安全疏散、防火分隔</w:t>
            </w:r>
            <w:r>
              <w:rPr>
                <w:rFonts w:ascii="仿宋" w:eastAsia="仿宋" w:hAnsi="仿宋" w:cs="仿宋" w:hint="eastAsia"/>
                <w:sz w:val="21"/>
                <w:szCs w:val="21"/>
                <w:lang w:eastAsia="zh-CN"/>
              </w:rPr>
              <w:t>等。</w:t>
            </w:r>
          </w:p>
        </w:tc>
      </w:tr>
      <w:tr w:rsidR="00451E9A" w:rsidTr="00A91D23">
        <w:trPr>
          <w:trHeight w:hRule="exact" w:val="465"/>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val="restart"/>
            <w:tcBorders>
              <w:top w:val="single" w:sz="2" w:space="0" w:color="000000"/>
              <w:left w:val="single" w:sz="2" w:space="0" w:color="000000"/>
              <w:right w:val="single" w:sz="4" w:space="0" w:color="000000"/>
            </w:tcBorders>
          </w:tcPr>
          <w:p w:rsidR="00451E9A" w:rsidRDefault="00451E9A" w:rsidP="00A91D23">
            <w:pPr>
              <w:pStyle w:val="TableParagraph"/>
              <w:rPr>
                <w:rFonts w:ascii="仿宋" w:eastAsia="仿宋" w:hAnsi="仿宋" w:cs="仿宋"/>
                <w:sz w:val="20"/>
                <w:szCs w:val="20"/>
                <w:lang w:eastAsia="zh-CN"/>
              </w:rPr>
            </w:pPr>
          </w:p>
          <w:p w:rsidR="00451E9A" w:rsidRDefault="00451E9A" w:rsidP="00A91D23">
            <w:pPr>
              <w:pStyle w:val="TableParagraph"/>
              <w:rPr>
                <w:rFonts w:ascii="仿宋" w:eastAsia="仿宋" w:hAnsi="仿宋" w:cs="仿宋"/>
                <w:sz w:val="20"/>
                <w:szCs w:val="20"/>
                <w:lang w:eastAsia="zh-CN"/>
              </w:rPr>
            </w:pPr>
          </w:p>
          <w:p w:rsidR="00451E9A" w:rsidRDefault="00451E9A" w:rsidP="00A91D23">
            <w:pPr>
              <w:pStyle w:val="TableParagraph"/>
              <w:rPr>
                <w:rFonts w:ascii="仿宋" w:eastAsia="仿宋" w:hAnsi="仿宋" w:cs="仿宋"/>
                <w:sz w:val="24"/>
                <w:szCs w:val="24"/>
                <w:lang w:eastAsia="zh-CN"/>
              </w:rPr>
            </w:pPr>
          </w:p>
          <w:p w:rsidR="00451E9A" w:rsidRDefault="00451E9A" w:rsidP="00A91D23">
            <w:pPr>
              <w:pStyle w:val="TableParagraph"/>
              <w:spacing w:line="278" w:lineRule="auto"/>
              <w:ind w:left="126" w:right="125"/>
              <w:jc w:val="both"/>
              <w:rPr>
                <w:rFonts w:ascii="仿宋" w:eastAsia="仿宋" w:hAnsi="仿宋" w:cs="仿宋"/>
                <w:sz w:val="21"/>
                <w:szCs w:val="21"/>
              </w:rPr>
            </w:pPr>
            <w:proofErr w:type="spellStart"/>
            <w:r>
              <w:rPr>
                <w:rFonts w:ascii="仿宋" w:eastAsia="仿宋" w:hAnsi="仿宋" w:cs="仿宋" w:hint="eastAsia"/>
                <w:sz w:val="21"/>
                <w:szCs w:val="21"/>
              </w:rPr>
              <w:t>主体结构</w:t>
            </w:r>
            <w:proofErr w:type="spellEnd"/>
          </w:p>
        </w:tc>
        <w:tc>
          <w:tcPr>
            <w:tcW w:w="7896" w:type="dxa"/>
            <w:tcBorders>
              <w:top w:val="single" w:sz="2"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转换层、中间层、屋面钢筋工程。</w:t>
            </w:r>
          </w:p>
        </w:tc>
      </w:tr>
      <w:tr w:rsidR="00451E9A" w:rsidTr="00A91D23">
        <w:trPr>
          <w:trHeight w:hRule="exact" w:val="462"/>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钢结构、钢管混凝土结构、型钢混凝土结构施工。</w:t>
            </w:r>
          </w:p>
        </w:tc>
      </w:tr>
      <w:tr w:rsidR="00451E9A" w:rsidTr="00A91D23">
        <w:trPr>
          <w:trHeight w:hRule="exact" w:val="465"/>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2"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proofErr w:type="spellStart"/>
            <w:r>
              <w:rPr>
                <w:rFonts w:ascii="仿宋" w:eastAsia="仿宋" w:hAnsi="仿宋" w:cs="仿宋" w:hint="eastAsia"/>
                <w:sz w:val="21"/>
                <w:szCs w:val="21"/>
              </w:rPr>
              <w:t>砌体质量</w:t>
            </w:r>
            <w:proofErr w:type="spellEnd"/>
            <w:r>
              <w:rPr>
                <w:rFonts w:ascii="仿宋" w:eastAsia="仿宋" w:hAnsi="仿宋" w:cs="仿宋" w:hint="eastAsia"/>
                <w:sz w:val="21"/>
                <w:szCs w:val="21"/>
              </w:rPr>
              <w:t>。</w:t>
            </w:r>
          </w:p>
        </w:tc>
      </w:tr>
      <w:tr w:rsidR="00451E9A" w:rsidTr="00A91D23">
        <w:trPr>
          <w:trHeight w:hRule="exact" w:val="465"/>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rPr>
            </w:pPr>
          </w:p>
        </w:tc>
        <w:tc>
          <w:tcPr>
            <w:tcW w:w="7896" w:type="dxa"/>
            <w:tcBorders>
              <w:top w:val="single" w:sz="2"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梁板、墙（柱）混凝土外观质量。</w:t>
            </w:r>
          </w:p>
        </w:tc>
      </w:tr>
      <w:tr w:rsidR="00451E9A" w:rsidTr="00A91D23">
        <w:trPr>
          <w:trHeight w:hRule="exact" w:val="462"/>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proofErr w:type="spellStart"/>
            <w:r>
              <w:rPr>
                <w:rFonts w:ascii="仿宋" w:eastAsia="仿宋" w:hAnsi="仿宋" w:cs="仿宋" w:hint="eastAsia"/>
                <w:sz w:val="21"/>
                <w:szCs w:val="21"/>
              </w:rPr>
              <w:t>装配式建筑</w:t>
            </w:r>
            <w:proofErr w:type="spellEnd"/>
            <w:r>
              <w:rPr>
                <w:rFonts w:ascii="仿宋" w:eastAsia="仿宋" w:hAnsi="仿宋" w:cs="仿宋" w:hint="eastAsia"/>
                <w:sz w:val="21"/>
                <w:szCs w:val="21"/>
              </w:rPr>
              <w:t>。</w:t>
            </w:r>
          </w:p>
        </w:tc>
      </w:tr>
      <w:tr w:rsidR="00451E9A" w:rsidTr="00A91D23">
        <w:trPr>
          <w:trHeight w:hRule="exact" w:val="651"/>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rPr>
            </w:pPr>
          </w:p>
        </w:tc>
        <w:tc>
          <w:tcPr>
            <w:tcW w:w="466" w:type="dxa"/>
            <w:vMerge/>
            <w:tcBorders>
              <w:left w:val="single" w:sz="2" w:space="0" w:color="000000"/>
              <w:bottom w:val="single" w:sz="2" w:space="0" w:color="000000"/>
              <w:right w:val="single" w:sz="4" w:space="0" w:color="000000"/>
            </w:tcBorders>
          </w:tcPr>
          <w:p w:rsidR="00451E9A" w:rsidRDefault="00451E9A" w:rsidP="00A91D23">
            <w:pPr>
              <w:rPr>
                <w:rFonts w:ascii="仿宋" w:eastAsia="仿宋" w:hAnsi="仿宋" w:cs="仿宋"/>
              </w:rPr>
            </w:pPr>
          </w:p>
        </w:tc>
        <w:tc>
          <w:tcPr>
            <w:tcW w:w="7896" w:type="dxa"/>
            <w:tcBorders>
              <w:top w:val="single" w:sz="4" w:space="0" w:color="000000"/>
              <w:left w:val="single" w:sz="4" w:space="0" w:color="000000"/>
              <w:bottom w:val="single" w:sz="2" w:space="0" w:color="000000"/>
              <w:right w:val="single" w:sz="2" w:space="0" w:color="000000"/>
            </w:tcBorders>
            <w:vAlign w:val="center"/>
          </w:tcPr>
          <w:p w:rsidR="00451E9A" w:rsidRDefault="00451E9A" w:rsidP="00A91D23">
            <w:pPr>
              <w:pStyle w:val="TableParagraph"/>
              <w:spacing w:line="280" w:lineRule="auto"/>
              <w:ind w:left="102" w:right="505"/>
              <w:jc w:val="both"/>
              <w:rPr>
                <w:rFonts w:ascii="仿宋" w:eastAsia="仿宋" w:hAnsi="仿宋" w:cs="仿宋"/>
                <w:sz w:val="21"/>
                <w:szCs w:val="21"/>
                <w:lang w:eastAsia="zh-CN"/>
              </w:rPr>
            </w:pPr>
            <w:r>
              <w:rPr>
                <w:rFonts w:ascii="仿宋" w:eastAsia="仿宋" w:hAnsi="仿宋" w:cs="仿宋" w:hint="eastAsia"/>
                <w:sz w:val="21"/>
                <w:szCs w:val="21"/>
                <w:lang w:eastAsia="zh-CN"/>
              </w:rPr>
              <w:t>建筑类别与耐火等级、总平面布局、防火间距、消防平面布置、安全疏散、防火分隔等。</w:t>
            </w:r>
          </w:p>
        </w:tc>
      </w:tr>
      <w:tr w:rsidR="00451E9A" w:rsidTr="00A91D23">
        <w:trPr>
          <w:trHeight w:hRule="exact" w:val="499"/>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val="restart"/>
            <w:tcBorders>
              <w:top w:val="single" w:sz="2" w:space="0" w:color="000000"/>
              <w:left w:val="single" w:sz="2" w:space="0" w:color="000000"/>
              <w:right w:val="single" w:sz="4" w:space="0" w:color="000000"/>
            </w:tcBorders>
            <w:vAlign w:val="center"/>
          </w:tcPr>
          <w:p w:rsidR="00451E9A" w:rsidRDefault="00451E9A" w:rsidP="00A91D23">
            <w:pPr>
              <w:pStyle w:val="TableParagraph"/>
              <w:spacing w:line="278" w:lineRule="auto"/>
              <w:ind w:left="126" w:right="125"/>
              <w:jc w:val="center"/>
              <w:rPr>
                <w:rFonts w:ascii="仿宋" w:eastAsia="仿宋" w:hAnsi="仿宋" w:cs="仿宋"/>
                <w:sz w:val="21"/>
                <w:szCs w:val="21"/>
              </w:rPr>
            </w:pPr>
            <w:r>
              <w:rPr>
                <w:rFonts w:ascii="仿宋" w:eastAsia="仿宋" w:hAnsi="仿宋" w:cs="仿宋" w:hint="eastAsia"/>
                <w:sz w:val="21"/>
                <w:szCs w:val="21"/>
                <w:lang w:eastAsia="zh-CN"/>
              </w:rPr>
              <w:t>桥梁</w:t>
            </w:r>
            <w:proofErr w:type="spellStart"/>
            <w:r>
              <w:rPr>
                <w:rFonts w:ascii="仿宋" w:eastAsia="仿宋" w:hAnsi="仿宋" w:cs="仿宋" w:hint="eastAsia"/>
                <w:sz w:val="21"/>
                <w:szCs w:val="21"/>
              </w:rPr>
              <w:t>管廊</w:t>
            </w:r>
            <w:proofErr w:type="spellEnd"/>
            <w:r>
              <w:rPr>
                <w:rFonts w:ascii="仿宋" w:eastAsia="仿宋" w:hAnsi="仿宋" w:cs="仿宋" w:hint="eastAsia"/>
                <w:sz w:val="21"/>
                <w:szCs w:val="21"/>
                <w:lang w:eastAsia="zh-CN"/>
              </w:rPr>
              <w:t>隧道</w:t>
            </w:r>
            <w:proofErr w:type="spellStart"/>
            <w:r>
              <w:rPr>
                <w:rFonts w:ascii="仿宋" w:eastAsia="仿宋" w:hAnsi="仿宋" w:cs="仿宋" w:hint="eastAsia"/>
                <w:sz w:val="21"/>
                <w:szCs w:val="21"/>
              </w:rPr>
              <w:t>结构</w:t>
            </w:r>
            <w:proofErr w:type="spellEnd"/>
          </w:p>
        </w:tc>
        <w:tc>
          <w:tcPr>
            <w:tcW w:w="7896" w:type="dxa"/>
            <w:tcBorders>
              <w:top w:val="single" w:sz="2"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桥梁、管廊、隧道等预制构件制作。</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r>
              <w:rPr>
                <w:rFonts w:ascii="仿宋" w:eastAsia="仿宋" w:hAnsi="仿宋" w:cs="仿宋" w:hint="eastAsia"/>
                <w:sz w:val="21"/>
                <w:szCs w:val="21"/>
                <w:lang w:eastAsia="zh-CN"/>
              </w:rPr>
              <w:t>预制构件</w:t>
            </w:r>
            <w:proofErr w:type="spellStart"/>
            <w:r>
              <w:rPr>
                <w:rFonts w:ascii="仿宋" w:eastAsia="仿宋" w:hAnsi="仿宋" w:cs="仿宋" w:hint="eastAsia"/>
                <w:sz w:val="21"/>
                <w:szCs w:val="21"/>
              </w:rPr>
              <w:t>拼装</w:t>
            </w:r>
            <w:proofErr w:type="spellEnd"/>
            <w:r>
              <w:rPr>
                <w:rFonts w:ascii="仿宋" w:eastAsia="仿宋" w:hAnsi="仿宋" w:cs="仿宋" w:hint="eastAsia"/>
                <w:sz w:val="21"/>
                <w:szCs w:val="21"/>
              </w:rPr>
              <w:t>。</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成型桥梁、管廊、隧道质量。</w:t>
            </w:r>
          </w:p>
        </w:tc>
      </w:tr>
      <w:tr w:rsidR="00451E9A" w:rsidTr="00A91D23">
        <w:trPr>
          <w:trHeight w:hRule="exact" w:val="565"/>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4" w:space="0" w:color="000000"/>
              <w:left w:val="single" w:sz="4" w:space="0" w:color="000000"/>
              <w:bottom w:val="single" w:sz="2"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人防设备安装及施工。</w:t>
            </w:r>
          </w:p>
        </w:tc>
      </w:tr>
      <w:tr w:rsidR="00451E9A" w:rsidTr="00A91D23">
        <w:trPr>
          <w:trHeight w:hRule="exact" w:val="573"/>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63" w:type="dxa"/>
            <w:gridSpan w:val="2"/>
            <w:vMerge/>
            <w:tcBorders>
              <w:left w:val="single" w:sz="4" w:space="0" w:color="000000"/>
              <w:bottom w:val="single" w:sz="4" w:space="0" w:color="000000"/>
              <w:right w:val="single" w:sz="2" w:space="0" w:color="000000"/>
            </w:tcBorders>
          </w:tcPr>
          <w:p w:rsidR="00451E9A" w:rsidRDefault="00451E9A" w:rsidP="00A91D23">
            <w:pPr>
              <w:rPr>
                <w:rFonts w:ascii="仿宋" w:eastAsia="仿宋" w:hAnsi="仿宋" w:cs="仿宋"/>
                <w:lang w:eastAsia="zh-CN"/>
              </w:rPr>
            </w:pPr>
          </w:p>
        </w:tc>
        <w:tc>
          <w:tcPr>
            <w:tcW w:w="466" w:type="dxa"/>
            <w:vMerge/>
            <w:tcBorders>
              <w:left w:val="single" w:sz="2" w:space="0" w:color="000000"/>
              <w:bottom w:val="single" w:sz="4" w:space="0" w:color="000000"/>
              <w:right w:val="single" w:sz="4" w:space="0" w:color="000000"/>
            </w:tcBorders>
          </w:tcPr>
          <w:p w:rsidR="00451E9A" w:rsidRDefault="00451E9A" w:rsidP="00A91D23">
            <w:pPr>
              <w:rPr>
                <w:rFonts w:ascii="仿宋" w:eastAsia="仿宋" w:hAnsi="仿宋" w:cs="仿宋"/>
                <w:lang w:eastAsia="zh-CN"/>
              </w:rPr>
            </w:pPr>
          </w:p>
        </w:tc>
        <w:tc>
          <w:tcPr>
            <w:tcW w:w="7896" w:type="dxa"/>
            <w:tcBorders>
              <w:top w:val="single" w:sz="2"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80" w:lineRule="auto"/>
              <w:ind w:left="102" w:right="103"/>
              <w:jc w:val="both"/>
              <w:rPr>
                <w:rFonts w:ascii="仿宋" w:eastAsia="仿宋" w:hAnsi="仿宋" w:cs="仿宋"/>
                <w:sz w:val="21"/>
                <w:szCs w:val="21"/>
                <w:lang w:eastAsia="zh-CN"/>
              </w:rPr>
            </w:pPr>
            <w:r>
              <w:rPr>
                <w:rFonts w:ascii="仿宋" w:eastAsia="仿宋" w:hAnsi="仿宋" w:cs="仿宋" w:hint="eastAsia"/>
                <w:spacing w:val="12"/>
                <w:sz w:val="21"/>
                <w:szCs w:val="21"/>
                <w:lang w:eastAsia="zh-CN"/>
              </w:rPr>
              <w:t>建筑类别与耐火等级、总平面布局、防火间距、消防平面布置、安全疏散、防火分隔</w:t>
            </w:r>
            <w:r>
              <w:rPr>
                <w:rFonts w:ascii="仿宋" w:eastAsia="仿宋" w:hAnsi="仿宋" w:cs="仿宋" w:hint="eastAsia"/>
                <w:sz w:val="21"/>
                <w:szCs w:val="21"/>
                <w:lang w:eastAsia="zh-CN"/>
              </w:rPr>
              <w:t>等。</w:t>
            </w:r>
          </w:p>
        </w:tc>
      </w:tr>
      <w:tr w:rsidR="00451E9A" w:rsidTr="00A91D23">
        <w:trPr>
          <w:trHeight w:hRule="exact" w:val="464"/>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3</w:t>
            </w:r>
          </w:p>
        </w:tc>
        <w:tc>
          <w:tcPr>
            <w:tcW w:w="929" w:type="dxa"/>
            <w:gridSpan w:val="3"/>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装饰装修工程</w:t>
            </w:r>
            <w:proofErr w:type="spellEnd"/>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幕墙安装</w:t>
            </w:r>
            <w:proofErr w:type="spellEnd"/>
            <w:r>
              <w:rPr>
                <w:rFonts w:ascii="仿宋" w:eastAsia="仿宋" w:hAnsi="仿宋" w:cs="仿宋" w:hint="eastAsia"/>
                <w:sz w:val="21"/>
                <w:szCs w:val="21"/>
              </w:rPr>
              <w:t>。</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外墙饰面砖</w:t>
            </w:r>
            <w:proofErr w:type="spellEnd"/>
            <w:r>
              <w:rPr>
                <w:rFonts w:ascii="仿宋" w:eastAsia="仿宋" w:hAnsi="仿宋" w:cs="仿宋" w:hint="eastAsia"/>
                <w:sz w:val="21"/>
                <w:szCs w:val="21"/>
              </w:rPr>
              <w:t>。</w:t>
            </w:r>
          </w:p>
        </w:tc>
      </w:tr>
      <w:tr w:rsidR="00451E9A" w:rsidTr="00A91D23">
        <w:trPr>
          <w:trHeight w:hRule="exact" w:val="594"/>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rPr>
            </w:pPr>
          </w:p>
        </w:tc>
        <w:tc>
          <w:tcPr>
            <w:tcW w:w="929" w:type="dxa"/>
            <w:gridSpan w:val="3"/>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spacing w:line="278" w:lineRule="auto"/>
              <w:ind w:left="104" w:right="101" w:hanging="1"/>
              <w:jc w:val="both"/>
              <w:rPr>
                <w:rFonts w:ascii="仿宋" w:eastAsia="仿宋" w:hAnsi="仿宋" w:cs="仿宋"/>
                <w:sz w:val="21"/>
                <w:szCs w:val="21"/>
                <w:lang w:eastAsia="zh-CN"/>
              </w:rPr>
            </w:pPr>
            <w:r>
              <w:rPr>
                <w:rFonts w:ascii="仿宋" w:eastAsia="仿宋" w:hAnsi="仿宋" w:cs="仿宋" w:hint="eastAsia"/>
                <w:spacing w:val="5"/>
                <w:sz w:val="21"/>
                <w:szCs w:val="21"/>
                <w:lang w:eastAsia="zh-CN"/>
              </w:rPr>
              <w:t>建筑内部装修（含建筑内部装修防火、防烟分隔、灭火器，外保温材料、装</w:t>
            </w:r>
            <w:r>
              <w:rPr>
                <w:rFonts w:ascii="仿宋" w:eastAsia="仿宋" w:hAnsi="仿宋" w:cs="仿宋" w:hint="eastAsia"/>
                <w:sz w:val="21"/>
                <w:szCs w:val="21"/>
                <w:lang w:eastAsia="zh-CN"/>
              </w:rPr>
              <w:t>修材料、电线电缆等的燃烧性能）。</w:t>
            </w:r>
          </w:p>
        </w:tc>
      </w:tr>
      <w:tr w:rsidR="00451E9A" w:rsidTr="00A91D23">
        <w:trPr>
          <w:trHeight w:hRule="exact" w:val="568"/>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4</w:t>
            </w:r>
          </w:p>
        </w:tc>
        <w:tc>
          <w:tcPr>
            <w:tcW w:w="929" w:type="dxa"/>
            <w:gridSpan w:val="3"/>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防水工程</w:t>
            </w:r>
            <w:proofErr w:type="spellEnd"/>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管廊隧道、地下室、屋面、卫生间、外墙等部位防水工程。</w:t>
            </w:r>
          </w:p>
        </w:tc>
      </w:tr>
      <w:tr w:rsidR="00451E9A" w:rsidTr="00A91D23">
        <w:trPr>
          <w:trHeight w:hRule="exact" w:val="464"/>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5</w:t>
            </w:r>
          </w:p>
        </w:tc>
        <w:tc>
          <w:tcPr>
            <w:tcW w:w="929" w:type="dxa"/>
            <w:gridSpan w:val="3"/>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建筑电气工程</w:t>
            </w:r>
            <w:proofErr w:type="spellEnd"/>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防雷焊接、管线预埋施工质量和接地电阻测试。</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电气回路敷设、接地施工质量和绝缘电阻测试。</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剩余电流动作保护器测试，开关插座的接线正确性。</w:t>
            </w:r>
          </w:p>
        </w:tc>
      </w:tr>
      <w:tr w:rsidR="00451E9A" w:rsidTr="00A91D23">
        <w:trPr>
          <w:trHeight w:hRule="exact" w:val="593"/>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spacing w:line="278" w:lineRule="auto"/>
              <w:ind w:left="103" w:right="294"/>
              <w:jc w:val="both"/>
              <w:rPr>
                <w:rFonts w:ascii="仿宋" w:eastAsia="仿宋" w:hAnsi="仿宋" w:cs="仿宋"/>
                <w:sz w:val="21"/>
                <w:szCs w:val="21"/>
                <w:lang w:eastAsia="zh-CN"/>
              </w:rPr>
            </w:pPr>
            <w:r>
              <w:rPr>
                <w:rFonts w:ascii="仿宋" w:eastAsia="仿宋" w:hAnsi="仿宋" w:cs="仿宋" w:hint="eastAsia"/>
                <w:sz w:val="21"/>
                <w:szCs w:val="21"/>
                <w:lang w:eastAsia="zh-CN"/>
              </w:rPr>
              <w:t>发电机组及其配套设备施工质量，满负荷试验（如</w:t>
            </w:r>
            <w:proofErr w:type="gramStart"/>
            <w:r>
              <w:rPr>
                <w:rFonts w:ascii="仿宋" w:eastAsia="仿宋" w:hAnsi="仿宋" w:cs="仿宋" w:hint="eastAsia"/>
                <w:sz w:val="21"/>
                <w:szCs w:val="21"/>
                <w:lang w:eastAsia="zh-CN"/>
              </w:rPr>
              <w:t>非委托</w:t>
            </w:r>
            <w:proofErr w:type="gramEnd"/>
            <w:r>
              <w:rPr>
                <w:rFonts w:ascii="仿宋" w:eastAsia="仿宋" w:hAnsi="仿宋" w:cs="仿宋" w:hint="eastAsia"/>
                <w:sz w:val="21"/>
                <w:szCs w:val="21"/>
                <w:lang w:eastAsia="zh-CN"/>
              </w:rPr>
              <w:t>第三方检测机构执行）。</w:t>
            </w:r>
          </w:p>
        </w:tc>
      </w:tr>
      <w:tr w:rsidR="00451E9A" w:rsidTr="00A91D23">
        <w:trPr>
          <w:trHeight w:hRule="exact" w:val="464"/>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4"/>
              <w:jc w:val="both"/>
              <w:rPr>
                <w:rFonts w:ascii="仿宋" w:eastAsia="仿宋" w:hAnsi="仿宋" w:cs="仿宋"/>
                <w:sz w:val="21"/>
                <w:szCs w:val="21"/>
                <w:lang w:eastAsia="zh-CN"/>
              </w:rPr>
            </w:pPr>
            <w:r>
              <w:rPr>
                <w:rFonts w:ascii="仿宋" w:eastAsia="仿宋" w:hAnsi="仿宋" w:cs="仿宋" w:hint="eastAsia"/>
                <w:sz w:val="21"/>
                <w:szCs w:val="21"/>
                <w:lang w:eastAsia="zh-CN"/>
              </w:rPr>
              <w:t>消防电气、消防照明及疏散指示等。</w:t>
            </w:r>
          </w:p>
        </w:tc>
      </w:tr>
      <w:tr w:rsidR="00451E9A" w:rsidTr="00A91D23">
        <w:trPr>
          <w:trHeight w:hRule="exact" w:val="464"/>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6</w:t>
            </w:r>
          </w:p>
        </w:tc>
        <w:tc>
          <w:tcPr>
            <w:tcW w:w="929" w:type="dxa"/>
            <w:gridSpan w:val="3"/>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lang w:eastAsia="zh-CN"/>
              </w:rPr>
            </w:pPr>
            <w:r>
              <w:rPr>
                <w:rFonts w:ascii="仿宋" w:eastAsia="仿宋" w:hAnsi="仿宋" w:cs="仿宋" w:hint="eastAsia"/>
                <w:sz w:val="21"/>
                <w:szCs w:val="21"/>
                <w:lang w:eastAsia="zh-CN"/>
              </w:rPr>
              <w:t>建筑给水、排水及采暖工程</w:t>
            </w: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给排水、消防管道及其相关设备安装质量。</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管道系统水压试验，给水管道及卫生器具通水试验。</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设备安装质量及试运转情况。</w:t>
            </w:r>
          </w:p>
        </w:tc>
      </w:tr>
      <w:tr w:rsidR="00451E9A" w:rsidTr="00A91D23">
        <w:trPr>
          <w:trHeight w:hRule="exact" w:val="464"/>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4"/>
              <w:jc w:val="both"/>
              <w:rPr>
                <w:rFonts w:ascii="仿宋" w:eastAsia="仿宋" w:hAnsi="仿宋" w:cs="仿宋"/>
                <w:sz w:val="21"/>
                <w:szCs w:val="21"/>
                <w:lang w:eastAsia="zh-CN"/>
              </w:rPr>
            </w:pPr>
            <w:r>
              <w:rPr>
                <w:rFonts w:ascii="仿宋" w:eastAsia="仿宋" w:hAnsi="仿宋" w:cs="仿宋" w:hint="eastAsia"/>
                <w:sz w:val="21"/>
                <w:szCs w:val="21"/>
                <w:lang w:eastAsia="zh-CN"/>
              </w:rPr>
              <w:t>消火栓、自动喷水灭火、气体灭火等系统。</w:t>
            </w:r>
          </w:p>
        </w:tc>
      </w:tr>
      <w:tr w:rsidR="00451E9A" w:rsidTr="00A91D23">
        <w:trPr>
          <w:trHeight w:hRule="exact" w:val="464"/>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7</w:t>
            </w:r>
          </w:p>
        </w:tc>
        <w:tc>
          <w:tcPr>
            <w:tcW w:w="929" w:type="dxa"/>
            <w:gridSpan w:val="3"/>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通风与空调工程</w:t>
            </w:r>
            <w:proofErr w:type="spellEnd"/>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通风与空调的风管施工质量，保温绝热层施工质量。</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冷冻水、冷却水管道施工质量。</w:t>
            </w:r>
          </w:p>
        </w:tc>
      </w:tr>
      <w:tr w:rsidR="00451E9A" w:rsidTr="00A91D23">
        <w:trPr>
          <w:trHeight w:hRule="exact" w:val="464"/>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设备安装质量及试运转情况。</w:t>
            </w:r>
          </w:p>
        </w:tc>
      </w:tr>
      <w:tr w:rsidR="00451E9A" w:rsidTr="00A91D23">
        <w:trPr>
          <w:trHeight w:hRule="exact" w:val="464"/>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4"/>
              <w:jc w:val="both"/>
              <w:rPr>
                <w:rFonts w:ascii="仿宋" w:eastAsia="仿宋" w:hAnsi="仿宋" w:cs="仿宋"/>
                <w:sz w:val="21"/>
                <w:szCs w:val="21"/>
              </w:rPr>
            </w:pPr>
            <w:proofErr w:type="spellStart"/>
            <w:r>
              <w:rPr>
                <w:rFonts w:ascii="仿宋" w:eastAsia="仿宋" w:hAnsi="仿宋" w:cs="仿宋" w:hint="eastAsia"/>
                <w:sz w:val="21"/>
                <w:szCs w:val="21"/>
              </w:rPr>
              <w:t>防排烟系统</w:t>
            </w:r>
            <w:proofErr w:type="spellEnd"/>
            <w:r>
              <w:rPr>
                <w:rFonts w:ascii="仿宋" w:eastAsia="仿宋" w:hAnsi="仿宋" w:cs="仿宋" w:hint="eastAsia"/>
                <w:sz w:val="21"/>
                <w:szCs w:val="21"/>
              </w:rPr>
              <w:t>。</w:t>
            </w:r>
          </w:p>
        </w:tc>
      </w:tr>
      <w:tr w:rsidR="00451E9A" w:rsidTr="00A91D23">
        <w:trPr>
          <w:trHeight w:hRule="exact" w:val="333"/>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8</w:t>
            </w:r>
          </w:p>
        </w:tc>
        <w:tc>
          <w:tcPr>
            <w:tcW w:w="929" w:type="dxa"/>
            <w:gridSpan w:val="3"/>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智能建筑工程</w:t>
            </w:r>
            <w:proofErr w:type="spellEnd"/>
          </w:p>
        </w:tc>
        <w:tc>
          <w:tcPr>
            <w:tcW w:w="7896" w:type="dxa"/>
            <w:tcBorders>
              <w:top w:val="single" w:sz="4" w:space="0" w:color="000000"/>
              <w:left w:val="single" w:sz="2" w:space="0" w:color="000000"/>
              <w:bottom w:val="single" w:sz="2"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各智能系统施工质量。</w:t>
            </w:r>
          </w:p>
        </w:tc>
      </w:tr>
      <w:tr w:rsidR="00451E9A" w:rsidTr="00A91D23">
        <w:trPr>
          <w:trHeight w:hRule="exact" w:val="331"/>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2"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4"/>
              <w:jc w:val="both"/>
              <w:rPr>
                <w:rFonts w:ascii="仿宋" w:eastAsia="仿宋" w:hAnsi="仿宋" w:cs="仿宋"/>
                <w:sz w:val="21"/>
                <w:szCs w:val="21"/>
                <w:lang w:eastAsia="zh-CN"/>
              </w:rPr>
            </w:pPr>
            <w:r>
              <w:rPr>
                <w:rFonts w:ascii="仿宋" w:eastAsia="仿宋" w:hAnsi="仿宋" w:cs="仿宋" w:hint="eastAsia"/>
                <w:sz w:val="21"/>
                <w:szCs w:val="21"/>
                <w:lang w:eastAsia="zh-CN"/>
              </w:rPr>
              <w:t>火灾自动报警等消防系统。</w:t>
            </w:r>
          </w:p>
        </w:tc>
      </w:tr>
      <w:tr w:rsidR="00451E9A" w:rsidTr="00A91D23">
        <w:trPr>
          <w:trHeight w:hRule="exact" w:val="464"/>
        </w:trPr>
        <w:tc>
          <w:tcPr>
            <w:tcW w:w="504"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9</w:t>
            </w:r>
          </w:p>
        </w:tc>
        <w:tc>
          <w:tcPr>
            <w:tcW w:w="450" w:type="dxa"/>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建筑节能工程</w:t>
            </w:r>
            <w:proofErr w:type="spellEnd"/>
          </w:p>
        </w:tc>
        <w:tc>
          <w:tcPr>
            <w:tcW w:w="479" w:type="dxa"/>
            <w:gridSpan w:val="2"/>
            <w:vMerge w:val="restart"/>
            <w:tcBorders>
              <w:top w:val="single" w:sz="4" w:space="0" w:color="000000"/>
              <w:left w:val="single" w:sz="4" w:space="0" w:color="000000"/>
              <w:right w:val="single" w:sz="2" w:space="0" w:color="000000"/>
            </w:tcBorders>
            <w:vAlign w:val="center"/>
          </w:tcPr>
          <w:p w:rsidR="00451E9A" w:rsidRDefault="00451E9A" w:rsidP="00A91D23">
            <w:pPr>
              <w:pStyle w:val="TableParagraph"/>
              <w:ind w:firstLine="1"/>
              <w:jc w:val="center"/>
              <w:rPr>
                <w:rFonts w:ascii="仿宋" w:eastAsia="仿宋" w:hAnsi="仿宋" w:cs="仿宋"/>
                <w:sz w:val="21"/>
                <w:szCs w:val="21"/>
              </w:rPr>
            </w:pPr>
            <w:proofErr w:type="spellStart"/>
            <w:r>
              <w:rPr>
                <w:rFonts w:ascii="仿宋" w:eastAsia="仿宋" w:hAnsi="仿宋" w:cs="仿宋" w:hint="eastAsia"/>
                <w:sz w:val="21"/>
                <w:szCs w:val="21"/>
              </w:rPr>
              <w:t>围护结构</w:t>
            </w:r>
            <w:proofErr w:type="spellEnd"/>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建筑节能样板间（层）验收。</w:t>
            </w:r>
          </w:p>
        </w:tc>
      </w:tr>
      <w:tr w:rsidR="00451E9A" w:rsidTr="00A91D23">
        <w:trPr>
          <w:trHeight w:hRule="exact" w:val="465"/>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50"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79" w:type="dxa"/>
            <w:gridSpan w:val="2"/>
            <w:vMerge/>
            <w:tcBorders>
              <w:left w:val="single" w:sz="4" w:space="0" w:color="000000"/>
              <w:bottom w:val="single" w:sz="2"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2"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墙体和屋面隔热层施工。</w:t>
            </w:r>
          </w:p>
        </w:tc>
      </w:tr>
      <w:tr w:rsidR="00451E9A" w:rsidTr="00A91D23">
        <w:trPr>
          <w:trHeight w:hRule="exact" w:val="649"/>
        </w:trPr>
        <w:tc>
          <w:tcPr>
            <w:tcW w:w="504"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50" w:type="dxa"/>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79" w:type="dxa"/>
            <w:gridSpan w:val="2"/>
            <w:vMerge w:val="restart"/>
            <w:tcBorders>
              <w:top w:val="single" w:sz="2" w:space="0" w:color="000000"/>
              <w:left w:val="single" w:sz="4" w:space="0" w:color="000000"/>
              <w:right w:val="single" w:sz="2" w:space="0" w:color="000000"/>
            </w:tcBorders>
            <w:vAlign w:val="center"/>
          </w:tcPr>
          <w:p w:rsidR="00451E9A" w:rsidRDefault="00451E9A" w:rsidP="00A91D23">
            <w:pPr>
              <w:pStyle w:val="TableParagraph"/>
              <w:jc w:val="center"/>
              <w:rPr>
                <w:rFonts w:ascii="仿宋" w:eastAsia="仿宋" w:hAnsi="仿宋" w:cs="仿宋"/>
                <w:sz w:val="20"/>
                <w:szCs w:val="20"/>
                <w:lang w:eastAsia="zh-CN"/>
              </w:rPr>
            </w:pPr>
          </w:p>
          <w:p w:rsidR="00451E9A" w:rsidRDefault="00451E9A" w:rsidP="00A91D23">
            <w:pPr>
              <w:pStyle w:val="TableParagraph"/>
              <w:jc w:val="center"/>
              <w:rPr>
                <w:rFonts w:ascii="仿宋" w:eastAsia="仿宋" w:hAnsi="仿宋" w:cs="仿宋"/>
                <w:lang w:eastAsia="zh-CN"/>
              </w:rPr>
            </w:pPr>
          </w:p>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设备</w:t>
            </w:r>
            <w:proofErr w:type="spellEnd"/>
          </w:p>
        </w:tc>
        <w:tc>
          <w:tcPr>
            <w:tcW w:w="7896" w:type="dxa"/>
            <w:tcBorders>
              <w:top w:val="single" w:sz="2" w:space="0" w:color="000000"/>
              <w:left w:val="single" w:sz="2" w:space="0" w:color="000000"/>
              <w:bottom w:val="single" w:sz="4" w:space="0" w:color="000000"/>
              <w:right w:val="single" w:sz="4" w:space="0" w:color="000000"/>
            </w:tcBorders>
            <w:vAlign w:val="center"/>
          </w:tcPr>
          <w:p w:rsidR="00451E9A" w:rsidRDefault="00451E9A" w:rsidP="00A91D23">
            <w:pPr>
              <w:pStyle w:val="TableParagraph"/>
              <w:spacing w:line="278" w:lineRule="auto"/>
              <w:ind w:left="103" w:right="294"/>
              <w:jc w:val="both"/>
              <w:rPr>
                <w:rFonts w:ascii="仿宋" w:eastAsia="仿宋" w:hAnsi="仿宋" w:cs="仿宋"/>
                <w:sz w:val="21"/>
                <w:szCs w:val="21"/>
                <w:lang w:eastAsia="zh-CN"/>
              </w:rPr>
            </w:pPr>
            <w:r>
              <w:rPr>
                <w:rFonts w:ascii="仿宋" w:eastAsia="仿宋" w:hAnsi="仿宋" w:cs="仿宋" w:hint="eastAsia"/>
                <w:sz w:val="21"/>
                <w:szCs w:val="21"/>
                <w:lang w:eastAsia="zh-CN"/>
              </w:rPr>
              <w:t>建筑节能工程的材料和设备（主要包括：保温绝热材料、风机盘管机组、电线、电缆等）进场节能材料进场复检情况。</w:t>
            </w:r>
          </w:p>
        </w:tc>
      </w:tr>
      <w:tr w:rsidR="00451E9A" w:rsidTr="00A91D23">
        <w:trPr>
          <w:trHeight w:hRule="exact" w:val="650"/>
        </w:trPr>
        <w:tc>
          <w:tcPr>
            <w:tcW w:w="504"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50" w:type="dxa"/>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479" w:type="dxa"/>
            <w:gridSpan w:val="2"/>
            <w:vMerge/>
            <w:tcBorders>
              <w:left w:val="single" w:sz="4" w:space="0" w:color="000000"/>
              <w:bottom w:val="single" w:sz="4" w:space="0" w:color="000000"/>
              <w:right w:val="single" w:sz="2"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spacing w:line="280" w:lineRule="auto"/>
              <w:ind w:left="103" w:right="294"/>
              <w:jc w:val="both"/>
              <w:rPr>
                <w:rFonts w:ascii="仿宋" w:eastAsia="仿宋" w:hAnsi="仿宋" w:cs="仿宋"/>
                <w:sz w:val="21"/>
                <w:szCs w:val="21"/>
                <w:lang w:eastAsia="zh-CN"/>
              </w:rPr>
            </w:pPr>
            <w:r>
              <w:rPr>
                <w:rFonts w:ascii="仿宋" w:eastAsia="仿宋" w:hAnsi="仿宋" w:cs="仿宋" w:hint="eastAsia"/>
                <w:sz w:val="21"/>
                <w:szCs w:val="21"/>
                <w:lang w:eastAsia="zh-CN"/>
              </w:rPr>
              <w:t>通风与空调、空调与采暖系统的冷热源及管网、配电与照明、监测与控制等节能工程的实体检测和检测报告是否符合设计和规范要求。</w:t>
            </w:r>
          </w:p>
        </w:tc>
      </w:tr>
      <w:tr w:rsidR="00451E9A" w:rsidTr="00A91D23">
        <w:trPr>
          <w:trHeight w:hRule="exact" w:val="449"/>
        </w:trPr>
        <w:tc>
          <w:tcPr>
            <w:tcW w:w="504" w:type="dxa"/>
            <w:tcBorders>
              <w:top w:val="single" w:sz="4" w:space="0" w:color="000000"/>
              <w:left w:val="single" w:sz="4" w:space="0" w:color="000000"/>
              <w:bottom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10</w:t>
            </w:r>
          </w:p>
        </w:tc>
        <w:tc>
          <w:tcPr>
            <w:tcW w:w="929" w:type="dxa"/>
            <w:gridSpan w:val="3"/>
            <w:tcBorders>
              <w:top w:val="single" w:sz="4" w:space="0" w:color="000000"/>
              <w:left w:val="single" w:sz="4" w:space="0" w:color="000000"/>
              <w:bottom w:val="single" w:sz="2" w:space="0" w:color="000000"/>
              <w:right w:val="single" w:sz="2"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消防电梯</w:t>
            </w:r>
            <w:proofErr w:type="spellEnd"/>
          </w:p>
        </w:tc>
        <w:tc>
          <w:tcPr>
            <w:tcW w:w="7896" w:type="dxa"/>
            <w:tcBorders>
              <w:top w:val="single" w:sz="4" w:space="0" w:color="000000"/>
              <w:left w:val="single" w:sz="2" w:space="0" w:color="000000"/>
              <w:bottom w:val="single" w:sz="2" w:space="0" w:color="000000"/>
              <w:right w:val="single" w:sz="4" w:space="0" w:color="000000"/>
            </w:tcBorders>
            <w:vAlign w:val="center"/>
          </w:tcPr>
          <w:p w:rsidR="00451E9A" w:rsidRDefault="00451E9A" w:rsidP="00A91D23">
            <w:pPr>
              <w:pStyle w:val="TableParagraph"/>
              <w:jc w:val="both"/>
              <w:rPr>
                <w:rFonts w:ascii="仿宋" w:eastAsia="仿宋" w:hAnsi="仿宋" w:cs="仿宋"/>
                <w:sz w:val="21"/>
                <w:szCs w:val="21"/>
                <w:lang w:eastAsia="zh-CN"/>
              </w:rPr>
            </w:pPr>
            <w:r>
              <w:rPr>
                <w:rFonts w:ascii="仿宋" w:eastAsia="仿宋" w:hAnsi="仿宋" w:cs="仿宋" w:hint="eastAsia"/>
                <w:sz w:val="21"/>
                <w:szCs w:val="21"/>
                <w:lang w:eastAsia="zh-CN"/>
              </w:rPr>
              <w:t>消防电梯迫降、消防电梯机房。</w:t>
            </w:r>
          </w:p>
        </w:tc>
      </w:tr>
      <w:tr w:rsidR="00451E9A" w:rsidTr="00A91D23">
        <w:trPr>
          <w:trHeight w:hRule="exact" w:val="465"/>
        </w:trPr>
        <w:tc>
          <w:tcPr>
            <w:tcW w:w="504" w:type="dxa"/>
            <w:tcBorders>
              <w:top w:val="single" w:sz="2" w:space="0" w:color="000000"/>
              <w:left w:val="single" w:sz="4"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b/>
                <w:bCs/>
                <w:sz w:val="21"/>
                <w:szCs w:val="21"/>
              </w:rPr>
              <w:t>三</w:t>
            </w:r>
          </w:p>
        </w:tc>
        <w:tc>
          <w:tcPr>
            <w:tcW w:w="8825" w:type="dxa"/>
            <w:gridSpan w:val="4"/>
            <w:tcBorders>
              <w:top w:val="single" w:sz="2"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center"/>
              <w:rPr>
                <w:rFonts w:ascii="仿宋" w:eastAsia="仿宋" w:hAnsi="仿宋" w:cs="仿宋"/>
                <w:sz w:val="21"/>
                <w:szCs w:val="21"/>
                <w:lang w:eastAsia="zh-CN"/>
              </w:rPr>
            </w:pPr>
            <w:r>
              <w:rPr>
                <w:rFonts w:ascii="仿宋" w:eastAsia="仿宋" w:hAnsi="仿宋" w:cs="仿宋" w:hint="eastAsia"/>
                <w:b/>
                <w:bCs/>
                <w:sz w:val="21"/>
                <w:szCs w:val="21"/>
                <w:lang w:eastAsia="zh-CN"/>
              </w:rPr>
              <w:t>相关配套建设工程质量</w:t>
            </w:r>
          </w:p>
        </w:tc>
      </w:tr>
      <w:tr w:rsidR="00451E9A" w:rsidTr="00A91D23">
        <w:trPr>
          <w:trHeight w:hRule="exact" w:val="464"/>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1</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海绵城市建设</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材料是否符合设计和规范要求。</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透水铺装地面、透水水泥混凝土、透水沥青、渗透塘、渗井（渠、管）。</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绿化屋顶、下沉式绿地、生物滞留设施。</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湿塘、雨水湿地、蓄水池、雨水罐。</w:t>
            </w:r>
          </w:p>
        </w:tc>
      </w:tr>
      <w:tr w:rsidR="00451E9A" w:rsidTr="00A91D23">
        <w:trPr>
          <w:trHeight w:hRule="exact" w:val="464"/>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proofErr w:type="spellStart"/>
            <w:r>
              <w:rPr>
                <w:rFonts w:ascii="仿宋" w:eastAsia="仿宋" w:hAnsi="仿宋" w:cs="仿宋" w:hint="eastAsia"/>
                <w:sz w:val="21"/>
                <w:szCs w:val="21"/>
              </w:rPr>
              <w:t>调节塘、调节池</w:t>
            </w:r>
            <w:proofErr w:type="spellEnd"/>
            <w:r>
              <w:rPr>
                <w:rFonts w:ascii="仿宋" w:eastAsia="仿宋" w:hAnsi="仿宋" w:cs="仿宋" w:hint="eastAsia"/>
                <w:sz w:val="21"/>
                <w:szCs w:val="21"/>
              </w:rPr>
              <w:t>。</w:t>
            </w:r>
          </w:p>
        </w:tc>
      </w:tr>
      <w:tr w:rsidR="00451E9A" w:rsidTr="00A91D23">
        <w:trPr>
          <w:trHeight w:hRule="exact" w:val="557"/>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78" w:lineRule="auto"/>
              <w:ind w:left="102" w:right="295"/>
              <w:jc w:val="both"/>
              <w:rPr>
                <w:rFonts w:ascii="仿宋" w:eastAsia="仿宋" w:hAnsi="仿宋" w:cs="仿宋"/>
                <w:sz w:val="21"/>
                <w:szCs w:val="21"/>
                <w:lang w:eastAsia="zh-CN"/>
              </w:rPr>
            </w:pPr>
            <w:r>
              <w:rPr>
                <w:rFonts w:ascii="仿宋" w:eastAsia="仿宋" w:hAnsi="仿宋" w:cs="仿宋" w:hint="eastAsia"/>
                <w:sz w:val="21"/>
                <w:szCs w:val="21"/>
                <w:lang w:eastAsia="zh-CN"/>
              </w:rPr>
              <w:t>植草沟、渗透管渠、雨水口、生态护岸、屋面雨水收集系统、屋面集水沟与溢流口。</w:t>
            </w:r>
          </w:p>
        </w:tc>
      </w:tr>
      <w:tr w:rsidR="00451E9A" w:rsidTr="00A91D23">
        <w:trPr>
          <w:trHeight w:hRule="exact" w:val="464"/>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植被缓冲带、初期</w:t>
            </w:r>
            <w:proofErr w:type="gramStart"/>
            <w:r>
              <w:rPr>
                <w:rFonts w:ascii="仿宋" w:eastAsia="仿宋" w:hAnsi="仿宋" w:cs="仿宋" w:hint="eastAsia"/>
                <w:sz w:val="21"/>
                <w:szCs w:val="21"/>
                <w:lang w:eastAsia="zh-CN"/>
              </w:rPr>
              <w:t>雨水弃流设施</w:t>
            </w:r>
            <w:proofErr w:type="gramEnd"/>
            <w:r>
              <w:rPr>
                <w:rFonts w:ascii="仿宋" w:eastAsia="仿宋" w:hAnsi="仿宋" w:cs="仿宋" w:hint="eastAsia"/>
                <w:sz w:val="21"/>
                <w:szCs w:val="21"/>
                <w:lang w:eastAsia="zh-CN"/>
              </w:rPr>
              <w:t>、人工土壤渗滤。</w:t>
            </w:r>
          </w:p>
        </w:tc>
      </w:tr>
      <w:tr w:rsidR="00451E9A" w:rsidTr="00A91D23">
        <w:trPr>
          <w:trHeight w:hRule="exact" w:val="330"/>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2</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配套绿化工程</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回填土、栽植土壤情况。</w:t>
            </w:r>
          </w:p>
        </w:tc>
      </w:tr>
      <w:tr w:rsidR="00451E9A" w:rsidTr="00A91D23">
        <w:trPr>
          <w:trHeight w:hRule="exact" w:val="330"/>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苗木、场坪绿化等情况。</w:t>
            </w:r>
          </w:p>
        </w:tc>
      </w:tr>
      <w:tr w:rsidR="00451E9A" w:rsidTr="00A91D23">
        <w:trPr>
          <w:trHeight w:hRule="exact" w:val="650"/>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80" w:lineRule="auto"/>
              <w:ind w:left="102" w:right="103"/>
              <w:jc w:val="both"/>
              <w:rPr>
                <w:rFonts w:ascii="仿宋" w:eastAsia="仿宋" w:hAnsi="仿宋" w:cs="仿宋"/>
                <w:sz w:val="21"/>
                <w:szCs w:val="21"/>
                <w:lang w:eastAsia="zh-CN"/>
              </w:rPr>
            </w:pPr>
            <w:r>
              <w:rPr>
                <w:rFonts w:ascii="仿宋" w:eastAsia="仿宋" w:hAnsi="仿宋" w:cs="仿宋" w:hint="eastAsia"/>
                <w:spacing w:val="5"/>
                <w:sz w:val="21"/>
                <w:szCs w:val="21"/>
                <w:lang w:eastAsia="zh-CN"/>
              </w:rPr>
              <w:t>附属工程质量（构筑物、广场和停车场、游泳池、小型花坛、花架、道路、</w:t>
            </w:r>
            <w:r>
              <w:rPr>
                <w:rFonts w:ascii="仿宋" w:eastAsia="仿宋" w:hAnsi="仿宋" w:cs="仿宋" w:hint="eastAsia"/>
                <w:sz w:val="21"/>
                <w:szCs w:val="21"/>
                <w:lang w:eastAsia="zh-CN"/>
              </w:rPr>
              <w:t>挡土墙等）。</w:t>
            </w:r>
          </w:p>
        </w:tc>
      </w:tr>
      <w:tr w:rsidR="00451E9A" w:rsidTr="00A91D23">
        <w:trPr>
          <w:trHeight w:hRule="exact" w:val="330"/>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室外及附属工程设备安装工程质量。</w:t>
            </w:r>
          </w:p>
        </w:tc>
      </w:tr>
      <w:tr w:rsidR="00451E9A" w:rsidTr="00A91D23">
        <w:trPr>
          <w:trHeight w:hRule="exact" w:val="330"/>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3</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ind w:hanging="105"/>
              <w:jc w:val="center"/>
              <w:rPr>
                <w:rFonts w:ascii="仿宋" w:eastAsia="仿宋" w:hAnsi="仿宋" w:cs="仿宋"/>
                <w:sz w:val="21"/>
                <w:szCs w:val="21"/>
              </w:rPr>
            </w:pPr>
            <w:proofErr w:type="spellStart"/>
            <w:r>
              <w:rPr>
                <w:rFonts w:ascii="仿宋" w:eastAsia="仿宋" w:hAnsi="仿宋" w:cs="仿宋" w:hint="eastAsia"/>
                <w:sz w:val="21"/>
                <w:szCs w:val="21"/>
              </w:rPr>
              <w:t>无障碍设施</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无障碍盲道、通道、坡道、停车位。</w:t>
            </w:r>
          </w:p>
        </w:tc>
      </w:tr>
      <w:tr w:rsidR="00451E9A" w:rsidTr="00A91D23">
        <w:trPr>
          <w:trHeight w:hRule="exact" w:val="330"/>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无障碍出入口、出入口平台及门。</w:t>
            </w:r>
          </w:p>
        </w:tc>
      </w:tr>
      <w:tr w:rsidR="00451E9A" w:rsidTr="00A91D23">
        <w:trPr>
          <w:trHeight w:hRule="exact" w:val="330"/>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无障碍水平及垂直交通（楼梯、台阶、</w:t>
            </w:r>
            <w:proofErr w:type="gramStart"/>
            <w:r>
              <w:rPr>
                <w:rFonts w:ascii="仿宋" w:eastAsia="仿宋" w:hAnsi="仿宋" w:cs="仿宋" w:hint="eastAsia"/>
                <w:sz w:val="21"/>
                <w:szCs w:val="21"/>
                <w:lang w:eastAsia="zh-CN"/>
              </w:rPr>
              <w:t>候梯厅及</w:t>
            </w:r>
            <w:proofErr w:type="gramEnd"/>
            <w:r>
              <w:rPr>
                <w:rFonts w:ascii="仿宋" w:eastAsia="仿宋" w:hAnsi="仿宋" w:cs="仿宋" w:hint="eastAsia"/>
                <w:sz w:val="21"/>
                <w:szCs w:val="21"/>
                <w:lang w:eastAsia="zh-CN"/>
              </w:rPr>
              <w:t>电梯轿厢）。</w:t>
            </w:r>
          </w:p>
        </w:tc>
      </w:tr>
      <w:tr w:rsidR="00451E9A" w:rsidTr="00A91D23">
        <w:trPr>
          <w:trHeight w:hRule="exact" w:val="330"/>
        </w:trPr>
        <w:tc>
          <w:tcPr>
            <w:tcW w:w="504" w:type="dxa"/>
            <w:vMerge/>
            <w:tcBorders>
              <w:left w:val="single" w:sz="2"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无障碍低位服务设施、扶手、厕所（</w:t>
            </w:r>
            <w:proofErr w:type="gramStart"/>
            <w:r>
              <w:rPr>
                <w:rFonts w:ascii="仿宋" w:eastAsia="仿宋" w:hAnsi="仿宋" w:cs="仿宋" w:hint="eastAsia"/>
                <w:sz w:val="21"/>
                <w:szCs w:val="21"/>
                <w:lang w:eastAsia="zh-CN"/>
              </w:rPr>
              <w:t>廁</w:t>
            </w:r>
            <w:proofErr w:type="gramEnd"/>
            <w:r>
              <w:rPr>
                <w:rFonts w:ascii="仿宋" w:eastAsia="仿宋" w:hAnsi="仿宋" w:cs="仿宋" w:hint="eastAsia"/>
                <w:sz w:val="21"/>
                <w:szCs w:val="21"/>
                <w:lang w:eastAsia="zh-CN"/>
              </w:rPr>
              <w:t>位）、浴室、室内设施。</w:t>
            </w:r>
          </w:p>
        </w:tc>
      </w:tr>
      <w:tr w:rsidR="00451E9A" w:rsidTr="00A91D23">
        <w:trPr>
          <w:trHeight w:hRule="exact" w:val="330"/>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proofErr w:type="spellStart"/>
            <w:r>
              <w:rPr>
                <w:rFonts w:ascii="仿宋" w:eastAsia="仿宋" w:hAnsi="仿宋" w:cs="仿宋" w:hint="eastAsia"/>
                <w:sz w:val="21"/>
                <w:szCs w:val="21"/>
              </w:rPr>
              <w:t>无障碍和盲文标志</w:t>
            </w:r>
            <w:proofErr w:type="spellEnd"/>
            <w:r>
              <w:rPr>
                <w:rFonts w:ascii="仿宋" w:eastAsia="仿宋" w:hAnsi="仿宋" w:cs="仿宋" w:hint="eastAsia"/>
                <w:sz w:val="21"/>
                <w:szCs w:val="21"/>
              </w:rPr>
              <w:t>。</w:t>
            </w:r>
          </w:p>
        </w:tc>
      </w:tr>
      <w:tr w:rsidR="00451E9A" w:rsidTr="00A91D23">
        <w:trPr>
          <w:trHeight w:hRule="exact" w:val="594"/>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4</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装配式建筑实施情况</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78" w:lineRule="auto"/>
              <w:ind w:left="102" w:right="101"/>
              <w:jc w:val="both"/>
              <w:rPr>
                <w:rFonts w:ascii="仿宋" w:eastAsia="仿宋" w:hAnsi="仿宋" w:cs="仿宋"/>
                <w:sz w:val="21"/>
                <w:szCs w:val="21"/>
                <w:lang w:eastAsia="zh-CN"/>
              </w:rPr>
            </w:pPr>
            <w:r>
              <w:rPr>
                <w:rFonts w:ascii="仿宋" w:eastAsia="仿宋" w:hAnsi="仿宋" w:cs="仿宋" w:hint="eastAsia"/>
                <w:spacing w:val="5"/>
                <w:sz w:val="21"/>
                <w:szCs w:val="21"/>
                <w:lang w:eastAsia="zh-CN"/>
              </w:rPr>
              <w:t>检查该项目是否按照装配式建筑</w:t>
            </w:r>
            <w:proofErr w:type="gramStart"/>
            <w:r>
              <w:rPr>
                <w:rFonts w:ascii="仿宋" w:eastAsia="仿宋" w:hAnsi="仿宋" w:cs="仿宋" w:hint="eastAsia"/>
                <w:spacing w:val="5"/>
                <w:sz w:val="21"/>
                <w:szCs w:val="21"/>
                <w:lang w:eastAsia="zh-CN"/>
              </w:rPr>
              <w:t>预评价</w:t>
            </w:r>
            <w:proofErr w:type="gramEnd"/>
            <w:r>
              <w:rPr>
                <w:rFonts w:ascii="仿宋" w:eastAsia="仿宋" w:hAnsi="仿宋" w:cs="仿宋" w:hint="eastAsia"/>
                <w:spacing w:val="5"/>
                <w:sz w:val="21"/>
                <w:szCs w:val="21"/>
                <w:lang w:eastAsia="zh-CN"/>
              </w:rPr>
              <w:t>意见书和相关的施工图设计文件进行</w:t>
            </w:r>
            <w:r>
              <w:rPr>
                <w:rFonts w:ascii="仿宋" w:eastAsia="仿宋" w:hAnsi="仿宋" w:cs="仿宋" w:hint="eastAsia"/>
                <w:sz w:val="21"/>
                <w:szCs w:val="21"/>
                <w:lang w:eastAsia="zh-CN"/>
              </w:rPr>
              <w:t>施工。</w:t>
            </w:r>
          </w:p>
        </w:tc>
      </w:tr>
      <w:tr w:rsidR="00451E9A" w:rsidTr="00A91D23">
        <w:trPr>
          <w:trHeight w:hRule="exact" w:val="386"/>
        </w:trPr>
        <w:tc>
          <w:tcPr>
            <w:tcW w:w="504" w:type="dxa"/>
            <w:vMerge/>
            <w:tcBorders>
              <w:left w:val="single" w:sz="2"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929" w:type="dxa"/>
            <w:gridSpan w:val="3"/>
            <w:vMerge/>
            <w:tcBorders>
              <w:left w:val="single" w:sz="4" w:space="0" w:color="000000"/>
              <w:bottom w:val="single" w:sz="4" w:space="0" w:color="000000"/>
              <w:right w:val="single" w:sz="4" w:space="0" w:color="000000"/>
            </w:tcBorders>
            <w:vAlign w:val="center"/>
          </w:tcPr>
          <w:p w:rsidR="00451E9A" w:rsidRDefault="00451E9A" w:rsidP="00A91D23">
            <w:pPr>
              <w:jc w:val="center"/>
              <w:rPr>
                <w:rFonts w:ascii="仿宋" w:eastAsia="仿宋" w:hAnsi="仿宋" w:cs="仿宋"/>
                <w:lang w:eastAsia="zh-CN"/>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80" w:lineRule="auto"/>
              <w:ind w:left="102" w:right="107"/>
              <w:jc w:val="both"/>
              <w:rPr>
                <w:rFonts w:ascii="仿宋" w:eastAsia="仿宋" w:hAnsi="仿宋" w:cs="仿宋"/>
                <w:sz w:val="21"/>
                <w:szCs w:val="21"/>
                <w:lang w:eastAsia="zh-CN"/>
              </w:rPr>
            </w:pPr>
            <w:r>
              <w:rPr>
                <w:rFonts w:ascii="仿宋" w:eastAsia="仿宋" w:hAnsi="仿宋" w:cs="仿宋" w:hint="eastAsia"/>
                <w:spacing w:val="12"/>
                <w:sz w:val="21"/>
                <w:szCs w:val="21"/>
                <w:lang w:eastAsia="zh-CN"/>
              </w:rPr>
              <w:t>对建设单位是否组织各参建单位对装配式建筑项目</w:t>
            </w:r>
            <w:proofErr w:type="gramStart"/>
            <w:r>
              <w:rPr>
                <w:rFonts w:ascii="仿宋" w:eastAsia="仿宋" w:hAnsi="仿宋" w:cs="仿宋" w:hint="eastAsia"/>
                <w:spacing w:val="12"/>
                <w:sz w:val="21"/>
                <w:szCs w:val="21"/>
                <w:lang w:eastAsia="zh-CN"/>
              </w:rPr>
              <w:t>预评价</w:t>
            </w:r>
            <w:proofErr w:type="gramEnd"/>
            <w:r>
              <w:rPr>
                <w:rFonts w:ascii="仿宋" w:eastAsia="仿宋" w:hAnsi="仿宋" w:cs="仿宋" w:hint="eastAsia"/>
                <w:spacing w:val="12"/>
                <w:sz w:val="21"/>
                <w:szCs w:val="21"/>
                <w:lang w:eastAsia="zh-CN"/>
              </w:rPr>
              <w:t>内容进行最终复</w:t>
            </w:r>
            <w:r>
              <w:rPr>
                <w:rFonts w:ascii="仿宋" w:eastAsia="仿宋" w:hAnsi="仿宋" w:cs="仿宋" w:hint="eastAsia"/>
                <w:sz w:val="21"/>
                <w:szCs w:val="21"/>
                <w:lang w:eastAsia="zh-CN"/>
              </w:rPr>
              <w:t>核。</w:t>
            </w:r>
          </w:p>
        </w:tc>
      </w:tr>
      <w:tr w:rsidR="00451E9A" w:rsidTr="00A91D23">
        <w:trPr>
          <w:trHeight w:hRule="exact" w:val="464"/>
        </w:trPr>
        <w:tc>
          <w:tcPr>
            <w:tcW w:w="504" w:type="dxa"/>
            <w:vMerge w:val="restart"/>
            <w:tcBorders>
              <w:top w:val="single" w:sz="4" w:space="0" w:color="000000"/>
              <w:left w:val="single" w:sz="2"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sz w:val="21"/>
              </w:rPr>
              <w:t>5</w:t>
            </w:r>
          </w:p>
        </w:tc>
        <w:tc>
          <w:tcPr>
            <w:tcW w:w="929" w:type="dxa"/>
            <w:gridSpan w:val="3"/>
            <w:vMerge w:val="restart"/>
            <w:tcBorders>
              <w:top w:val="single" w:sz="4" w:space="0" w:color="000000"/>
              <w:left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proofErr w:type="spellStart"/>
            <w:r>
              <w:rPr>
                <w:rFonts w:ascii="仿宋" w:eastAsia="仿宋" w:hAnsi="仿宋" w:cs="仿宋" w:hint="eastAsia"/>
                <w:sz w:val="21"/>
                <w:szCs w:val="21"/>
              </w:rPr>
              <w:t>充电设施</w:t>
            </w:r>
            <w:proofErr w:type="spellEnd"/>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rPr>
            </w:pPr>
            <w:proofErr w:type="spellStart"/>
            <w:r>
              <w:rPr>
                <w:rFonts w:ascii="仿宋" w:eastAsia="仿宋" w:hAnsi="仿宋" w:cs="仿宋" w:hint="eastAsia"/>
                <w:sz w:val="21"/>
                <w:szCs w:val="21"/>
              </w:rPr>
              <w:t>充电设施安装质量</w:t>
            </w:r>
            <w:proofErr w:type="spellEnd"/>
            <w:r>
              <w:rPr>
                <w:rFonts w:ascii="仿宋" w:eastAsia="仿宋" w:hAnsi="仿宋" w:cs="仿宋" w:hint="eastAsia"/>
                <w:sz w:val="21"/>
                <w:szCs w:val="21"/>
              </w:rPr>
              <w:t>。</w:t>
            </w:r>
          </w:p>
        </w:tc>
      </w:tr>
      <w:tr w:rsidR="00451E9A" w:rsidTr="00A91D23">
        <w:trPr>
          <w:trHeight w:hRule="exact" w:val="464"/>
        </w:trPr>
        <w:tc>
          <w:tcPr>
            <w:tcW w:w="504" w:type="dxa"/>
            <w:vMerge/>
            <w:tcBorders>
              <w:left w:val="single" w:sz="2" w:space="0" w:color="000000"/>
              <w:bottom w:val="single" w:sz="4" w:space="0" w:color="000000"/>
              <w:right w:val="single" w:sz="4" w:space="0" w:color="000000"/>
            </w:tcBorders>
          </w:tcPr>
          <w:p w:rsidR="00451E9A" w:rsidRDefault="00451E9A" w:rsidP="00A91D23">
            <w:pPr>
              <w:rPr>
                <w:rFonts w:ascii="仿宋" w:eastAsia="仿宋" w:hAnsi="仿宋" w:cs="仿宋"/>
              </w:rPr>
            </w:pPr>
          </w:p>
        </w:tc>
        <w:tc>
          <w:tcPr>
            <w:tcW w:w="929" w:type="dxa"/>
            <w:gridSpan w:val="3"/>
            <w:vMerge/>
            <w:tcBorders>
              <w:left w:val="single" w:sz="4" w:space="0" w:color="000000"/>
              <w:bottom w:val="single" w:sz="4" w:space="0" w:color="000000"/>
              <w:right w:val="single" w:sz="4" w:space="0" w:color="000000"/>
            </w:tcBorders>
          </w:tcPr>
          <w:p w:rsidR="00451E9A" w:rsidRDefault="00451E9A" w:rsidP="00A91D23">
            <w:pPr>
              <w:rPr>
                <w:rFonts w:ascii="仿宋" w:eastAsia="仿宋" w:hAnsi="仿宋" w:cs="仿宋"/>
              </w:rPr>
            </w:pPr>
          </w:p>
        </w:tc>
        <w:tc>
          <w:tcPr>
            <w:tcW w:w="7896" w:type="dxa"/>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both"/>
              <w:rPr>
                <w:rFonts w:ascii="仿宋" w:eastAsia="仿宋" w:hAnsi="仿宋" w:cs="仿宋"/>
                <w:sz w:val="21"/>
                <w:szCs w:val="21"/>
                <w:lang w:eastAsia="zh-CN"/>
              </w:rPr>
            </w:pPr>
            <w:r>
              <w:rPr>
                <w:rFonts w:ascii="仿宋" w:eastAsia="仿宋" w:hAnsi="仿宋" w:cs="仿宋" w:hint="eastAsia"/>
                <w:sz w:val="21"/>
                <w:szCs w:val="21"/>
                <w:lang w:eastAsia="zh-CN"/>
              </w:rPr>
              <w:t>电气回路敷设、接地质量。</w:t>
            </w:r>
          </w:p>
        </w:tc>
      </w:tr>
      <w:tr w:rsidR="00451E9A" w:rsidTr="00A91D23">
        <w:trPr>
          <w:trHeight w:hRule="exact" w:val="464"/>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27"/>
              <w:jc w:val="both"/>
              <w:rPr>
                <w:rFonts w:ascii="仿宋" w:eastAsia="仿宋" w:hAnsi="仿宋" w:cs="仿宋"/>
                <w:sz w:val="21"/>
                <w:szCs w:val="21"/>
              </w:rPr>
            </w:pPr>
            <w:r>
              <w:rPr>
                <w:rFonts w:ascii="仿宋" w:eastAsia="仿宋" w:hAnsi="仿宋" w:cs="仿宋" w:hint="eastAsia"/>
                <w:b/>
                <w:bCs/>
                <w:sz w:val="21"/>
                <w:szCs w:val="21"/>
              </w:rPr>
              <w:t>四</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center"/>
              <w:rPr>
                <w:rFonts w:ascii="仿宋" w:eastAsia="仿宋" w:hAnsi="仿宋" w:cs="仿宋"/>
                <w:sz w:val="21"/>
                <w:szCs w:val="21"/>
              </w:rPr>
            </w:pPr>
            <w:proofErr w:type="spellStart"/>
            <w:r>
              <w:rPr>
                <w:rFonts w:ascii="仿宋" w:eastAsia="仿宋" w:hAnsi="仿宋" w:cs="仿宋" w:hint="eastAsia"/>
                <w:b/>
                <w:bCs/>
                <w:sz w:val="21"/>
                <w:szCs w:val="21"/>
              </w:rPr>
              <w:t>资料检查</w:t>
            </w:r>
            <w:proofErr w:type="spellEnd"/>
          </w:p>
        </w:tc>
      </w:tr>
      <w:tr w:rsidR="00451E9A" w:rsidTr="00A91D23">
        <w:trPr>
          <w:trHeight w:hRule="exact" w:val="880"/>
        </w:trPr>
        <w:tc>
          <w:tcPr>
            <w:tcW w:w="504" w:type="dxa"/>
            <w:tcBorders>
              <w:top w:val="single" w:sz="4" w:space="0" w:color="000000"/>
              <w:left w:val="single" w:sz="2" w:space="0" w:color="000000"/>
              <w:bottom w:val="single" w:sz="4" w:space="0" w:color="000000"/>
              <w:right w:val="single" w:sz="4" w:space="0" w:color="000000"/>
            </w:tcBorders>
          </w:tcPr>
          <w:p w:rsidR="00451E9A" w:rsidRDefault="00451E9A" w:rsidP="00A91D23">
            <w:pPr>
              <w:pStyle w:val="TableParagraph"/>
              <w:rPr>
                <w:rFonts w:ascii="仿宋" w:eastAsia="仿宋" w:hAnsi="仿宋" w:cs="仿宋"/>
                <w:sz w:val="28"/>
                <w:szCs w:val="28"/>
              </w:rPr>
            </w:pPr>
          </w:p>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1</w:t>
            </w:r>
          </w:p>
        </w:tc>
        <w:tc>
          <w:tcPr>
            <w:tcW w:w="8825" w:type="dxa"/>
            <w:gridSpan w:val="4"/>
            <w:tcBorders>
              <w:top w:val="single" w:sz="4" w:space="0" w:color="000000"/>
              <w:left w:val="single" w:sz="4" w:space="0" w:color="000000"/>
              <w:bottom w:val="single" w:sz="4" w:space="0" w:color="000000"/>
              <w:right w:val="single" w:sz="2" w:space="0" w:color="000000"/>
            </w:tcBorders>
          </w:tcPr>
          <w:p w:rsidR="00451E9A" w:rsidRDefault="00451E9A" w:rsidP="00A91D23">
            <w:pPr>
              <w:pStyle w:val="TableParagraph"/>
              <w:spacing w:line="278" w:lineRule="auto"/>
              <w:ind w:left="102" w:right="104"/>
              <w:jc w:val="both"/>
              <w:rPr>
                <w:rFonts w:ascii="仿宋" w:eastAsia="仿宋" w:hAnsi="仿宋" w:cs="仿宋"/>
                <w:sz w:val="21"/>
                <w:szCs w:val="21"/>
                <w:lang w:eastAsia="zh-CN"/>
              </w:rPr>
            </w:pPr>
            <w:r>
              <w:rPr>
                <w:rFonts w:ascii="仿宋" w:eastAsia="仿宋" w:hAnsi="仿宋" w:cs="仿宋" w:hint="eastAsia"/>
                <w:spacing w:val="2"/>
                <w:sz w:val="21"/>
                <w:szCs w:val="21"/>
                <w:lang w:eastAsia="zh-CN"/>
              </w:rPr>
              <w:t>工程结构实体质量抽查过程中同步对工程重要质量控制资料（含质量、消防、人防工程和相关配套建设工程）进行抽查，包括涉及结构安全和重要使用功能的检验、检测报告</w:t>
            </w:r>
            <w:r>
              <w:rPr>
                <w:rFonts w:ascii="仿宋" w:eastAsia="仿宋" w:hAnsi="仿宋" w:cs="仿宋" w:hint="eastAsia"/>
                <w:sz w:val="21"/>
                <w:szCs w:val="21"/>
                <w:lang w:eastAsia="zh-CN"/>
              </w:rPr>
              <w:t>及消防产品质量证明文件、建筑材料燃烧性能报告等。</w:t>
            </w:r>
          </w:p>
        </w:tc>
      </w:tr>
      <w:tr w:rsidR="00451E9A" w:rsidTr="00A91D23">
        <w:trPr>
          <w:trHeight w:hRule="exact" w:val="464"/>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27"/>
              <w:jc w:val="both"/>
              <w:rPr>
                <w:rFonts w:ascii="仿宋" w:eastAsia="仿宋" w:hAnsi="仿宋" w:cs="仿宋"/>
                <w:sz w:val="21"/>
                <w:szCs w:val="21"/>
              </w:rPr>
            </w:pPr>
            <w:r>
              <w:rPr>
                <w:rFonts w:ascii="仿宋" w:eastAsia="仿宋" w:hAnsi="仿宋" w:cs="仿宋" w:hint="eastAsia"/>
                <w:b/>
                <w:bCs/>
                <w:sz w:val="21"/>
                <w:szCs w:val="21"/>
              </w:rPr>
              <w:t>五</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center"/>
              <w:rPr>
                <w:rFonts w:ascii="仿宋" w:eastAsia="仿宋" w:hAnsi="仿宋" w:cs="仿宋"/>
                <w:sz w:val="21"/>
                <w:szCs w:val="21"/>
              </w:rPr>
            </w:pPr>
            <w:proofErr w:type="spellStart"/>
            <w:r>
              <w:rPr>
                <w:rFonts w:ascii="仿宋" w:eastAsia="仿宋" w:hAnsi="仿宋" w:cs="仿宋" w:hint="eastAsia"/>
                <w:b/>
                <w:bCs/>
                <w:sz w:val="21"/>
                <w:szCs w:val="21"/>
              </w:rPr>
              <w:t>监督执法抽检</w:t>
            </w:r>
            <w:proofErr w:type="spellEnd"/>
          </w:p>
        </w:tc>
      </w:tr>
      <w:tr w:rsidR="00451E9A" w:rsidTr="00A91D23">
        <w:trPr>
          <w:trHeight w:hRule="exact" w:val="650"/>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1</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80" w:lineRule="auto"/>
              <w:ind w:left="102" w:right="104"/>
              <w:jc w:val="both"/>
              <w:rPr>
                <w:rFonts w:ascii="仿宋" w:eastAsia="仿宋" w:hAnsi="仿宋" w:cs="仿宋"/>
                <w:sz w:val="21"/>
                <w:szCs w:val="21"/>
                <w:lang w:eastAsia="zh-CN"/>
              </w:rPr>
            </w:pPr>
            <w:r>
              <w:rPr>
                <w:rFonts w:ascii="仿宋" w:eastAsia="仿宋" w:hAnsi="仿宋" w:cs="仿宋" w:hint="eastAsia"/>
                <w:spacing w:val="2"/>
                <w:sz w:val="21"/>
                <w:szCs w:val="21"/>
                <w:lang w:eastAsia="zh-CN"/>
              </w:rPr>
              <w:t>建筑材料：钢材（钢筋连接）、混凝土、砌</w:t>
            </w:r>
            <w:proofErr w:type="gramStart"/>
            <w:r>
              <w:rPr>
                <w:rFonts w:ascii="仿宋" w:eastAsia="仿宋" w:hAnsi="仿宋" w:cs="仿宋" w:hint="eastAsia"/>
                <w:spacing w:val="2"/>
                <w:sz w:val="21"/>
                <w:szCs w:val="21"/>
                <w:lang w:eastAsia="zh-CN"/>
              </w:rPr>
              <w:t>体材</w:t>
            </w:r>
            <w:proofErr w:type="gramEnd"/>
            <w:r>
              <w:rPr>
                <w:rFonts w:ascii="仿宋" w:eastAsia="仿宋" w:hAnsi="仿宋" w:cs="仿宋" w:hint="eastAsia"/>
                <w:spacing w:val="2"/>
                <w:sz w:val="21"/>
                <w:szCs w:val="21"/>
                <w:lang w:eastAsia="zh-CN"/>
              </w:rPr>
              <w:t>料、防水材料、电线电缆、塑料给排水</w:t>
            </w:r>
            <w:r>
              <w:rPr>
                <w:rFonts w:ascii="仿宋" w:eastAsia="仿宋" w:hAnsi="仿宋" w:cs="仿宋" w:hint="eastAsia"/>
                <w:sz w:val="21"/>
                <w:szCs w:val="21"/>
                <w:lang w:eastAsia="zh-CN"/>
              </w:rPr>
              <w:t>管材及管件、漏电开关和空气断路器、家用插座、防火材料等。</w:t>
            </w:r>
          </w:p>
        </w:tc>
      </w:tr>
      <w:tr w:rsidR="00451E9A" w:rsidTr="00A91D23">
        <w:trPr>
          <w:trHeight w:hRule="exact" w:val="650"/>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2</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spacing w:line="278" w:lineRule="auto"/>
              <w:ind w:left="102" w:right="105"/>
              <w:jc w:val="both"/>
              <w:rPr>
                <w:rFonts w:ascii="仿宋" w:eastAsia="仿宋" w:hAnsi="仿宋" w:cs="仿宋"/>
                <w:sz w:val="21"/>
                <w:szCs w:val="21"/>
                <w:lang w:eastAsia="zh-CN"/>
              </w:rPr>
            </w:pPr>
            <w:r>
              <w:rPr>
                <w:rFonts w:ascii="仿宋" w:eastAsia="仿宋" w:hAnsi="仿宋" w:cs="仿宋" w:hint="eastAsia"/>
                <w:spacing w:val="2"/>
                <w:sz w:val="21"/>
                <w:szCs w:val="21"/>
                <w:lang w:eastAsia="zh-CN"/>
              </w:rPr>
              <w:t>实体质量：主体结构混凝土强度、楼板厚度、主要受力钢筋数量、位置及保护层厚度和</w:t>
            </w:r>
            <w:r>
              <w:rPr>
                <w:rFonts w:ascii="仿宋" w:eastAsia="仿宋" w:hAnsi="仿宋" w:cs="仿宋" w:hint="eastAsia"/>
                <w:sz w:val="21"/>
                <w:szCs w:val="21"/>
                <w:lang w:eastAsia="zh-CN"/>
              </w:rPr>
              <w:t>建筑设备安装实体质量等。</w:t>
            </w:r>
          </w:p>
        </w:tc>
      </w:tr>
      <w:tr w:rsidR="00451E9A" w:rsidTr="00A91D23">
        <w:trPr>
          <w:trHeight w:hRule="exact" w:val="464"/>
        </w:trPr>
        <w:tc>
          <w:tcPr>
            <w:tcW w:w="504" w:type="dxa"/>
            <w:tcBorders>
              <w:top w:val="single" w:sz="4" w:space="0" w:color="000000"/>
              <w:left w:val="single" w:sz="2" w:space="0" w:color="000000"/>
              <w:bottom w:val="single" w:sz="4" w:space="0" w:color="000000"/>
              <w:right w:val="single" w:sz="4" w:space="0" w:color="000000"/>
            </w:tcBorders>
            <w:vAlign w:val="center"/>
          </w:tcPr>
          <w:p w:rsidR="00451E9A" w:rsidRDefault="00451E9A" w:rsidP="00A91D23">
            <w:pPr>
              <w:pStyle w:val="TableParagraph"/>
              <w:jc w:val="center"/>
              <w:rPr>
                <w:rFonts w:ascii="仿宋" w:eastAsia="仿宋" w:hAnsi="仿宋" w:cs="仿宋"/>
                <w:sz w:val="21"/>
                <w:szCs w:val="21"/>
              </w:rPr>
            </w:pPr>
            <w:r>
              <w:rPr>
                <w:rFonts w:ascii="仿宋" w:eastAsia="仿宋" w:hAnsi="仿宋" w:cs="仿宋" w:hint="eastAsia"/>
                <w:b/>
                <w:bCs/>
                <w:sz w:val="21"/>
                <w:szCs w:val="21"/>
              </w:rPr>
              <w:t>六</w:t>
            </w:r>
          </w:p>
        </w:tc>
        <w:tc>
          <w:tcPr>
            <w:tcW w:w="8825" w:type="dxa"/>
            <w:gridSpan w:val="4"/>
            <w:tcBorders>
              <w:top w:val="single" w:sz="4" w:space="0" w:color="000000"/>
              <w:left w:val="single" w:sz="4" w:space="0" w:color="000000"/>
              <w:bottom w:val="single" w:sz="4" w:space="0" w:color="000000"/>
              <w:right w:val="single" w:sz="2" w:space="0" w:color="000000"/>
            </w:tcBorders>
            <w:vAlign w:val="center"/>
          </w:tcPr>
          <w:p w:rsidR="00451E9A" w:rsidRDefault="00451E9A" w:rsidP="00A91D23">
            <w:pPr>
              <w:pStyle w:val="TableParagraph"/>
              <w:ind w:left="102"/>
              <w:jc w:val="center"/>
              <w:rPr>
                <w:rFonts w:ascii="仿宋" w:eastAsia="仿宋" w:hAnsi="仿宋" w:cs="仿宋"/>
                <w:sz w:val="21"/>
                <w:szCs w:val="21"/>
              </w:rPr>
            </w:pPr>
            <w:proofErr w:type="spellStart"/>
            <w:r>
              <w:rPr>
                <w:rFonts w:ascii="仿宋" w:eastAsia="仿宋" w:hAnsi="仿宋" w:cs="仿宋" w:hint="eastAsia"/>
                <w:b/>
                <w:bCs/>
                <w:sz w:val="21"/>
                <w:szCs w:val="21"/>
              </w:rPr>
              <w:t>工程验收</w:t>
            </w:r>
            <w:proofErr w:type="spellEnd"/>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1</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地基、基础子分部工程。</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2</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主体结构分部工程</w:t>
            </w:r>
            <w:proofErr w:type="spellEnd"/>
            <w:r>
              <w:rPr>
                <w:rFonts w:ascii="仿宋" w:eastAsia="仿宋" w:hAnsi="仿宋" w:cs="仿宋" w:hint="eastAsia"/>
                <w:sz w:val="21"/>
                <w:szCs w:val="21"/>
              </w:rPr>
              <w:t>。</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3</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建筑节能分部工程</w:t>
            </w:r>
            <w:proofErr w:type="spellEnd"/>
            <w:r>
              <w:rPr>
                <w:rFonts w:ascii="仿宋" w:eastAsia="仿宋" w:hAnsi="仿宋" w:cs="仿宋" w:hint="eastAsia"/>
                <w:sz w:val="21"/>
                <w:szCs w:val="21"/>
              </w:rPr>
              <w:t>。</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4</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消防现场评定</w:t>
            </w:r>
            <w:proofErr w:type="spellEnd"/>
            <w:r>
              <w:rPr>
                <w:rFonts w:ascii="仿宋" w:eastAsia="仿宋" w:hAnsi="仿宋" w:cs="仿宋" w:hint="eastAsia"/>
                <w:sz w:val="21"/>
                <w:szCs w:val="21"/>
              </w:rPr>
              <w:t>。</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5</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结建人防工程</w:t>
            </w:r>
            <w:proofErr w:type="spellEnd"/>
            <w:r>
              <w:rPr>
                <w:rFonts w:ascii="仿宋" w:eastAsia="仿宋" w:hAnsi="仿宋" w:cs="仿宋" w:hint="eastAsia"/>
                <w:sz w:val="21"/>
                <w:szCs w:val="21"/>
              </w:rPr>
              <w:t>。</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6</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海绵城市建设、配套附属及绿化工程、无障碍设施和充电设施。</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7</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竣工前质量抽查（</w:t>
            </w:r>
            <w:proofErr w:type="gramStart"/>
            <w:r>
              <w:rPr>
                <w:rFonts w:ascii="仿宋" w:eastAsia="仿宋" w:hAnsi="仿宋" w:cs="仿宋" w:hint="eastAsia"/>
                <w:sz w:val="21"/>
                <w:szCs w:val="21"/>
                <w:lang w:eastAsia="zh-CN"/>
              </w:rPr>
              <w:t>含资料</w:t>
            </w:r>
            <w:proofErr w:type="gramEnd"/>
            <w:r>
              <w:rPr>
                <w:rFonts w:ascii="仿宋" w:eastAsia="仿宋" w:hAnsi="仿宋" w:cs="仿宋" w:hint="eastAsia"/>
                <w:sz w:val="21"/>
                <w:szCs w:val="21"/>
                <w:lang w:eastAsia="zh-CN"/>
              </w:rPr>
              <w:t>和实体）。</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8</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sz w:val="21"/>
                <w:szCs w:val="21"/>
              </w:rPr>
              <w:t>工程联合验收</w:t>
            </w:r>
            <w:proofErr w:type="spellEnd"/>
            <w:r>
              <w:rPr>
                <w:rFonts w:ascii="仿宋" w:eastAsia="仿宋" w:hAnsi="仿宋" w:cs="仿宋" w:hint="eastAsia"/>
                <w:sz w:val="21"/>
                <w:szCs w:val="21"/>
              </w:rPr>
              <w:t>。</w:t>
            </w:r>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27"/>
              <w:jc w:val="both"/>
              <w:rPr>
                <w:rFonts w:ascii="仿宋" w:eastAsia="仿宋" w:hAnsi="仿宋" w:cs="仿宋"/>
                <w:sz w:val="21"/>
                <w:szCs w:val="21"/>
              </w:rPr>
            </w:pPr>
            <w:r>
              <w:rPr>
                <w:rFonts w:ascii="仿宋" w:eastAsia="仿宋" w:hAnsi="仿宋" w:cs="仿宋" w:hint="eastAsia"/>
                <w:b/>
                <w:bCs/>
                <w:sz w:val="21"/>
                <w:szCs w:val="21"/>
              </w:rPr>
              <w:t>七</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rPr>
            </w:pPr>
            <w:proofErr w:type="spellStart"/>
            <w:r>
              <w:rPr>
                <w:rFonts w:ascii="仿宋" w:eastAsia="仿宋" w:hAnsi="仿宋" w:cs="仿宋" w:hint="eastAsia"/>
                <w:b/>
                <w:bCs/>
                <w:sz w:val="21"/>
                <w:szCs w:val="21"/>
              </w:rPr>
              <w:t>其它</w:t>
            </w:r>
            <w:proofErr w:type="spellEnd"/>
          </w:p>
        </w:tc>
      </w:tr>
      <w:tr w:rsidR="00451E9A" w:rsidTr="00A91D23">
        <w:trPr>
          <w:trHeight w:hRule="exact" w:val="464"/>
        </w:trPr>
        <w:tc>
          <w:tcPr>
            <w:tcW w:w="504" w:type="dxa"/>
            <w:tcBorders>
              <w:top w:val="single" w:sz="4" w:space="0" w:color="000000"/>
              <w:left w:val="single" w:sz="4" w:space="0" w:color="000000"/>
              <w:bottom w:val="single" w:sz="4" w:space="0" w:color="000000"/>
              <w:right w:val="single" w:sz="4" w:space="0" w:color="000000"/>
            </w:tcBorders>
          </w:tcPr>
          <w:p w:rsidR="00451E9A" w:rsidRDefault="00451E9A" w:rsidP="00A91D23">
            <w:pPr>
              <w:pStyle w:val="TableParagraph"/>
              <w:ind w:left="1"/>
              <w:jc w:val="center"/>
              <w:rPr>
                <w:rFonts w:ascii="仿宋" w:eastAsia="仿宋" w:hAnsi="仿宋" w:cs="仿宋"/>
                <w:sz w:val="21"/>
                <w:szCs w:val="21"/>
              </w:rPr>
            </w:pPr>
            <w:r>
              <w:rPr>
                <w:rFonts w:ascii="仿宋" w:eastAsia="仿宋" w:hAnsi="仿宋" w:cs="仿宋" w:hint="eastAsia"/>
                <w:sz w:val="21"/>
              </w:rPr>
              <w:t>1</w:t>
            </w:r>
          </w:p>
        </w:tc>
        <w:tc>
          <w:tcPr>
            <w:tcW w:w="8825" w:type="dxa"/>
            <w:gridSpan w:val="4"/>
            <w:tcBorders>
              <w:top w:val="single" w:sz="4" w:space="0" w:color="000000"/>
              <w:left w:val="single" w:sz="4" w:space="0" w:color="000000"/>
              <w:bottom w:val="single" w:sz="4" w:space="0" w:color="000000"/>
              <w:right w:val="single" w:sz="4" w:space="0" w:color="000000"/>
            </w:tcBorders>
            <w:vAlign w:val="center"/>
          </w:tcPr>
          <w:p w:rsidR="00451E9A" w:rsidRDefault="00451E9A" w:rsidP="00A91D23">
            <w:pPr>
              <w:pStyle w:val="TableParagraph"/>
              <w:ind w:left="103"/>
              <w:jc w:val="both"/>
              <w:rPr>
                <w:rFonts w:ascii="仿宋" w:eastAsia="仿宋" w:hAnsi="仿宋" w:cs="仿宋"/>
                <w:sz w:val="21"/>
                <w:szCs w:val="21"/>
                <w:lang w:eastAsia="zh-CN"/>
              </w:rPr>
            </w:pPr>
            <w:r>
              <w:rPr>
                <w:rFonts w:ascii="仿宋" w:eastAsia="仿宋" w:hAnsi="仿宋" w:cs="仿宋" w:hint="eastAsia"/>
                <w:sz w:val="21"/>
                <w:szCs w:val="21"/>
                <w:lang w:eastAsia="zh-CN"/>
              </w:rPr>
              <w:t>工程质量事故处理情况。</w:t>
            </w:r>
          </w:p>
        </w:tc>
      </w:tr>
    </w:tbl>
    <w:p w:rsidR="00451E9A" w:rsidRDefault="00451E9A" w:rsidP="00451E9A">
      <w:pPr>
        <w:spacing w:before="134"/>
        <w:ind w:left="100"/>
        <w:rPr>
          <w:rFonts w:ascii="仿宋" w:eastAsia="仿宋" w:hAnsi="仿宋" w:cs="仿宋"/>
          <w:sz w:val="21"/>
          <w:szCs w:val="21"/>
          <w:lang w:eastAsia="zh-CN"/>
        </w:rPr>
      </w:pPr>
      <w:r>
        <w:rPr>
          <w:rFonts w:ascii="仿宋" w:eastAsia="仿宋" w:hAnsi="仿宋" w:cs="仿宋" w:hint="eastAsia"/>
          <w:spacing w:val="15"/>
          <w:sz w:val="21"/>
          <w:szCs w:val="21"/>
          <w:lang w:eastAsia="zh-CN"/>
        </w:rPr>
        <w:t>注：工程质量监督机构的抽查频次应结合差异化监管模式</w:t>
      </w:r>
      <w:r>
        <w:rPr>
          <w:rFonts w:ascii="仿宋" w:eastAsia="仿宋" w:hAnsi="仿宋" w:cs="仿宋" w:hint="eastAsia"/>
          <w:spacing w:val="10"/>
          <w:sz w:val="21"/>
          <w:szCs w:val="21"/>
          <w:lang w:eastAsia="zh-CN"/>
        </w:rPr>
        <w:t>的要求，根据项目风险级别自行确定。</w:t>
      </w:r>
    </w:p>
    <w:p w:rsidR="00E351B7" w:rsidRDefault="00E351B7">
      <w:pPr>
        <w:rPr>
          <w:lang w:eastAsia="zh-CN"/>
        </w:rPr>
      </w:pPr>
    </w:p>
    <w:sectPr w:rsidR="00E351B7">
      <w:footerReference w:type="even" r:id="rId9"/>
      <w:footerReference w:type="default" r:id="rId10"/>
      <w:pgSz w:w="11900" w:h="16840"/>
      <w:pgMar w:top="1600" w:right="1400" w:bottom="280"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9A" w:rsidRDefault="00451E9A" w:rsidP="00451E9A">
      <w:r>
        <w:separator/>
      </w:r>
    </w:p>
  </w:endnote>
  <w:endnote w:type="continuationSeparator" w:id="0">
    <w:p w:rsidR="00451E9A" w:rsidRDefault="00451E9A" w:rsidP="0045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文星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9A" w:rsidRDefault="00451E9A">
    <w:pPr>
      <w:spacing w:line="14" w:lineRule="auto"/>
      <w:rPr>
        <w:sz w:val="20"/>
        <w:szCs w:val="20"/>
      </w:rPr>
    </w:pPr>
    <w:r>
      <w:rPr>
        <w:noProof/>
        <w:sz w:val="20"/>
        <w:lang w:eastAsia="zh-CN"/>
      </w:rPr>
      <mc:AlternateContent>
        <mc:Choice Requires="wps">
          <w:drawing>
            <wp:anchor distT="0" distB="0" distL="114300" distR="114300" simplePos="0" relativeHeight="251660288" behindDoc="0" locked="0" layoutInCell="1" allowOverlap="1" wp14:anchorId="5E25BF0B" wp14:editId="691EE24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1E9A" w:rsidRDefault="00451E9A">
                          <w:pPr>
                            <w:pStyle w:val="a4"/>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451E9A" w:rsidRDefault="00451E9A">
                    <w:pPr>
                      <w:pStyle w:val="a4"/>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9A" w:rsidRDefault="00451E9A">
    <w:pPr>
      <w:spacing w:line="14" w:lineRule="auto"/>
      <w:rPr>
        <w:sz w:val="20"/>
        <w:szCs w:val="20"/>
      </w:rPr>
    </w:pPr>
    <w:r>
      <w:rPr>
        <w:noProof/>
        <w:sz w:val="20"/>
        <w:lang w:eastAsia="zh-CN"/>
      </w:rPr>
      <mc:AlternateContent>
        <mc:Choice Requires="wps">
          <w:drawing>
            <wp:anchor distT="0" distB="0" distL="114300" distR="114300" simplePos="0" relativeHeight="251659264" behindDoc="0" locked="0" layoutInCell="1" allowOverlap="1" wp14:anchorId="63918FD7" wp14:editId="6248079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1E9A" w:rsidRDefault="00451E9A">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51E9A" w:rsidRDefault="00451E9A">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1E" w:rsidRDefault="00451E9A">
    <w:pPr>
      <w:spacing w:line="14" w:lineRule="auto"/>
      <w:rPr>
        <w:sz w:val="2"/>
        <w:szCs w:val="2"/>
      </w:rPr>
    </w:pPr>
    <w:r>
      <w:rPr>
        <w:noProof/>
        <w:sz w:val="2"/>
        <w:lang w:eastAsia="zh-CN"/>
      </w:rPr>
      <mc:AlternateContent>
        <mc:Choice Requires="wps">
          <w:drawing>
            <wp:anchor distT="0" distB="0" distL="114300" distR="114300" simplePos="0" relativeHeight="251660288" behindDoc="0" locked="0" layoutInCell="1" allowOverlap="1" wp14:anchorId="74494DF0" wp14:editId="3B3FD44B">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131E" w:rsidRDefault="00451E9A">
                          <w:pPr>
                            <w:pStyle w:val="a4"/>
                          </w:pPr>
                          <w:r>
                            <w:fldChar w:fldCharType="begin"/>
                          </w:r>
                          <w:r>
                            <w:instrText xml:space="preserve"> PAGE  \* MERGEFORMAT </w:instrText>
                          </w:r>
                          <w:r>
                            <w:fldChar w:fldCharType="separate"/>
                          </w:r>
                          <w:r>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AB131E" w:rsidRDefault="00451E9A">
                    <w:pPr>
                      <w:pStyle w:val="a4"/>
                    </w:pPr>
                    <w:r>
                      <w:fldChar w:fldCharType="begin"/>
                    </w:r>
                    <w:r>
                      <w:instrText xml:space="preserve"> PAGE  \* MERGEFORMAT </w:instrText>
                    </w:r>
                    <w:r>
                      <w:fldChar w:fldCharType="separate"/>
                    </w:r>
                    <w:r>
                      <w:rPr>
                        <w:noProof/>
                      </w:rPr>
                      <w:t>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1E" w:rsidRDefault="00451E9A">
    <w:pPr>
      <w:spacing w:line="14" w:lineRule="auto"/>
      <w:rPr>
        <w:sz w:val="20"/>
        <w:szCs w:val="20"/>
      </w:rPr>
    </w:pPr>
    <w:r>
      <w:rPr>
        <w:noProof/>
        <w:sz w:val="20"/>
        <w:lang w:eastAsia="zh-CN"/>
      </w:rPr>
      <mc:AlternateContent>
        <mc:Choice Requires="wps">
          <w:drawing>
            <wp:anchor distT="0" distB="0" distL="114300" distR="114300" simplePos="0" relativeHeight="251659264" behindDoc="0" locked="0" layoutInCell="1" allowOverlap="1" wp14:anchorId="6642EFAA" wp14:editId="30F14817">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131E" w:rsidRDefault="00451E9A">
                          <w:pPr>
                            <w:pStyle w:val="a4"/>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rsidR="00AB131E" w:rsidRDefault="00451E9A">
                    <w:pPr>
                      <w:pStyle w:val="a4"/>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9A" w:rsidRDefault="00451E9A" w:rsidP="00451E9A">
      <w:r>
        <w:separator/>
      </w:r>
    </w:p>
  </w:footnote>
  <w:footnote w:type="continuationSeparator" w:id="0">
    <w:p w:rsidR="00451E9A" w:rsidRDefault="00451E9A" w:rsidP="00451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50"/>
    <w:rsid w:val="00451E9A"/>
    <w:rsid w:val="00980150"/>
    <w:rsid w:val="009B5418"/>
    <w:rsid w:val="00E3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1E9A"/>
    <w:pPr>
      <w:widowControl w:val="0"/>
    </w:pPr>
    <w:rPr>
      <w:rFonts w:eastAsiaTheme="minorHAnsi"/>
      <w:kern w:val="0"/>
      <w:sz w:val="22"/>
      <w:lang w:eastAsia="en-US"/>
    </w:rPr>
  </w:style>
  <w:style w:type="paragraph" w:styleId="1">
    <w:name w:val="heading 1"/>
    <w:basedOn w:val="a"/>
    <w:next w:val="a"/>
    <w:link w:val="1Char"/>
    <w:uiPriority w:val="1"/>
    <w:qFormat/>
    <w:rsid w:val="00451E9A"/>
    <w:pPr>
      <w:outlineLvl w:val="0"/>
    </w:pPr>
    <w:rPr>
      <w:rFonts w:ascii="PMingLiU" w:eastAsia="PMingLiU" w:hAnsi="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E9A"/>
    <w:pPr>
      <w:pBdr>
        <w:bottom w:val="single" w:sz="6" w:space="1" w:color="auto"/>
      </w:pBdr>
      <w:tabs>
        <w:tab w:val="center" w:pos="4153"/>
        <w:tab w:val="right" w:pos="8306"/>
      </w:tabs>
      <w:snapToGrid w:val="0"/>
      <w:jc w:val="center"/>
    </w:pPr>
    <w:rPr>
      <w:rFonts w:eastAsiaTheme="minorEastAsia"/>
      <w:kern w:val="2"/>
      <w:sz w:val="18"/>
      <w:szCs w:val="18"/>
      <w:lang w:eastAsia="zh-CN"/>
    </w:rPr>
  </w:style>
  <w:style w:type="character" w:customStyle="1" w:styleId="Char">
    <w:name w:val="页眉 Char"/>
    <w:basedOn w:val="a0"/>
    <w:link w:val="a3"/>
    <w:uiPriority w:val="99"/>
    <w:rsid w:val="00451E9A"/>
    <w:rPr>
      <w:sz w:val="18"/>
      <w:szCs w:val="18"/>
    </w:rPr>
  </w:style>
  <w:style w:type="paragraph" w:styleId="a4">
    <w:name w:val="footer"/>
    <w:basedOn w:val="a"/>
    <w:link w:val="Char0"/>
    <w:unhideWhenUsed/>
    <w:rsid w:val="00451E9A"/>
    <w:pPr>
      <w:tabs>
        <w:tab w:val="center" w:pos="4153"/>
        <w:tab w:val="right" w:pos="8306"/>
      </w:tabs>
      <w:snapToGrid w:val="0"/>
    </w:pPr>
    <w:rPr>
      <w:rFonts w:eastAsiaTheme="minorEastAsia"/>
      <w:kern w:val="2"/>
      <w:sz w:val="18"/>
      <w:szCs w:val="18"/>
      <w:lang w:eastAsia="zh-CN"/>
    </w:rPr>
  </w:style>
  <w:style w:type="character" w:customStyle="1" w:styleId="Char0">
    <w:name w:val="页脚 Char"/>
    <w:basedOn w:val="a0"/>
    <w:link w:val="a4"/>
    <w:uiPriority w:val="99"/>
    <w:rsid w:val="00451E9A"/>
    <w:rPr>
      <w:sz w:val="18"/>
      <w:szCs w:val="18"/>
    </w:rPr>
  </w:style>
  <w:style w:type="character" w:customStyle="1" w:styleId="1Char">
    <w:name w:val="标题 1 Char"/>
    <w:basedOn w:val="a0"/>
    <w:link w:val="1"/>
    <w:uiPriority w:val="1"/>
    <w:rsid w:val="00451E9A"/>
    <w:rPr>
      <w:rFonts w:ascii="PMingLiU" w:eastAsia="PMingLiU" w:hAnsi="PMingLiU"/>
      <w:kern w:val="0"/>
      <w:sz w:val="44"/>
      <w:szCs w:val="44"/>
      <w:lang w:eastAsia="en-US"/>
    </w:rPr>
  </w:style>
  <w:style w:type="paragraph" w:styleId="a5">
    <w:name w:val="Body Text"/>
    <w:basedOn w:val="a"/>
    <w:link w:val="Char1"/>
    <w:uiPriority w:val="1"/>
    <w:qFormat/>
    <w:rsid w:val="00451E9A"/>
    <w:pPr>
      <w:spacing w:before="1"/>
      <w:ind w:left="113"/>
    </w:pPr>
    <w:rPr>
      <w:rFonts w:ascii="宋体" w:eastAsia="宋体" w:hAnsi="宋体"/>
      <w:sz w:val="32"/>
      <w:szCs w:val="32"/>
    </w:rPr>
  </w:style>
  <w:style w:type="character" w:customStyle="1" w:styleId="Char1">
    <w:name w:val="正文文本 Char"/>
    <w:basedOn w:val="a0"/>
    <w:link w:val="a5"/>
    <w:uiPriority w:val="1"/>
    <w:rsid w:val="00451E9A"/>
    <w:rPr>
      <w:rFonts w:ascii="宋体" w:eastAsia="宋体" w:hAnsi="宋体"/>
      <w:kern w:val="0"/>
      <w:sz w:val="32"/>
      <w:szCs w:val="32"/>
      <w:lang w:eastAsia="en-US"/>
    </w:rPr>
  </w:style>
  <w:style w:type="paragraph" w:customStyle="1" w:styleId="TableParagraph">
    <w:name w:val="Table Paragraph"/>
    <w:basedOn w:val="a"/>
    <w:uiPriority w:val="1"/>
    <w:qFormat/>
    <w:rsid w:val="00451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1E9A"/>
    <w:pPr>
      <w:widowControl w:val="0"/>
    </w:pPr>
    <w:rPr>
      <w:rFonts w:eastAsiaTheme="minorHAnsi"/>
      <w:kern w:val="0"/>
      <w:sz w:val="22"/>
      <w:lang w:eastAsia="en-US"/>
    </w:rPr>
  </w:style>
  <w:style w:type="paragraph" w:styleId="1">
    <w:name w:val="heading 1"/>
    <w:basedOn w:val="a"/>
    <w:next w:val="a"/>
    <w:link w:val="1Char"/>
    <w:uiPriority w:val="1"/>
    <w:qFormat/>
    <w:rsid w:val="00451E9A"/>
    <w:pPr>
      <w:outlineLvl w:val="0"/>
    </w:pPr>
    <w:rPr>
      <w:rFonts w:ascii="PMingLiU" w:eastAsia="PMingLiU" w:hAnsi="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E9A"/>
    <w:pPr>
      <w:pBdr>
        <w:bottom w:val="single" w:sz="6" w:space="1" w:color="auto"/>
      </w:pBdr>
      <w:tabs>
        <w:tab w:val="center" w:pos="4153"/>
        <w:tab w:val="right" w:pos="8306"/>
      </w:tabs>
      <w:snapToGrid w:val="0"/>
      <w:jc w:val="center"/>
    </w:pPr>
    <w:rPr>
      <w:rFonts w:eastAsiaTheme="minorEastAsia"/>
      <w:kern w:val="2"/>
      <w:sz w:val="18"/>
      <w:szCs w:val="18"/>
      <w:lang w:eastAsia="zh-CN"/>
    </w:rPr>
  </w:style>
  <w:style w:type="character" w:customStyle="1" w:styleId="Char">
    <w:name w:val="页眉 Char"/>
    <w:basedOn w:val="a0"/>
    <w:link w:val="a3"/>
    <w:uiPriority w:val="99"/>
    <w:rsid w:val="00451E9A"/>
    <w:rPr>
      <w:sz w:val="18"/>
      <w:szCs w:val="18"/>
    </w:rPr>
  </w:style>
  <w:style w:type="paragraph" w:styleId="a4">
    <w:name w:val="footer"/>
    <w:basedOn w:val="a"/>
    <w:link w:val="Char0"/>
    <w:unhideWhenUsed/>
    <w:rsid w:val="00451E9A"/>
    <w:pPr>
      <w:tabs>
        <w:tab w:val="center" w:pos="4153"/>
        <w:tab w:val="right" w:pos="8306"/>
      </w:tabs>
      <w:snapToGrid w:val="0"/>
    </w:pPr>
    <w:rPr>
      <w:rFonts w:eastAsiaTheme="minorEastAsia"/>
      <w:kern w:val="2"/>
      <w:sz w:val="18"/>
      <w:szCs w:val="18"/>
      <w:lang w:eastAsia="zh-CN"/>
    </w:rPr>
  </w:style>
  <w:style w:type="character" w:customStyle="1" w:styleId="Char0">
    <w:name w:val="页脚 Char"/>
    <w:basedOn w:val="a0"/>
    <w:link w:val="a4"/>
    <w:uiPriority w:val="99"/>
    <w:rsid w:val="00451E9A"/>
    <w:rPr>
      <w:sz w:val="18"/>
      <w:szCs w:val="18"/>
    </w:rPr>
  </w:style>
  <w:style w:type="character" w:customStyle="1" w:styleId="1Char">
    <w:name w:val="标题 1 Char"/>
    <w:basedOn w:val="a0"/>
    <w:link w:val="1"/>
    <w:uiPriority w:val="1"/>
    <w:rsid w:val="00451E9A"/>
    <w:rPr>
      <w:rFonts w:ascii="PMingLiU" w:eastAsia="PMingLiU" w:hAnsi="PMingLiU"/>
      <w:kern w:val="0"/>
      <w:sz w:val="44"/>
      <w:szCs w:val="44"/>
      <w:lang w:eastAsia="en-US"/>
    </w:rPr>
  </w:style>
  <w:style w:type="paragraph" w:styleId="a5">
    <w:name w:val="Body Text"/>
    <w:basedOn w:val="a"/>
    <w:link w:val="Char1"/>
    <w:uiPriority w:val="1"/>
    <w:qFormat/>
    <w:rsid w:val="00451E9A"/>
    <w:pPr>
      <w:spacing w:before="1"/>
      <w:ind w:left="113"/>
    </w:pPr>
    <w:rPr>
      <w:rFonts w:ascii="宋体" w:eastAsia="宋体" w:hAnsi="宋体"/>
      <w:sz w:val="32"/>
      <w:szCs w:val="32"/>
    </w:rPr>
  </w:style>
  <w:style w:type="character" w:customStyle="1" w:styleId="Char1">
    <w:name w:val="正文文本 Char"/>
    <w:basedOn w:val="a0"/>
    <w:link w:val="a5"/>
    <w:uiPriority w:val="1"/>
    <w:rsid w:val="00451E9A"/>
    <w:rPr>
      <w:rFonts w:ascii="宋体" w:eastAsia="宋体" w:hAnsi="宋体"/>
      <w:kern w:val="0"/>
      <w:sz w:val="32"/>
      <w:szCs w:val="32"/>
      <w:lang w:eastAsia="en-US"/>
    </w:rPr>
  </w:style>
  <w:style w:type="paragraph" w:customStyle="1" w:styleId="TableParagraph">
    <w:name w:val="Table Paragraph"/>
    <w:basedOn w:val="a"/>
    <w:uiPriority w:val="1"/>
    <w:qFormat/>
    <w:rsid w:val="0045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2022-03-24T08:45:00Z</dcterms:created>
  <dcterms:modified xsi:type="dcterms:W3CDTF">2022-03-24T08:46:00Z</dcterms:modified>
</cp:coreProperties>
</file>