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梅州市基本医疗保险市外转诊申请表</w:t>
      </w:r>
    </w:p>
    <w:tbl>
      <w:tblPr>
        <w:tblStyle w:val="3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487"/>
        <w:gridCol w:w="965"/>
        <w:gridCol w:w="1808"/>
        <w:gridCol w:w="266"/>
        <w:gridCol w:w="726"/>
        <w:gridCol w:w="1418"/>
        <w:gridCol w:w="709"/>
        <w:gridCol w:w="1701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65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参保人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险种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1.职工医保□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2.居民医保□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亲属姓名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与参保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75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转出医院及科室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转入医院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预计市外就医时间</w:t>
            </w:r>
          </w:p>
        </w:tc>
        <w:tc>
          <w:tcPr>
            <w:tcW w:w="93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至     年    月    日  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477" w:hRule="atLeast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病情摘要：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转诊原因：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主治医师签名：              科主任签名：                     年   月   日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2851" w:hRule="atLeast"/>
        </w:trPr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参保人（或亲属）意见：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转出医院医务科意见：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>（盖章）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医保经办机构意见：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t>（盖章）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</w:tbl>
    <w:p>
      <w:r>
        <w:t xml:space="preserve"> </w:t>
      </w:r>
    </w:p>
    <w:p>
      <w:r>
        <w:t>注：1、此表</w:t>
      </w:r>
      <w:r>
        <w:rPr>
          <w:rFonts w:hint="eastAsia"/>
        </w:rPr>
        <w:t>仅限</w:t>
      </w:r>
      <w:r>
        <w:t>参保人转出梅州市范围外就医时</w:t>
      </w:r>
      <w:r>
        <w:rPr>
          <w:rFonts w:hint="eastAsia"/>
        </w:rPr>
        <w:t>使用，</w:t>
      </w:r>
      <w:r>
        <w:t>需在梅州市</w:t>
      </w:r>
      <w:r>
        <w:rPr>
          <w:rFonts w:hint="eastAsia"/>
        </w:rPr>
        <w:t>二</w:t>
      </w:r>
      <w:r>
        <w:t>级</w:t>
      </w:r>
      <w:r>
        <w:rPr>
          <w:rFonts w:hint="eastAsia"/>
        </w:rPr>
        <w:t>（含二级）</w:t>
      </w:r>
      <w:r>
        <w:t>定点</w:t>
      </w:r>
      <w:r>
        <w:rPr>
          <w:rFonts w:hint="eastAsia"/>
        </w:rPr>
        <w:t>医疗机构</w:t>
      </w:r>
      <w:r>
        <w:t>办理</w:t>
      </w:r>
      <w:r>
        <w:rPr>
          <w:rFonts w:hint="eastAsia"/>
        </w:rPr>
        <w:t>；如已办理异地就医备案人员转出备案地范围外就医时使用，需由备案地定点医疗机构填写</w:t>
      </w:r>
      <w:r>
        <w:t>。</w:t>
      </w:r>
    </w:p>
    <w:p>
      <w:r>
        <w:t xml:space="preserve">    2、转出医院医务科出具意见后，参保人应及时将此表送交参保地</w:t>
      </w:r>
      <w:r>
        <w:rPr>
          <w:rFonts w:hint="eastAsia"/>
        </w:rPr>
        <w:t>医保中心</w:t>
      </w:r>
      <w:r>
        <w:t>审核。否则，会影响费用的结算报销。</w:t>
      </w:r>
    </w:p>
    <w:p>
      <w:r>
        <w:t xml:space="preserve">    3、市外就医时间最长为60天，特殊情况超过60天的，须提供住院病情简介，向参保地</w:t>
      </w:r>
      <w:r>
        <w:rPr>
          <w:rFonts w:hint="eastAsia"/>
        </w:rPr>
        <w:t>医保中心</w:t>
      </w:r>
      <w:r>
        <w:t>申请延期。</w:t>
      </w:r>
    </w:p>
    <w:p>
      <w:r>
        <w:t xml:space="preserve">    4、转入异地联网结算医院就医的，参保人应告知转入医院已办理转诊手续。</w:t>
      </w:r>
    </w:p>
    <w:p>
      <w:r>
        <w:t xml:space="preserve">    5、急危重病人可先行转诊，但应在</w:t>
      </w:r>
      <w:r>
        <w:rPr>
          <w:rFonts w:hint="eastAsia"/>
        </w:rPr>
        <w:t>5个工作日</w:t>
      </w:r>
      <w:r>
        <w:t>内补办转诊手续。</w:t>
      </w:r>
    </w:p>
    <w:p>
      <w:pPr>
        <w:ind w:firstLine="420"/>
      </w:pPr>
      <w:r>
        <w:t>6、此表一式二份，</w:t>
      </w:r>
      <w:r>
        <w:rPr>
          <w:rFonts w:hint="eastAsia"/>
        </w:rPr>
        <w:t>医保中心</w:t>
      </w:r>
      <w:r>
        <w:t>、参保人各一份。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795D"/>
    <w:rsid w:val="09B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2022-03-24T09:48:00Z</dcterms:created>
  <dc:creator>九不理</dc:creator>
  <cp:lastModifiedBy>九不理</cp:lastModifiedBy>
  <dcterms:modified xsi:type="dcterms:W3CDTF">2022-03-24T09:49:39Z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98FFE444BB3A42E2974521DAC48C5D56</vt:lpwstr>
  </property>
</Properties>
</file>