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00" w:lineRule="exact"/>
        <w:jc w:val="left"/>
        <w:rPr>
          <w:rFonts w:hint="eastAsia" w:ascii="黑体" w:hAnsi="黑体"/>
          <w:color w:val="000000" w:themeColor="text1"/>
          <w14:textFill>
            <w14:solidFill>
              <w14:schemeClr w14:val="tx1"/>
            </w14:solidFill>
          </w14:textFill>
        </w:rPr>
      </w:pPr>
      <w:bookmarkStart w:id="0" w:name="_Toc13410"/>
      <w:bookmarkStart w:id="1" w:name="_Toc95224606"/>
      <w:bookmarkStart w:id="2" w:name="_Toc8768"/>
      <w:bookmarkStart w:id="3" w:name="_Toc26848"/>
      <w:bookmarkStart w:id="4" w:name="_Toc5267"/>
      <w:bookmarkStart w:id="5" w:name="_Toc10778"/>
      <w:bookmarkStart w:id="6" w:name="_Toc1034"/>
      <w:r>
        <w:rPr>
          <w:rFonts w:hint="eastAsia" w:ascii="文星楷体" w:hAnsi="黑体" w:eastAsia="文星楷体"/>
          <w:color w:val="000000" w:themeColor="text1"/>
          <w14:textFill>
            <w14:solidFill>
              <w14:schemeClr w14:val="tx1"/>
            </w14:solidFill>
          </w14:textFill>
        </w:rPr>
        <w:t>附件2</w:t>
      </w:r>
      <w:bookmarkStart w:id="7" w:name="_GoBack"/>
      <w:bookmarkEnd w:id="7"/>
    </w:p>
    <w:p>
      <w:pPr>
        <w:pStyle w:val="2"/>
        <w:spacing w:before="0" w:after="0" w:line="500" w:lineRule="exact"/>
        <w:rPr>
          <w:rFonts w:hint="eastAsia" w:ascii="文星标宋" w:hAnsi="黑体" w:eastAsia="文星标宋"/>
          <w:color w:val="000000" w:themeColor="text1"/>
          <w:sz w:val="36"/>
          <w:szCs w:val="36"/>
          <w14:textFill>
            <w14:solidFill>
              <w14:schemeClr w14:val="tx1"/>
            </w14:solidFill>
          </w14:textFill>
        </w:rPr>
      </w:pPr>
      <w:r>
        <w:rPr>
          <w:rFonts w:hint="eastAsia" w:ascii="文星标宋" w:hAnsi="黑体" w:eastAsia="文星标宋"/>
          <w:color w:val="000000" w:themeColor="text1"/>
          <w:sz w:val="36"/>
          <w:szCs w:val="36"/>
          <w14:textFill>
            <w14:solidFill>
              <w14:schemeClr w14:val="tx1"/>
            </w14:solidFill>
          </w14:textFill>
        </w:rPr>
        <w:t>规划重点工程</w:t>
      </w:r>
      <w:bookmarkEnd w:id="0"/>
      <w:bookmarkEnd w:id="1"/>
      <w:bookmarkEnd w:id="2"/>
      <w:bookmarkEnd w:id="3"/>
      <w:bookmarkEnd w:id="4"/>
      <w:bookmarkEnd w:id="5"/>
      <w:bookmarkEnd w:id="6"/>
    </w:p>
    <w:p>
      <w:pPr>
        <w:pStyle w:val="2"/>
        <w:spacing w:before="0" w:after="0" w:line="200" w:lineRule="exact"/>
        <w:rPr>
          <w:rFonts w:hint="eastAsia" w:ascii="文星标宋" w:hAnsi="黑体" w:eastAsia="文星标宋"/>
          <w:color w:val="000000" w:themeColor="text1"/>
          <w:sz w:val="36"/>
          <w:szCs w:val="36"/>
          <w14:textFill>
            <w14:solidFill>
              <w14:schemeClr w14:val="tx1"/>
            </w14:solidFill>
          </w14:textFill>
        </w:rPr>
      </w:pPr>
    </w:p>
    <w:tbl>
      <w:tblPr>
        <w:tblStyle w:val="5"/>
        <w:tblW w:w="14459"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709"/>
        <w:gridCol w:w="2041"/>
        <w:gridCol w:w="6181"/>
        <w:gridCol w:w="1134"/>
        <w:gridCol w:w="1275"/>
        <w:gridCol w:w="993"/>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blHeader/>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t>序号</w:t>
            </w:r>
          </w:p>
        </w:tc>
        <w:tc>
          <w:tcPr>
            <w:tcW w:w="70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t>要素</w:t>
            </w:r>
          </w:p>
        </w:tc>
        <w:tc>
          <w:tcPr>
            <w:tcW w:w="2041"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t>项目名称</w:t>
            </w:r>
          </w:p>
        </w:tc>
        <w:tc>
          <w:tcPr>
            <w:tcW w:w="6181"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t>项目内容</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t>投资</w:t>
            </w:r>
          </w:p>
          <w:p>
            <w:pPr>
              <w:widowControl/>
              <w:adjustRightInd w:val="0"/>
              <w:snapToGrid w:val="0"/>
              <w:spacing w:line="320" w:lineRule="exact"/>
              <w:ind w:firstLine="0" w:firstLineChars="0"/>
              <w:jc w:val="cente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t>估算</w:t>
            </w:r>
          </w:p>
          <w:p>
            <w:pPr>
              <w:widowControl/>
              <w:adjustRightInd w:val="0"/>
              <w:snapToGrid w:val="0"/>
              <w:spacing w:line="320" w:lineRule="exact"/>
              <w:ind w:firstLine="0" w:firstLineChars="0"/>
              <w:jc w:val="cente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t>（万元）</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t>责任地区</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t>起止</w:t>
            </w:r>
          </w:p>
          <w:p>
            <w:pPr>
              <w:widowControl/>
              <w:adjustRightInd w:val="0"/>
              <w:snapToGrid w:val="0"/>
              <w:spacing w:line="320" w:lineRule="exact"/>
              <w:ind w:firstLine="0" w:firstLineChars="0"/>
              <w:jc w:val="cente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t>年限</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t>是否纳入市</w:t>
            </w:r>
            <w:r>
              <w:rPr>
                <w:rFonts w:hint="eastAsia" w:ascii="Times New Roman" w:hAnsi="Times New Roman" w:eastAsia="文星黑体" w:cs="Times New Roman"/>
                <w:bCs/>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t>十四五</w:t>
            </w:r>
            <w:r>
              <w:rPr>
                <w:rFonts w:hint="eastAsia" w:ascii="Times New Roman" w:hAnsi="Times New Roman" w:eastAsia="文星黑体" w:cs="Times New Roman"/>
                <w:bCs/>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黑体" w:cs="Times New Roman"/>
                <w:bCs/>
                <w:color w:val="000000" w:themeColor="text1"/>
                <w:spacing w:val="0"/>
                <w:kern w:val="2"/>
                <w:sz w:val="24"/>
                <w:szCs w:val="24"/>
                <w14:textFill>
                  <w14:solidFill>
                    <w14:schemeClr w14:val="tx1"/>
                  </w14:solidFill>
                </w14:textFill>
              </w:rPr>
              <w:t>规划重大项目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w:t>
            </w:r>
          </w:p>
        </w:tc>
        <w:tc>
          <w:tcPr>
            <w:tcW w:w="709" w:type="dxa"/>
            <w:vMerge w:val="restart"/>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水</w:t>
            </w: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饮用水水源地规范化建设</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持续推进全市</w:t>
            </w:r>
            <w:r>
              <w:rPr>
                <w:rFonts w:hint="eastAsia" w:eastAsia="文星仿宋" w:cs="Times New Roman"/>
                <w:color w:val="000000" w:themeColor="text1"/>
                <w:spacing w:val="0"/>
                <w:kern w:val="2"/>
                <w:sz w:val="24"/>
                <w:szCs w:val="24"/>
                <w:lang w:eastAsia="zh-CN"/>
                <w14:textFill>
                  <w14:solidFill>
                    <w14:schemeClr w14:val="tx1"/>
                  </w14:solidFill>
                </w14:textFill>
              </w:rPr>
              <w:t>饮用水水源</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保护区规范化建设，包括围栏隔离防护设施建设、保护区界桩界碑警示牌建设、饮用水水源地安全视频监控系统建设、事故应急处理池建设等工程。</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各县</w:t>
            </w:r>
          </w:p>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（市、区）</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饮用水水源安全保障工程</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以黄田水库、长潭水库、多宝水库、黄竹坪水库、龙潭水库、梅潭河双溪水库等</w:t>
            </w:r>
            <w:r>
              <w:rPr>
                <w:rFonts w:hint="eastAsia" w:eastAsia="文星仿宋" w:cs="Times New Roman"/>
                <w:color w:val="000000" w:themeColor="text1"/>
                <w:spacing w:val="0"/>
                <w:kern w:val="2"/>
                <w:sz w:val="24"/>
                <w:szCs w:val="24"/>
                <w:lang w:eastAsia="zh-CN"/>
                <w14:textFill>
                  <w14:solidFill>
                    <w14:schemeClr w14:val="tx1"/>
                  </w14:solidFill>
                </w14:textFill>
              </w:rPr>
              <w:t>饮用水水源</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地为重点，推动实施全市</w:t>
            </w:r>
            <w:r>
              <w:rPr>
                <w:rFonts w:hint="eastAsia" w:eastAsia="文星仿宋" w:cs="Times New Roman"/>
                <w:color w:val="000000" w:themeColor="text1"/>
                <w:spacing w:val="0"/>
                <w:kern w:val="2"/>
                <w:sz w:val="24"/>
                <w:szCs w:val="24"/>
                <w:lang w:eastAsia="zh-CN"/>
                <w14:textFill>
                  <w14:solidFill>
                    <w14:schemeClr w14:val="tx1"/>
                  </w14:solidFill>
                </w14:textFill>
              </w:rPr>
              <w:t>饮用水水源</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地综合整治，完善水源地周边生活污水、生活垃圾治理体系，开展畜禽养殖污染整治、植被保护修复、水土流失治理、除险加固措施等，保障全市饮用水水源安全。</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各县</w:t>
            </w:r>
          </w:p>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（市、区）</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梅州市入河排污口综合整治</w:t>
            </w:r>
            <w:r>
              <w:rPr>
                <w:rFonts w:hint="eastAsia" w:eastAsia="文星仿宋" w:cs="Times New Roman"/>
                <w:color w:val="000000" w:themeColor="text1"/>
                <w:spacing w:val="0"/>
                <w:kern w:val="2"/>
                <w:sz w:val="24"/>
                <w:szCs w:val="24"/>
                <w:lang w:eastAsia="zh-CN"/>
                <w14:textFill>
                  <w14:solidFill>
                    <w14:schemeClr w14:val="tx1"/>
                  </w14:solidFill>
                </w14:textFill>
              </w:rPr>
              <w:t>工程</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按照</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查、测、溯、治</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的要求，开展各县（市、区）入河湖排污口排查整治，对入河排水沟渠流域的村庄实施农村人居环境综合整治。</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10000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各县</w:t>
            </w:r>
          </w:p>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（市、区）</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5"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4</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五华县水污染防治项目</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实施五华县42个水塘污染防治改造；韩江上游琴江河流域（华兴大桥至汇合口段）生态湿地、滨水驳岸带建设；梅江流域（汇合口至布头村段）生态湿地、滨水驳岸带建设；韩江上游琴江流域（五联村至济广高速段）水生植物修复，生态壅水坝建设。完善污水配套管网和垃圾收运设施，开展农村小水系、水渠生态修复，实施农村黑臭水体环境综合整治。</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15000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五华县</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w:t>
            </w:r>
          </w:p>
        </w:tc>
        <w:tc>
          <w:tcPr>
            <w:tcW w:w="709" w:type="dxa"/>
            <w:vMerge w:val="restart"/>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水</w:t>
            </w: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梅江区水环境综合整治工程</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实施梅江区西阳镇白宫河、长沙圩镇段水环境综合整治。</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10000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梅江区</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6</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梅县区水环境综合整治工程</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开展程江、南口水、石窟河等17条河流以及梅西水库、水车镇安美水库等2个水库排污口（排水口）排查，建立入河排污口名录，制定实施整治方案，分类整治。</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15000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梅县区</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7</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平远县水环境综合整治工程</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以河头镇为重点，推进水环境综合治理。主要包括：（1）生态修复净化工程；（2）农村生活污水治理设施建设工程；（3）农村生活污水管网工程；（4）生活垃圾治理；（5）功能型生态景观河岸工程。</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平远县</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8</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兴宁市水环境综合整治工程</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⒈农村生活污水治理工程：在兴宁市农村生活污水摸排成果基础上对水质现状差、需要建设村级污水处理设施的村建设污水处理设施；⒉畜禽养殖污染防治工程：对沿河两岸分布的规模化以下的养殖户通过以奖促治方式鼓励养殖户建设养殖废水处理设施；⒊水生态修复工程：东排沟、曾坑河、下西沟实施水生态修复工程，在实施清淤工程的基础上种植沉水植物，逐步恢复河道水生生物和生态系统。</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10000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兴宁市</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9</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蕉岭县水环境综合整治工程</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实施蕉岭县石窟河流域、松源河流域等重点流域环境综合整治，完善污水治理设施。</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35000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蕉岭县</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10</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大埔县水环境综合整治工程</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⒈建设65座污水处理设施，管网42300m；⒉清理整治沿河两岸禁养区内的养殖场，全面完成禁养区内畜禽养殖业搬迁、关闭工作；⒊完善生活垃圾转运设施；⒋实施河道垃圾清理整治工程；⒌建设种植业面源污染整治示范工程。</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9800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2021—2023</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11</w:t>
            </w:r>
          </w:p>
        </w:tc>
        <w:tc>
          <w:tcPr>
            <w:tcW w:w="709" w:type="dxa"/>
            <w:vMerge w:val="restart"/>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水</w:t>
            </w: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梅州市清洁小流域治理工程</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实施各县（市、区）清洁小流域治理，包括梅江区群益村、平远县稔田河楼前段、大埔县西河镇、丰顺县潭江溪、五华县大都河（联新片）、蕉岭县徐溪河等小流域，主要包括治理水土流失、整治河道、营造水土保持林等任务。</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100000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各县</w:t>
            </w:r>
          </w:p>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（市、区）</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12</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广东梅州经济开发区废水处理设施提标改造项目</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⒈园区现有污水处理厂废水处理量增加8000吨/天，处理能力由1.2万吨/天扩大到2万吨/天。⒉对东升园区现有工业污水管网进行改造、新建东升园区二期污水管网和周边工业污水管网。⒊拟建设一个5000吨中转池和一个5000吨应急池，建设一套生活污水收集管网，单独收集开发区内各企业的生活污水。</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24000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梅江区</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13</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梅县区污水处理设施建设及配套管网完善工程</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4"/>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4"/>
                <w:kern w:val="2"/>
                <w:sz w:val="24"/>
                <w:szCs w:val="24"/>
                <w14:textFill>
                  <w14:solidFill>
                    <w14:schemeClr w14:val="tx1"/>
                  </w14:solidFill>
                </w14:textFill>
              </w:rPr>
              <w:t>⒈梅县新城水质净化厂扩容2万吨/天处理能力，新建江北污水处理厂及配套管网。⒉完善梅县区华侨城片区、大新城片区、梅县新城西片区、高铁片区和槐岗片区雨污分流排水系统。⒊完善16个镇22座镇级污水处理厂及配套集污管网。</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57500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梅县区</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9"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14</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平远县县城排水排污改造工程</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建设环北路、梅青路、鸿禧中新城南侧道路、柘东路、平城南路等道路的雨污分流管网系统，以及平远县教师村柘东路口至大柘河截污管口污水管网项目等。</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18000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平远县</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15</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蕉岭县蕉城污水处理厂提标改造及长潭片区污水管网建设工程</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蕉城污水处理厂的出水水质指标由一级B提高到一级A，完善城区污水管网体系，解决污水厂进水浓度偏低和沿线各排水单元污水的收集等问题；在长潭片区铺设5公里集污管，收集区域内居民生活污水。</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28800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蕉岭县</w:t>
            </w:r>
          </w:p>
        </w:tc>
        <w:tc>
          <w:tcPr>
            <w:tcW w:w="993"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2021—2022</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16</w:t>
            </w:r>
          </w:p>
        </w:tc>
        <w:tc>
          <w:tcPr>
            <w:tcW w:w="709" w:type="dxa"/>
            <w:vMerge w:val="restart"/>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水</w:t>
            </w: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大埔县截污管网建设工程</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⒈大埔县城区截污管网建设，拟建2万吨/日的水质净化厂配套污水管网，建设污水管网总长度约13200米，其中梅潭河左岸6700米，右岸6500米。⒉大埔县镇级垃圾中转站污水管网建设，县各镇14个垃圾中转站新建污水收集池，铺设污水管网到镇级污水处理厂，对中转站产生的废水进行系统收集处理。⒊大埔县镇村污水管网建设，新建镇级污水管网71公里，村级污水管网378公里。</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50000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17</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丰顺县污水处理厂管网建设工程（第二期）</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改造市政大道、内岭路、东二市、湖下片区、榕江北河河底、实验中学等集污管网约30公里。</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26500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丰顺县</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18</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五华县城污水处理厂三期扩建及配套管网工程</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厂区三期扩建工程（新增污水处理能力4万吨/日）、厂区二期提标工程（2万吨/日）、新建提升泵站一座及配套污水管网约10.6公里、厂外泵站改造等。</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25600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五华县</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2020—2021</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19</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五华县镇级污水处理设施及配套管网（二期）工程</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新建华城、安流、棉洋污水厂，新增建设污水管网43公里。</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31000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五华县</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梅州市碧道建设工程</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按照《梅州市碧道建设总体规划（2019—2035）》，</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十四五</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碧道建设新增200公里以上，建设两边亲水步道、碧道休闲带，实施水环境治理、岸坡生态化改造等。</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100000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各县</w:t>
            </w:r>
          </w:p>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（市、区）</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21</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河流生态流量管控项目</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对主要河流、电站安装流量监控设施。科学确定生态流量，加强江河湖库水量调度管理，维持河湖生态用水需求，重点保障枯水期生态基流。</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各县</w:t>
            </w:r>
          </w:p>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（市、区）</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2020—2025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22</w:t>
            </w:r>
          </w:p>
        </w:tc>
        <w:tc>
          <w:tcPr>
            <w:tcW w:w="709" w:type="dxa"/>
            <w:vMerge w:val="restart"/>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大气</w:t>
            </w:r>
          </w:p>
        </w:tc>
        <w:tc>
          <w:tcPr>
            <w:tcW w:w="204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挥发性有机物综合治理</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⒈涉VOCs企业深度治理项目资金奖补，主要包括：</w:t>
            </w:r>
            <w:r>
              <w:rPr>
                <w:rFonts w:hint="default"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1）原辅材料改造；</w:t>
            </w:r>
            <w:r>
              <w:rPr>
                <w:rFonts w:hint="default"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2）治理设施技术升级。</w:t>
            </w:r>
          </w:p>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⒉梅州市城区加油站、汽车维护挥发性有机物管控项目。</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3900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23</w:t>
            </w:r>
          </w:p>
        </w:tc>
        <w:tc>
          <w:tcPr>
            <w:tcW w:w="709" w:type="dxa"/>
            <w:vMerge w:val="continue"/>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钢铁及水泥行业超低排放治理工程示范项目</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指导钢铁及水泥行业超低排放治理改造，主要包括：</w:t>
            </w:r>
          </w:p>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1）完成超低排放治理工程的重点钢铁、水泥行业企业；</w:t>
            </w:r>
          </w:p>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2）按要求不需提标但企业自行完成超低排放治理工程的钢铁、水泥行业企业。</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24</w:t>
            </w:r>
          </w:p>
        </w:tc>
        <w:tc>
          <w:tcPr>
            <w:tcW w:w="709" w:type="dxa"/>
            <w:vMerge w:val="continue"/>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梅州市大气细颗粒物及臭氧源解析项目</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4"/>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4"/>
                <w:kern w:val="2"/>
                <w:sz w:val="24"/>
                <w:szCs w:val="24"/>
                <w14:textFill>
                  <w14:solidFill>
                    <w14:schemeClr w14:val="tx1"/>
                  </w14:solidFill>
                </w14:textFill>
              </w:rPr>
              <w:t>通过开展梅州市臭氧源解析项目，梳理梅州市臭氧污染特征现状，分析臭氧污染成因同时进行臭氧来源解析，为梅州市大气污染综合防治和空气质量持续改善提供科技支撑。</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680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25</w:t>
            </w:r>
          </w:p>
        </w:tc>
        <w:tc>
          <w:tcPr>
            <w:tcW w:w="709" w:type="dxa"/>
            <w:vMerge w:val="continue"/>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污染天气应急应对</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建立应急视频会议系统；机动车路检路查；非道路移动机械检查和录入；柴油车重点用车大户入户调查；全市污染天气应急洒水喷雾应对工作；加油站大气污染防治措施排查及黑加油站检查；应急应对企业落实情况入户调查；走航监测。</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8000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26</w:t>
            </w:r>
          </w:p>
        </w:tc>
        <w:tc>
          <w:tcPr>
            <w:tcW w:w="709" w:type="dxa"/>
            <w:vMerge w:val="continue"/>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梅县区工业炉窑综合整治工程</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实施企业工业炉窑燃料清洁低碳化代替、废气治理设施升级改造、全过程无组织排放管控工程。</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梅县区</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27</w:t>
            </w:r>
          </w:p>
        </w:tc>
        <w:tc>
          <w:tcPr>
            <w:tcW w:w="709" w:type="dxa"/>
            <w:vMerge w:val="restart"/>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土壤</w:t>
            </w:r>
          </w:p>
        </w:tc>
        <w:tc>
          <w:tcPr>
            <w:tcW w:w="204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梅州市土壤污染状况调查项目</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对用途拟变更为住宅、公共管理与公共服务用地的地块开展土壤污染状况调查，编制土壤污染状况调查报告。</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28</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梅州市土壤环境背景值调查项目</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选择梅州市城市不同土壤类型分布区、自然植被覆盖区等不同区域开展梅州市区域土壤背景值调查。</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800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2021—2022</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29</w:t>
            </w:r>
          </w:p>
        </w:tc>
        <w:tc>
          <w:tcPr>
            <w:tcW w:w="709" w:type="dxa"/>
            <w:vMerge w:val="restart"/>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土壤</w:t>
            </w: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梅州市地下水基础环境状况调查评估以及</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双源</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地下水状况调查项目</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按照国家、省的有关要求开展梅州市地下水基础环境状况调查评估工作，重点对</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双源</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地下水型集中式饮用水水源和重点污染源（区域）地下水环境监测现状调查。</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3800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30</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4"/>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4"/>
                <w:kern w:val="2"/>
                <w:sz w:val="24"/>
                <w:szCs w:val="24"/>
                <w14:textFill>
                  <w14:solidFill>
                    <w14:schemeClr w14:val="tx1"/>
                  </w14:solidFill>
                </w14:textFill>
              </w:rPr>
              <w:t>梅州市耕地安全利用与耕地土壤污染修复工程项目</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⒈受污染耕地安全利用与治理修复；⒉以效果承包的第三方治理模式开展安全利用；⒊调整种植结构。</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13200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4"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31</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梅州市土壤污染风险管控和修复项目</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按照国家有关规定开展风险管控或修复措施，编制风险管控或修复方案，风险管控、修复活动完成后对风险管控效果、修复效果进行评估，编制风险管控效果、修复效果评估报告。</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6000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7"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32</w:t>
            </w:r>
          </w:p>
        </w:tc>
        <w:tc>
          <w:tcPr>
            <w:tcW w:w="709" w:type="dxa"/>
            <w:vMerge w:val="restart"/>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固废</w:t>
            </w: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梅州市工业废物管理服务项目</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建设危险废物处理总规模15万吨/年。其中一期：建设回转窑焚烧处理3万吨/年，等离子体处理1万吨/年，配套安全填埋场3万吨/年；二期：建设回转窑焚烧处理3万吨/年，配套安全填埋场5万吨/年。</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75000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梅江区</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33</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含铜污泥综合利用项目</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处理产生于表面处理、线路板、电镀行业废水处理过程中产生的含铜污泥等，综合利用含铜污泥约10万吨/年，综合处理蚀刻液约1万吨/年。</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8000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梅江区</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34</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梅州市新建医疗废弃物无害化处理项目</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新增建设两条15吨/天的医疗废物焚烧处置生产线，项目建成后医疗废物处置能力总规模约1万吨/年。</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梅江区</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35</w:t>
            </w:r>
          </w:p>
        </w:tc>
        <w:tc>
          <w:tcPr>
            <w:tcW w:w="709" w:type="dxa"/>
            <w:vMerge w:val="restart"/>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固废</w:t>
            </w:r>
          </w:p>
        </w:tc>
        <w:tc>
          <w:tcPr>
            <w:tcW w:w="204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丰顺县一般工业固体废物综合处理处置中心</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建设一般工业固废处理处置中心，处理包括钢渣、水渣、铁渣、煤矸石、矿渣、木屑、药渣、废纸等。</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丰顺县</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2020—2025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36</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梅州市环保能源（生活垃圾焚烧）发电项目协同处置厨余垃圾技术改造项目</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配套建设一个</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固液分离</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设施，将城区收集厨余垃圾通过</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固液分离</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技术与生活垃圾焚烧项目协同处置，处理规模初步设计100吨/日 。</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梅江区</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37</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梅州市环保能源（生活垃圾焚烧）发电项目（二期）</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改扩建现有生活垃圾焚烧发电项目，新增处理规模500吨/天。</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30000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梅江区</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2022—2025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6"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38</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梅州城区建筑废弃物资源化综合利用项目（西阳处理中心）</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新建一条建筑垃圾处理生产线、一条混凝土砌块生产线、配套设施包括建筑废弃物堆场、水暖配套设施等。西阳处理中心建成后年产30万吨再生砂、10万吨建筑用石、1亿块（拆标）混凝土砌块、100万吨可用于水泥厂掺合料、陶粒混凝土等其他制品骨料。</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23000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梅江区</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2022—2025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39</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梅州城区建筑废弃物资源化综合利用项目（长沙处理中心）</w:t>
            </w:r>
          </w:p>
        </w:tc>
        <w:tc>
          <w:tcPr>
            <w:tcW w:w="6181" w:type="dxa"/>
            <w:shd w:val="clear" w:color="auto" w:fill="auto"/>
            <w:vAlign w:val="center"/>
          </w:tcPr>
          <w:p>
            <w:pPr>
              <w:widowControl/>
              <w:adjustRightInd w:val="0"/>
              <w:snapToGrid w:val="0"/>
              <w:spacing w:line="34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年处理150万吨建筑废弃物。建设泥浆、渣土处理生产线、建筑垃圾处理生产线、混凝土砌块生产线和两条新型墙体烧结砖（折标砖）生产线。</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17000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梅江区</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2020—2025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40</w:t>
            </w:r>
          </w:p>
        </w:tc>
        <w:tc>
          <w:tcPr>
            <w:tcW w:w="709" w:type="dxa"/>
            <w:vMerge w:val="restart"/>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固废</w:t>
            </w:r>
          </w:p>
        </w:tc>
        <w:tc>
          <w:tcPr>
            <w:tcW w:w="2041" w:type="dxa"/>
            <w:shd w:val="clear" w:color="auto" w:fill="auto"/>
            <w:vAlign w:val="center"/>
          </w:tcPr>
          <w:p>
            <w:pPr>
              <w:widowControl/>
              <w:adjustRightInd w:val="0"/>
              <w:snapToGrid w:val="0"/>
              <w:spacing w:line="30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蕉岭县水泥窑硅铝铁质固废替代原（燃）料资源综合利用技改项目</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建设30万吨/年水泥窑硅铝铁质固废替代原（燃）料产线，处理高铝废灰渣、高铁废灰渣等硅铝铁质固废。</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16000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蕉岭县</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2021—2022</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41</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0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大埔县建筑淤泥渣土、建筑及陶瓷垃圾综合处理环保项目</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新建建筑淤泥渣土、建筑垃圾、陶瓷垃圾堆场，主要进行资源化处理，年处理量约200万吨。</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2021—2022</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42</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00" w:lineRule="exact"/>
              <w:ind w:firstLine="0" w:firstLineChars="0"/>
              <w:rPr>
                <w:rFonts w:hint="default" w:ascii="Times New Roman" w:hAnsi="Times New Roman" w:eastAsia="文星仿宋" w:cs="Times New Roman"/>
                <w:color w:val="000000" w:themeColor="text1"/>
                <w:spacing w:val="-6"/>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6"/>
                <w:kern w:val="2"/>
                <w:sz w:val="24"/>
                <w:szCs w:val="24"/>
                <w14:textFill>
                  <w14:solidFill>
                    <w14:schemeClr w14:val="tx1"/>
                  </w14:solidFill>
                </w14:textFill>
              </w:rPr>
              <w:t>兴宁市畜禽养殖废弃物资源化利用</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对兴宁市规模以上畜禽养殖场废弃物资处理设施、设备进行升级改造。</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30000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兴宁市</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43</w:t>
            </w:r>
          </w:p>
        </w:tc>
        <w:tc>
          <w:tcPr>
            <w:tcW w:w="709" w:type="dxa"/>
            <w:vMerge w:val="continue"/>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00" w:lineRule="exact"/>
              <w:ind w:firstLine="0" w:firstLineChars="0"/>
              <w:rPr>
                <w:rFonts w:hint="default" w:ascii="Times New Roman" w:hAnsi="Times New Roman" w:eastAsia="文星仿宋" w:cs="Times New Roman"/>
                <w:color w:val="000000" w:themeColor="text1"/>
                <w:spacing w:val="-6"/>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6"/>
                <w:kern w:val="2"/>
                <w:sz w:val="24"/>
                <w:szCs w:val="24"/>
                <w14:textFill>
                  <w14:solidFill>
                    <w14:schemeClr w14:val="tx1"/>
                  </w14:solidFill>
                </w14:textFill>
              </w:rPr>
              <w:t>兴宁市静脉产业园项目（二期工程）</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餐厨垃圾处理厂建设规模为25吨/日；建筑垃圾消纳场建设规模为200立方米/日。</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16390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兴宁市</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2025—2025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44</w:t>
            </w:r>
          </w:p>
        </w:tc>
        <w:tc>
          <w:tcPr>
            <w:tcW w:w="709" w:type="dxa"/>
            <w:vMerge w:val="restart"/>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农村</w:t>
            </w:r>
          </w:p>
        </w:tc>
        <w:tc>
          <w:tcPr>
            <w:tcW w:w="2041" w:type="dxa"/>
            <w:shd w:val="clear" w:color="auto" w:fill="auto"/>
            <w:vAlign w:val="center"/>
          </w:tcPr>
          <w:p>
            <w:pPr>
              <w:widowControl/>
              <w:adjustRightInd w:val="0"/>
              <w:snapToGrid w:val="0"/>
              <w:spacing w:line="300" w:lineRule="exact"/>
              <w:ind w:firstLine="0" w:firstLineChars="0"/>
              <w:rPr>
                <w:rFonts w:hint="default" w:ascii="Times New Roman" w:hAnsi="Times New Roman" w:eastAsia="文星仿宋" w:cs="Times New Roman"/>
                <w:color w:val="000000" w:themeColor="text1"/>
                <w:spacing w:val="-4"/>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4"/>
                <w:kern w:val="2"/>
                <w:sz w:val="24"/>
                <w:szCs w:val="24"/>
                <w14:textFill>
                  <w14:solidFill>
                    <w14:schemeClr w14:val="tx1"/>
                  </w14:solidFill>
                </w14:textFill>
              </w:rPr>
              <w:t>蕉岭县农村人居环境综合整治项目</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实施农村生态环境保护基础设施建设，对农村大气、水体、土壤进行综合整治。</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蕉岭县</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45</w:t>
            </w:r>
          </w:p>
        </w:tc>
        <w:tc>
          <w:tcPr>
            <w:tcW w:w="709" w:type="dxa"/>
            <w:vMerge w:val="continue"/>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0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大埔县三河镇乡村振兴示范区建设项目</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4"/>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4"/>
                <w:kern w:val="2"/>
                <w:sz w:val="24"/>
                <w:szCs w:val="24"/>
                <w14:textFill>
                  <w14:solidFill>
                    <w14:schemeClr w14:val="tx1"/>
                  </w14:solidFill>
                </w14:textFill>
              </w:rPr>
              <w:t>围绕特色精品村标准的创建要求，实施连片农村环境综合整治、雨污分流工程建设、垃圾综合处理、公厕提升工程等。</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2021—2023</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46</w:t>
            </w:r>
          </w:p>
        </w:tc>
        <w:tc>
          <w:tcPr>
            <w:tcW w:w="709" w:type="dxa"/>
            <w:vMerge w:val="continue"/>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0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大埔县环境连片综合整治工程</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6"/>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6"/>
                <w:kern w:val="2"/>
                <w:sz w:val="24"/>
                <w:szCs w:val="24"/>
                <w14:textFill>
                  <w14:solidFill>
                    <w14:schemeClr w14:val="tx1"/>
                  </w14:solidFill>
                </w14:textFill>
              </w:rPr>
              <w:t>对大埔县百侯镇—枫朗镇—光德镇—高陂镇、湖寮镇双坑村—大安村—山子下村实施环境连片综合整治工程，主要包括环境综合整治、生活污水污水处理设施和截污管网建设工程、垃圾综合处理、农村道路综合提升工程等。</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3000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2021—2023</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7"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47</w:t>
            </w:r>
          </w:p>
        </w:tc>
        <w:tc>
          <w:tcPr>
            <w:tcW w:w="709" w:type="dxa"/>
            <w:vMerge w:val="continue"/>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0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兴宁市宁中镇鸭桥村黑臭水体整治项目</w:t>
            </w:r>
          </w:p>
        </w:tc>
        <w:tc>
          <w:tcPr>
            <w:tcW w:w="6181" w:type="dxa"/>
            <w:shd w:val="clear" w:color="auto" w:fill="auto"/>
            <w:vAlign w:val="center"/>
          </w:tcPr>
          <w:p>
            <w:pPr>
              <w:widowControl/>
              <w:adjustRightInd w:val="0"/>
              <w:snapToGrid w:val="0"/>
              <w:spacing w:line="32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主要建设内容为水沟清淤工程、截污管网工程和污水处理工程。</w:t>
            </w:r>
          </w:p>
        </w:tc>
        <w:tc>
          <w:tcPr>
            <w:tcW w:w="1134"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350</w:t>
            </w:r>
          </w:p>
        </w:tc>
        <w:tc>
          <w:tcPr>
            <w:tcW w:w="1275"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兴宁市</w:t>
            </w:r>
          </w:p>
        </w:tc>
        <w:tc>
          <w:tcPr>
            <w:tcW w:w="993" w:type="dxa"/>
            <w:shd w:val="clear" w:color="auto" w:fill="auto"/>
            <w:vAlign w:val="center"/>
          </w:tcPr>
          <w:p>
            <w:pPr>
              <w:widowControl/>
              <w:adjustRightInd w:val="0"/>
              <w:snapToGrid w:val="0"/>
              <w:spacing w:line="32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2022—2025</w:t>
            </w:r>
          </w:p>
        </w:tc>
        <w:tc>
          <w:tcPr>
            <w:tcW w:w="1559" w:type="dxa"/>
            <w:shd w:val="clear" w:color="auto" w:fill="auto"/>
            <w:vAlign w:val="center"/>
          </w:tcPr>
          <w:p>
            <w:pPr>
              <w:widowControl/>
              <w:adjustRightInd w:val="0"/>
              <w:snapToGrid w:val="0"/>
              <w:spacing w:line="32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48</w:t>
            </w:r>
          </w:p>
        </w:tc>
        <w:tc>
          <w:tcPr>
            <w:tcW w:w="709" w:type="dxa"/>
            <w:vMerge w:val="restart"/>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生态</w:t>
            </w: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平远县矿山生态修复项目</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⒈实施平远县东石废弃矿山生态修复工程；</w:t>
            </w:r>
          </w:p>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⒉对仁居五福石场、石正镇神子下石场、平远县华企稀土实业有限公司黄畲稀土矿、广东建艺石材有限公司木溪石场等20个露天矿山实施生态修复。</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45000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平远县</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3"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49</w:t>
            </w:r>
          </w:p>
        </w:tc>
        <w:tc>
          <w:tcPr>
            <w:tcW w:w="709" w:type="dxa"/>
            <w:vMerge w:val="continue"/>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兴宁市矿山生态修复项目</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⒈实施兴宁市铁山嶂废弃矿区生态综合治理修复工程；</w:t>
            </w:r>
          </w:p>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⒉实施大坪镇河岭矿区、黄塘矿区、社背坑矿区三个废弃稀土矿区整治修复。</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58000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兴宁市</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6"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50</w:t>
            </w:r>
          </w:p>
        </w:tc>
        <w:tc>
          <w:tcPr>
            <w:tcW w:w="709" w:type="dxa"/>
            <w:vMerge w:val="continue"/>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丰顺县废弃稀土瓷土矿山生态恢复治理工程</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八乡山镇马山村废弃稀土矿区和留隍镇长林村非法开采瓷土矿区开展开挖区和堆浸区场地平整、客土覆土、植树/喷播复绿、植被养护，实现矿山地质环境治理恢复面积10.05公顷。</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2300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丰顺县</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2021—2023</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51</w:t>
            </w:r>
          </w:p>
        </w:tc>
        <w:tc>
          <w:tcPr>
            <w:tcW w:w="709" w:type="dxa"/>
            <w:vMerge w:val="continue"/>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五华县五华河、琴江河流域废弃矿山治理工程</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对五华河与琴江流域范围内废弃稀土矿场和采石场开展土地整理、区域生态恢复、监测避让等工程，清理废弃矿场渣土和渣石，修复边坡和坡脚植被、铺设灌排系统等；对区域进行生态复绿，恢复山体生态功能。</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23000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五华县</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2021—2023</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52</w:t>
            </w:r>
          </w:p>
        </w:tc>
        <w:tc>
          <w:tcPr>
            <w:tcW w:w="709" w:type="dxa"/>
            <w:vMerge w:val="continue"/>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大埔县矿山生态修复项目</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⒈实施大埔县范围内7个乡镇共11个废弃石场、瓷土、稀土及金属矿山生态治理恢复；</w:t>
            </w:r>
          </w:p>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⒉实施大埔县茶阳石燕坑铅锌矿污染源整治及生态修复。</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12700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2021—2023</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53</w:t>
            </w:r>
          </w:p>
        </w:tc>
        <w:tc>
          <w:tcPr>
            <w:tcW w:w="709" w:type="dxa"/>
            <w:vMerge w:val="restart"/>
            <w:shd w:val="clear" w:color="auto" w:fill="auto"/>
            <w:vAlign w:val="center"/>
          </w:tcPr>
          <w:p>
            <w:pPr>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生态</w:t>
            </w: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平远县自然保护地建设工程</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4"/>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4"/>
                <w:kern w:val="2"/>
                <w:sz w:val="24"/>
                <w:szCs w:val="24"/>
                <w14:textFill>
                  <w14:solidFill>
                    <w14:schemeClr w14:val="tx1"/>
                  </w14:solidFill>
                </w14:textFill>
              </w:rPr>
              <w:t>⒈开展各类自然保护地勘界立标、科学考察及总体规划等基础工作，开展重点区域的生物多样性保护、栖息地保护和生态廊道恢复等工作。</w:t>
            </w:r>
          </w:p>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4"/>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4"/>
                <w:kern w:val="2"/>
                <w:sz w:val="24"/>
                <w:szCs w:val="24"/>
                <w14:textFill>
                  <w14:solidFill>
                    <w14:schemeClr w14:val="tx1"/>
                  </w14:solidFill>
                </w14:textFill>
              </w:rPr>
              <w:t>⒉实施河岭嶂市级自然保护区生态保护提升工程。</w:t>
            </w:r>
          </w:p>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4"/>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4"/>
                <w:kern w:val="2"/>
                <w:sz w:val="24"/>
                <w:szCs w:val="24"/>
                <w14:textFill>
                  <w14:solidFill>
                    <w14:schemeClr w14:val="tx1"/>
                  </w14:solidFill>
                </w14:textFill>
              </w:rPr>
              <w:t>⒊实施五指石地质公园环境保护建设工程。</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6900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平远县</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54</w:t>
            </w:r>
          </w:p>
        </w:tc>
        <w:tc>
          <w:tcPr>
            <w:tcW w:w="709" w:type="dxa"/>
            <w:vMerge w:val="continue"/>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大埔县自然保护地建设工程</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开展各类自然保护地勘界立标、科学考察及总体规划等基础工作，开展重点区域的生物多样性保护、栖息地保护和生态廊道恢复等工作。</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3400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大埔县</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2021—2023</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55</w:t>
            </w:r>
          </w:p>
        </w:tc>
        <w:tc>
          <w:tcPr>
            <w:tcW w:w="709" w:type="dxa"/>
            <w:vMerge w:val="continue"/>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丰顺县自然保护区管理建设</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完成6个自然保护区勘界立标、科学考察、总体规划项目。</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1000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丰顺县</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2021—2023</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56</w:t>
            </w:r>
          </w:p>
        </w:tc>
        <w:tc>
          <w:tcPr>
            <w:tcW w:w="709" w:type="dxa"/>
            <w:vMerge w:val="continue"/>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森林抚育工程</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实施森林抚育工程，开展人工纯林、桉树林、低效纯松林改造，建设高质量水源涵养林。</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20000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各县</w:t>
            </w:r>
          </w:p>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（市、区）</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57</w:t>
            </w:r>
          </w:p>
        </w:tc>
        <w:tc>
          <w:tcPr>
            <w:tcW w:w="709" w:type="dxa"/>
            <w:vMerge w:val="continue"/>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五华县牛肝地生态修复工程</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通过多种技术措施，对牛肝土进行生态修复。</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8000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五华县</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2021—2023</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58</w:t>
            </w:r>
          </w:p>
        </w:tc>
        <w:tc>
          <w:tcPr>
            <w:tcW w:w="709" w:type="dxa"/>
            <w:vMerge w:val="continue"/>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崩岗治理工程</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实施崩岗综合治理工程400座以上，完成相应水土流失治理任务。</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24000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各县</w:t>
            </w:r>
          </w:p>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（市、区）</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59</w:t>
            </w:r>
          </w:p>
        </w:tc>
        <w:tc>
          <w:tcPr>
            <w:tcW w:w="709" w:type="dxa"/>
            <w:vMerge w:val="restart"/>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能力建设</w:t>
            </w: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环境监测基础能力建设工程</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各县（市、区）监测站实验室升级改造，老旧仪器淘汰，监测仪器更新及购置，提升基础环境监测能力。</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10000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各县</w:t>
            </w:r>
          </w:p>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（市、区）</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60</w:t>
            </w:r>
          </w:p>
        </w:tc>
        <w:tc>
          <w:tcPr>
            <w:tcW w:w="709" w:type="dxa"/>
            <w:vMerge w:val="continue"/>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环境质量监测网络建设工程</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完善梅州市生态环境监测网络，按要求优化调整地表水、大气、土壤和地下水、噪声等环境监测点位布设，开展监测、质控等工作。</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各县</w:t>
            </w:r>
          </w:p>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（市、区）</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61</w:t>
            </w:r>
          </w:p>
        </w:tc>
        <w:tc>
          <w:tcPr>
            <w:tcW w:w="709" w:type="dxa"/>
            <w:vMerge w:val="restart"/>
            <w:shd w:val="clear" w:color="auto" w:fill="auto"/>
            <w:vAlign w:val="center"/>
          </w:tcPr>
          <w:p>
            <w:pPr>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能力建设</w:t>
            </w: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环境执法与应急能力建设工程</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开展执法能力建设、应急能力标准化建设等工作，主要包括执法设备、应急监测设备、应急装备更新及购置，提升环境执法与应急监测能力。</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9000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各县</w:t>
            </w:r>
          </w:p>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（市、区）</w:t>
            </w:r>
          </w:p>
        </w:tc>
        <w:tc>
          <w:tcPr>
            <w:tcW w:w="993" w:type="dxa"/>
            <w:shd w:val="clear" w:color="auto" w:fill="auto"/>
            <w:vAlign w:val="center"/>
          </w:tcPr>
          <w:p>
            <w:pPr>
              <w:widowControl/>
              <w:adjustRightInd w:val="0"/>
              <w:snapToGrid w:val="0"/>
              <w:spacing w:line="360" w:lineRule="exact"/>
              <w:ind w:firstLine="0" w:firstLineChars="0"/>
              <w:jc w:val="both"/>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62</w:t>
            </w:r>
          </w:p>
        </w:tc>
        <w:tc>
          <w:tcPr>
            <w:tcW w:w="709" w:type="dxa"/>
            <w:vMerge w:val="continue"/>
            <w:shd w:val="clear" w:color="auto" w:fill="auto"/>
            <w:vAlign w:val="center"/>
          </w:tcPr>
          <w:p>
            <w:pPr>
              <w:adjustRightInd w:val="0"/>
              <w:snapToGrid w:val="0"/>
              <w:spacing w:line="360" w:lineRule="exact"/>
              <w:ind w:firstLine="47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环境大数据综合管理应用及环境预警综合管理系统建设</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2"/>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2"/>
                <w:kern w:val="2"/>
                <w:sz w:val="24"/>
                <w:szCs w:val="24"/>
                <w14:textFill>
                  <w14:solidFill>
                    <w14:schemeClr w14:val="tx1"/>
                  </w14:solidFill>
                </w14:textFill>
              </w:rPr>
              <w:t>整合现有水、大气、土壤、固废等生态环境管理平台，建设环境质量综合管理平台、生态视窗平台、污染物综合管理系统、污染防治可视化决策系统，提升智慧环保管理能力。</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3500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63</w:t>
            </w:r>
          </w:p>
        </w:tc>
        <w:tc>
          <w:tcPr>
            <w:tcW w:w="709" w:type="dxa"/>
            <w:vMerge w:val="continue"/>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大气环境监管能力提升</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⒈建设大气污染源综合管控平台；</w:t>
            </w:r>
          </w:p>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⒉建设</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天地车人</w:t>
            </w:r>
            <w:r>
              <w:rPr>
                <w:rFonts w:hint="eastAsia" w:ascii="Times New Roman" w:hAnsi="Times New Roman" w:eastAsia="文星仿宋" w:cs="Times New Roman"/>
                <w:color w:val="000000" w:themeColor="text1"/>
                <w:spacing w:val="0"/>
                <w:kern w:val="2"/>
                <w:sz w:val="24"/>
                <w:szCs w:val="24"/>
                <w:lang w:eastAsia="zh-CN"/>
                <w14:textFill>
                  <w14:solidFill>
                    <w14:schemeClr w14:val="tx1"/>
                  </w14:solidFill>
                </w14:textFill>
              </w:rPr>
              <w:t>”</w:t>
            </w: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一体化机动车排放监控系统。</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7600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2021—2025</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64</w:t>
            </w:r>
          </w:p>
        </w:tc>
        <w:tc>
          <w:tcPr>
            <w:tcW w:w="709" w:type="dxa"/>
            <w:vMerge w:val="continue"/>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广东梅州经济开发区环保基础设施—重点企业废气监管平台项目</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建设广东梅州经济开发区重点企业废气排放在线监管平台，并涵盖后续平台升级维护。</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1000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2021—2022</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65</w:t>
            </w:r>
          </w:p>
        </w:tc>
        <w:tc>
          <w:tcPr>
            <w:tcW w:w="709" w:type="dxa"/>
            <w:vMerge w:val="continue"/>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4"/>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4"/>
                <w:kern w:val="2"/>
                <w:sz w:val="24"/>
                <w:szCs w:val="24"/>
                <w14:textFill>
                  <w14:solidFill>
                    <w14:schemeClr w14:val="tx1"/>
                  </w14:solidFill>
                </w14:textFill>
              </w:rPr>
              <w:t>梅州市核与辐射监测能力建设项目</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购买专业辐射监测相关仪器以及辐射防护设备和设备维护、专业技术人员培训等</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500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2021—2022</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67"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66</w:t>
            </w:r>
          </w:p>
        </w:tc>
        <w:tc>
          <w:tcPr>
            <w:tcW w:w="709" w:type="dxa"/>
            <w:vMerge w:val="continue"/>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p>
        </w:tc>
        <w:tc>
          <w:tcPr>
            <w:tcW w:w="204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梅州市电磁环境质量现状调查及优化布点项目</w:t>
            </w:r>
          </w:p>
        </w:tc>
        <w:tc>
          <w:tcPr>
            <w:tcW w:w="6181" w:type="dxa"/>
            <w:shd w:val="clear" w:color="auto" w:fill="auto"/>
            <w:vAlign w:val="center"/>
          </w:tcPr>
          <w:p>
            <w:pPr>
              <w:widowControl/>
              <w:adjustRightInd w:val="0"/>
              <w:snapToGrid w:val="0"/>
              <w:spacing w:line="360" w:lineRule="exact"/>
              <w:ind w:firstLine="0" w:firstLineChars="0"/>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对可能存在电磁辐射污染的点位如广播电视发射台、移动通信基站、高压输电线路系统、工科医电磁设施等的周围进行电磁环境质量调查。</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300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梅州市</w:t>
            </w:r>
          </w:p>
        </w:tc>
        <w:tc>
          <w:tcPr>
            <w:tcW w:w="993"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2021—2022</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color w:val="000000" w:themeColor="text1"/>
                <w:spacing w:val="0"/>
                <w:kern w:val="2"/>
                <w:sz w:val="24"/>
                <w:szCs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9498" w:type="dxa"/>
            <w:gridSpan w:val="4"/>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bCs/>
                <w:color w:val="000000" w:themeColor="text1"/>
                <w:spacing w:val="0"/>
                <w:kern w:val="2"/>
                <w:sz w:val="24"/>
                <w:szCs w:val="24"/>
                <w14:textFill>
                  <w14:solidFill>
                    <w14:schemeClr w14:val="tx1"/>
                  </w14:solidFill>
                </w14:textFill>
              </w:rPr>
              <w:t>合计</w:t>
            </w:r>
          </w:p>
        </w:tc>
        <w:tc>
          <w:tcPr>
            <w:tcW w:w="1134"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bCs/>
                <w:color w:val="000000" w:themeColor="text1"/>
                <w:spacing w:val="0"/>
                <w:kern w:val="2"/>
                <w:sz w:val="24"/>
                <w:szCs w:val="24"/>
                <w14:textFill>
                  <w14:solidFill>
                    <w14:schemeClr w14:val="tx1"/>
                  </w14:solidFill>
                </w14:textFill>
              </w:rPr>
              <w:t>1139520</w:t>
            </w:r>
          </w:p>
        </w:tc>
        <w:tc>
          <w:tcPr>
            <w:tcW w:w="1275"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bCs/>
                <w:color w:val="000000" w:themeColor="text1"/>
                <w:spacing w:val="0"/>
                <w:kern w:val="2"/>
                <w:sz w:val="24"/>
                <w:szCs w:val="24"/>
                <w14:textFill>
                  <w14:solidFill>
                    <w14:schemeClr w14:val="tx1"/>
                  </w14:solidFill>
                </w14:textFill>
              </w:rPr>
              <w:t>/</w:t>
            </w:r>
          </w:p>
        </w:tc>
        <w:tc>
          <w:tcPr>
            <w:tcW w:w="993"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bCs/>
                <w:color w:val="000000" w:themeColor="text1"/>
                <w:spacing w:val="0"/>
                <w:kern w:val="2"/>
                <w:sz w:val="24"/>
                <w:szCs w:val="24"/>
                <w14:textFill>
                  <w14:solidFill>
                    <w14:schemeClr w14:val="tx1"/>
                  </w14:solidFill>
                </w14:textFill>
              </w:rPr>
            </w:pPr>
            <w:r>
              <w:rPr>
                <w:rFonts w:hint="default" w:ascii="Times New Roman" w:hAnsi="Times New Roman" w:eastAsia="文星仿宋" w:cs="Times New Roman"/>
                <w:bCs/>
                <w:color w:val="000000" w:themeColor="text1"/>
                <w:spacing w:val="0"/>
                <w:kern w:val="2"/>
                <w:sz w:val="24"/>
                <w:szCs w:val="24"/>
                <w14:textFill>
                  <w14:solidFill>
                    <w14:schemeClr w14:val="tx1"/>
                  </w14:solidFill>
                </w14:textFill>
              </w:rPr>
              <w:t>/</w:t>
            </w:r>
          </w:p>
        </w:tc>
        <w:tc>
          <w:tcPr>
            <w:tcW w:w="1559" w:type="dxa"/>
            <w:shd w:val="clear" w:color="auto" w:fill="auto"/>
            <w:vAlign w:val="center"/>
          </w:tcPr>
          <w:p>
            <w:pPr>
              <w:widowControl/>
              <w:adjustRightInd w:val="0"/>
              <w:snapToGrid w:val="0"/>
              <w:spacing w:line="360" w:lineRule="exact"/>
              <w:ind w:firstLine="0" w:firstLineChars="0"/>
              <w:jc w:val="center"/>
              <w:rPr>
                <w:rFonts w:hint="default" w:ascii="Times New Roman" w:hAnsi="Times New Roman" w:eastAsia="文星仿宋" w:cs="Times New Roman"/>
                <w:bCs/>
                <w:color w:val="000000" w:themeColor="text1"/>
                <w:spacing w:val="0"/>
                <w:kern w:val="2"/>
                <w:sz w:val="24"/>
                <w:szCs w:val="24"/>
                <w14:textFill>
                  <w14:solidFill>
                    <w14:schemeClr w14:val="tx1"/>
                  </w14:solidFill>
                </w14:textFill>
              </w:rPr>
            </w:pPr>
          </w:p>
        </w:tc>
      </w:tr>
    </w:tbl>
    <w:p>
      <w:pPr>
        <w:spacing w:line="360" w:lineRule="exact"/>
        <w:ind w:firstLine="670"/>
        <w:rPr>
          <w:szCs w:val="32"/>
        </w:rPr>
      </w:pPr>
    </w:p>
    <w:p/>
    <w:sectPr>
      <w:endnotePr>
        <w:numFmt w:val="decimal"/>
      </w:endnotePr>
      <w:pgSz w:w="16840" w:h="11907" w:orient="landscape"/>
      <w:pgMar w:top="1588" w:right="2155" w:bottom="1474" w:left="1928" w:header="567" w:footer="1247" w:gutter="0"/>
      <w:cols w:space="720" w:num="1"/>
      <w:docGrid w:type="linesAndChars" w:linePitch="579"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72"/>
      </w:pPr>
      <w:r>
        <w:separator/>
      </w:r>
    </w:p>
  </w:endnote>
  <w:endnote w:type="continuationSeparator" w:id="1">
    <w:p>
      <w:pPr>
        <w:ind w:firstLine="6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穝灿砰">
    <w:altName w:val="宋体"/>
    <w:panose1 w:val="00000000000000000000"/>
    <w:charset w:val="01"/>
    <w:family w:val="auto"/>
    <w:pitch w:val="default"/>
    <w:sig w:usb0="00000000" w:usb1="00000000" w:usb2="00000000" w:usb3="00000000" w:csb0="00040001" w:csb1="00000000"/>
  </w:font>
  <w:font w:name="文星楷体">
    <w:altName w:val="宋体"/>
    <w:panose1 w:val="02010609000101010101"/>
    <w:charset w:val="86"/>
    <w:family w:val="modern"/>
    <w:pitch w:val="default"/>
    <w:sig w:usb0="00000000" w:usb1="00000000" w:usb2="00000000" w:usb3="00000000" w:csb0="00040000" w:csb1="00000000"/>
  </w:font>
  <w:font w:name="文星标宋">
    <w:altName w:val="微软雅黑"/>
    <w:panose1 w:val="02010609000101010101"/>
    <w:charset w:val="86"/>
    <w:family w:val="modern"/>
    <w:pitch w:val="default"/>
    <w:sig w:usb0="00000000" w:usb1="00000000" w:usb2="00000000" w:usb3="00000000" w:csb0="00040000" w:csb1="00000000"/>
  </w:font>
  <w:font w:name="文星黑体">
    <w:altName w:val="黑体"/>
    <w:panose1 w:val="02010609000101010101"/>
    <w:charset w:val="86"/>
    <w:family w:val="modern"/>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72"/>
      </w:pPr>
      <w:r>
        <w:separator/>
      </w:r>
    </w:p>
  </w:footnote>
  <w:footnote w:type="continuationSeparator" w:id="1">
    <w:p>
      <w:pPr>
        <w:ind w:firstLine="67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C4EF2"/>
    <w:rsid w:val="0B2C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spacing w:val="10"/>
      <w:sz w:val="32"/>
      <w:lang w:val="en-US" w:eastAsia="zh-CN" w:bidi="ar-SA"/>
    </w:rPr>
  </w:style>
  <w:style w:type="paragraph" w:styleId="2">
    <w:name w:val="heading 1"/>
    <w:basedOn w:val="1"/>
    <w:next w:val="1"/>
    <w:qFormat/>
    <w:uiPriority w:val="0"/>
    <w:pPr>
      <w:spacing w:before="104" w:after="104" w:line="0" w:lineRule="atLeast"/>
      <w:ind w:firstLine="0" w:firstLineChars="0"/>
      <w:jc w:val="center"/>
      <w:outlineLvl w:val="0"/>
    </w:pPr>
    <w:rPr>
      <w:rFonts w:ascii="Arial" w:hAnsi="Arial" w:eastAsia="穝灿砰"/>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2022-04-01T07:22:00Z</dcterms:created>
  <dc:creator>九不理</dc:creator>
  <cp:lastModifiedBy>九不理</cp:lastModifiedBy>
  <dcterms:modified xsi:type="dcterms:W3CDTF">2022-04-01T07:23:34Z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D77E9CF1E2CF4361979C2AD973EE98A8</vt:lpwstr>
  </property>
</Properties>
</file>