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left"/>
        <w:rPr>
          <w:rFonts w:ascii="文星楷体" w:hAnsi="Times New Roman" w:eastAsia="文星楷体" w:cs="Times New Roman"/>
          <w:sz w:val="32"/>
          <w:szCs w:val="32"/>
        </w:rPr>
      </w:pPr>
      <w:r>
        <w:rPr>
          <w:rFonts w:hint="eastAsia" w:ascii="文星楷体" w:hAnsi="Times New Roman" w:eastAsia="文星楷体" w:cs="Times New Roman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文星标宋" w:hAnsi="Times New Roman" w:eastAsia="文星标宋" w:cs="Times New Roman"/>
          <w:sz w:val="36"/>
          <w:szCs w:val="36"/>
        </w:rPr>
      </w:pPr>
      <w:r>
        <w:rPr>
          <w:rFonts w:hint="eastAsia" w:ascii="文星标宋" w:hAnsi="Times New Roman" w:eastAsia="文星标宋" w:cs="Times New Roman"/>
          <w:sz w:val="36"/>
          <w:szCs w:val="36"/>
        </w:rPr>
        <w:t>《梅州市粮食安全和应急物资保障</w:t>
      </w:r>
      <w:r>
        <w:rPr>
          <w:rFonts w:hint="eastAsia" w:ascii="文星标宋" w:hAnsi="Times New Roman" w:eastAsia="文星标宋" w:cs="Times New Roman"/>
          <w:sz w:val="36"/>
          <w:szCs w:val="36"/>
          <w:lang w:eastAsia="zh-CN"/>
        </w:rPr>
        <w:t>“</w:t>
      </w:r>
      <w:r>
        <w:rPr>
          <w:rFonts w:hint="eastAsia" w:ascii="文星标宋" w:hAnsi="Times New Roman" w:eastAsia="文星标宋" w:cs="Times New Roman"/>
          <w:sz w:val="36"/>
          <w:szCs w:val="36"/>
        </w:rPr>
        <w:t>十四五</w:t>
      </w:r>
      <w:r>
        <w:rPr>
          <w:rFonts w:hint="eastAsia" w:ascii="文星标宋" w:hAnsi="Times New Roman" w:eastAsia="文星标宋" w:cs="Times New Roman"/>
          <w:sz w:val="36"/>
          <w:szCs w:val="36"/>
          <w:lang w:eastAsia="zh-CN"/>
        </w:rPr>
        <w:t>”</w:t>
      </w:r>
      <w:r>
        <w:rPr>
          <w:rFonts w:hint="eastAsia" w:ascii="文星标宋" w:hAnsi="Times New Roman" w:eastAsia="文星标宋" w:cs="Times New Roman"/>
          <w:sz w:val="36"/>
          <w:szCs w:val="36"/>
        </w:rPr>
        <w:t>规划》主要目标和任务分工表</w:t>
      </w:r>
    </w:p>
    <w:p>
      <w:pPr>
        <w:spacing w:line="240" w:lineRule="exact"/>
        <w:rPr>
          <w:szCs w:val="32"/>
        </w:rPr>
      </w:pPr>
    </w:p>
    <w:tbl>
      <w:tblPr>
        <w:tblStyle w:val="12"/>
        <w:tblW w:w="13750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709"/>
        <w:gridCol w:w="7456"/>
        <w:gridCol w:w="1276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75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黑体" w:cs="Times New Roman"/>
                <w:sz w:val="24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工作任务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序号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具体内容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完成时间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黑体" w:cs="Times New Roman"/>
                <w:sz w:val="24"/>
                <w:szCs w:val="24"/>
              </w:rPr>
              <w:t>责任单位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758" w:type="dxa"/>
            <w:vMerge w:val="restart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一、增加粮食有效供给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加强高标准农田建设，高标准农田面积达到151.32万亩以上(最终以上级部门下达的目标任务为准)。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市农业农村局、发展改革局、自然资源局、水务局按职责分工负责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pacing w:val="-8"/>
                <w:sz w:val="24"/>
                <w:szCs w:val="24"/>
              </w:rPr>
              <w:t>在高标准农田建设项目区统筹打造一批土壤酸化耕地治理示范项目。到2025年，项目区退化耕地质量提升0.5等级，土壤PH值平均增加0.5个单位。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优化规划布局，优先在粮食生产功能区、粮食生产重点县开展高标准农田建设。打造一批高质量高标准的宜机化改造、土壤酸化改良、绿色农田、智慧农田等创新示范区。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市农业农村局、自然资源局按职责分工负责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加快构建现代农业产业体系，促进多元主体融合发展。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pacing w:val="-6"/>
                <w:sz w:val="24"/>
                <w:szCs w:val="24"/>
              </w:rPr>
              <w:t>以产量10万吨以上的优质稻生产大县和粮食生产功能区面积5万亩以上的县、丝苗米现代农业产业园等为重点，建设水稻生产供给核心保障区。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坚决遏制耕地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非农化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、防止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非粮化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，以粤东西北为重点，建立早稻撂荒土地动态监测平台，开展撂荒弃耕承包地流转复耕试点。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7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建设梅州甘薯种植优势片区，扩大冬种鲜食玉米面积。到2025年，薯类种植面积达到12.9万亩左右，产量达到17.5万吨(折合粮食3.5万吨)。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8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加强农业面源污染治理，扩大规模化种植，提高生产全程机械化率，加强重大病虫防控，减少粮食作物生物灾害损失，粮食综合生产能力稳定在115万吨以上。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9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开展种业关键技术攻关，推广良种良法，发挥科技支撑作用，提高农业生产科技含量。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市农业农村局、科技局按职责分工负责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758" w:type="dxa"/>
            <w:vMerge w:val="restart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二、强化粮食收储调控能力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10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pacing w:val="-4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pacing w:val="-4"/>
                <w:sz w:val="24"/>
                <w:szCs w:val="24"/>
              </w:rPr>
              <w:t>巩固和拓展我市粮源渠道，加强产销合作，年粮食购入数量达到70万吨。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11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落实政府储备，优化储备结构和布局，强化地方粮食储备安全管理。地方粮食储备规模不少于21.25万吨。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市发展改革局、农发行梅州市分行按职责分工负责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12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推动政府储备规模适度集并，取消非行政区划功能区的粮食储备任务，逐步将储存在小散旧库点的地方储备粮集并到规模以上现代化库区。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13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建立健全科学合理的社会责任储备标准和激励约束机制，形成较完善的规模以上粮食加工企业社会责任储备体系。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2023年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14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市、县成品粮油储备规模不低于本地区常住人口10天市场供应量。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15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加强粮食市场监测预警，完善联合会商机制，形成监测预警合力，构建新型粮食市场监测预警体系。探索建立粤港澳大湾区粮食市场监测预警机制。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2023年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优化粮食应急供应网点布局，实现乡镇、街道全覆盖。各地级以上市确保至少有1家稻谷(或小麦)日加工能力200吨(或300吨)以上的应急加工企业。全市粮食应急供应能力不低于2000吨/天。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2023年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17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全市至少建有1个粮食应急保障中心。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18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开辟应急情况下粮食运输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绿色通道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，基本形成都市区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1小时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、周边城市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3小时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、城市群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5小时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保障圈。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市发展改革局、交通运输局按职责分工负责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19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完善军粮供应保障体系，促进军粮供应融合发展，建立完善军地动员保障机制。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2023年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758" w:type="dxa"/>
            <w:vMerge w:val="restart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三、推进粮食产业高质量发展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强化龙头企业带动作用，打造1家重点支持的示范带动企业，作为服务政府调控、稳定粮油市场的骨干力量。全市产值2亿元以上粮食企业达到2家。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21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支持建设现代粮食产业园区。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22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推动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产购储加销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五优联动，促进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三链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协同发展。深入实施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优质粮食工程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，抓好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粮头食尾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和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农头工尾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。打造创新引领、消费驱动、结构合理、供给有效的现代化粮食产业体系。积极申报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广东好粮油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品牌。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市发展改革局、农业农村局按职责分工负责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23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进一步发挥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广东丝苗米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区域公用品牌作用，推动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广东丝苗米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产业带、产业园发展。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市农业农村局、供销社按职责分工负责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24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推动粮食节约减损，推进农户科学储粮，大力开展粮食安全宣传教育，组织开展爱粮节粮先进单位创建活动。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758" w:type="dxa"/>
            <w:vMerge w:val="restart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四、改革完善应急物资保障体制机制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25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加快建设统一的应急物资保障体系，出台健全应急物资保障体系的意见。强化补短强弱，健全协同保障机制，落实分级分部门保障责任，提高应急处突能力，有效应对自然灾害、事故灾难、公共卫生和社会安全事件，防范化解重大突发事件风险，维护社会生产生活秩序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2023年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市发展改革局、应急管理局按职责分工负责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制定应急物资保障总体预案。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市发展改革局、应急管理局按职责分工负责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27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研究编制应对各类突发事件应急物资保障指标，制定出台应对突发事件的物资保障工作指引、目录管理指引、仓储管理指引等。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各相关行业主管部门按职责分工负责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1758" w:type="dxa"/>
            <w:vMerge w:val="restart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pacing w:val="-10"/>
                <w:sz w:val="24"/>
                <w:szCs w:val="24"/>
              </w:rPr>
              <w:t>五、补齐应急物资生产供应短板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28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优化产能布局，健全应急物资动员体系，建立公共卫生应急物资产品名单和生产企业名单。医用口罩产能储备达到10万只/天。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市工业和信息化局、发展改革局、科技局、商务局、卫生健康局、市场监管局、国资委按职责分工负责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29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强化科技创新支撑，鼓励支持核心关键技术研发和技术改造。开展制造工艺、设计图纸、药品试剂配方等技术储备。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市科技局、工业和信息化局按职责分工负责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30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落实应急物资生产企业利益保护机制，研究制定政府应急动员转扩产的生产资质快速审批、产品质量快速检验检测、物资兜底收储等保障制度。建立与应急审批相适应的生产监督机制，确保应急生产质量安全可控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市市场监管局、发展改革局按职责分工负责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31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完善应急采购机制，形成安全稳定的应急物资供应渠道，健全应急物资采购供应体系。制定紧急状态下应急物资采购规则，高效调动各类资源，建立健全应急状态下驻场采购和依法征收机制。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市发展改革局、工业和信息化局、商务局、卫生健康局按职责分工负责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32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分类制定重点应急物资清单，逐项编制供应链地图，设定供应保障品种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红线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各相关行业主管部门按职责分工负责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33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建立健全社会捐赠应急物资管理制度，依法依规引导社会慈善捐赠。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市民政局、应急管理局，市红十字会按职责分工负责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34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系统梳理应急物资储备体系短板，科学确定和调整储备品种规模，落实应急物资政府储备指导目录，切实夯实政府实物储备，全市救灾物资储备规模达到900万元。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市发展改革局、应急管理局、卫生健康局按职责分工负责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758" w:type="dxa"/>
            <w:vMerge w:val="restart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六、提升应急物资储备调配效能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35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加大力度落实省市县三级政府实物储备，强化储备载体。完善应急物资社会责任储备政策，支持企业在落实社会责任储备之外建立商业储备。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各相关行业主管部门按职责分工负责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组织对政府应急物资保障能力开展第三方评估。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市发展改革局、各地政府按职责分工负责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37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建立健全分级、分部门和集中统一调配机制。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市发展改革局、工业和信息化局、应急管理局按职责分工负责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38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提升应急物资运输保障能力。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市交通运输局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39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配合上级部门建设应急物资保障数据库、应急物资保障综合管理信息平台，实现智能计算和风险预判。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市应急管理局、各相关行业主管部门按职责分工负责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758" w:type="dxa"/>
            <w:vMerge w:val="restart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七、优化粮食流通基础设施建设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40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新建扩建高标准粮食仓储设施，逐步淘汰小散旧粮库。各类粮食企业完好仓容达到110万吨。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41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开展绿色仓储提升行动和粮机装备提升行动。应用低温准低温储粮仓容达到26万吨。应用气调储粮仓容达到12万吨。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42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推进物流设施建设，依托广梅汕线和省际公路运输网络，推进铁路物流节点建设。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restart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八、完善应急物资保障基础设施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43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加快推进应急物资基础设施建设，逐步淘汰小散旧储备库，实现应急物资储备库省、市、县三级全覆盖。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各相关行业主管部门、各地政府按职责分工负责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44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推进综合性应急物资区域库建设。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各相关行业主管部门、各地政府按职责分工负责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45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协调提升公路铁路站场和机场的交通运输保障能力，支持发挥物流枢纽或节点功能。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市交通运输局、发展改革局按职责分工负责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建设应急物资保障基地。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47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严格执行仓储设施建设指引、规模测算标准、建设技术标准等，加强对市县仓储设施建设指导。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2023年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市发展改革局、应急管理局按职责分工负责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758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九、加快信息化建设步伐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48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配合省推进粮食和应急物资综合管理信息平台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一平台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，省粮库智能化管理系统、物资储备信息化管理系统、军粮综合信息管理系统、储备布局地理信息系统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四系统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建设。政府储备承储库点信息化覆盖率达100%。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市发展改革局、政务服务数据管理局按职责分工负责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758" w:type="dxa"/>
            <w:vMerge w:val="restart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十、强化粮食安全和应急物资保障监管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49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建立健全跨部门、跨区域监督检查联动响应和协作机制，实现违法线索互联、标准互通、结果互认。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市发展改革局、市场监管局按职责分工负责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50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构建以信用监管为核心的新型监管机制。推动建立从生产、收(采)购、储存、运输、加工到销售的全过程追溯体系。强化生产、库存、流通、进出口等环节的粮食质量安全全程监管。探索建立产品质量违法失信记分机制，依据产品质量信用风险实施分类监管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市发展改革局、农业农村局、市场监管局、梅州海关按职责分工负责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58" w:type="dxa"/>
            <w:vMerge w:val="restart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十、强化粮食安全和应急物资保障监管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51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库存粮食质量安全总体合格率达97%。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52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推进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等级粮库</w:t>
            </w:r>
            <w:r>
              <w:rPr>
                <w:rFonts w:hint="eastAsia" w:ascii="Times New Roman" w:hAnsi="Times New Roman" w:eastAsia="文星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评定，省内所有省级储备粮储存库点、80%的市县储备粮储存库点达到AAA级及以上标准。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53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健全应急物资标准体系，推动社会团体、企事业单位加大应急物资相关产品和设备标准的研制力度。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各相关行业主管部门按职责分工负责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1758" w:type="dxa"/>
            <w:vMerge w:val="restart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十一、落实保障措施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54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全面加强党对粮食和应急物资保障工作的集中统一领导，压实粮食安全党政同责，全面落实粮食安全政府责任制。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市发展改革局、农业农村局按职责分工负责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55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研究修订《梅州市市级储备粮管理办法》《梅州市市级成品粮油储备管理办法》及其他配套规定，研究制定市应急物资保障条例，推进依法治粮管储。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市发展改革局、应急管理局按职责分工负责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56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落实财税金融支持政策，加强用地、用电等要素资源支撑，加大对粮食安全和应急物资保障重大政策、重大工程和重大项目的支持力度。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市发展改革局、财政局、自然资源局、农发行梅州市分行按职责分工负责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8" w:type="dxa"/>
            <w:vMerge w:val="continue"/>
            <w:vAlign w:val="center"/>
          </w:tcPr>
          <w:p>
            <w:pPr>
              <w:widowControl/>
              <w:spacing w:line="34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57</w:t>
            </w:r>
          </w:p>
        </w:tc>
        <w:tc>
          <w:tcPr>
            <w:tcW w:w="7456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充实专家库人才队伍，构建适应粮食安全和应急物资保障发展需要的人才培育体系。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2025年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8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市发展改革局</w:t>
            </w:r>
          </w:p>
        </w:tc>
      </w:tr>
    </w:tbl>
    <w:p>
      <w:pPr>
        <w:ind w:firstLine="670"/>
        <w:rPr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endnotePr>
        <w:numFmt w:val="decimal"/>
      </w:endnotePr>
      <w:pgSz w:w="16839" w:h="11905" w:orient="landscape"/>
      <w:pgMar w:top="1588" w:right="2155" w:bottom="1474" w:left="1928" w:header="567" w:footer="1247" w:gutter="0"/>
      <w:pgNumType w:start="47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textAlignment w:val="base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textAlignment w:val="base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289"/>
  <w:displayHorizontalDrawingGridEvery w:val="0"/>
  <w:displayVerticalDrawingGridEvery w:val="2"/>
  <w:doNotUseMarginsForDrawingGridOrigin w:val="1"/>
  <w:drawingGridHorizontalOrigin w:val="0"/>
  <w:drawingGridVerticalOrigin w:val="0"/>
  <w:doNotShadeFormData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87"/>
    <w:rsid w:val="000727FD"/>
    <w:rsid w:val="00091A4B"/>
    <w:rsid w:val="000D3922"/>
    <w:rsid w:val="000E1F1E"/>
    <w:rsid w:val="000E789C"/>
    <w:rsid w:val="001623CD"/>
    <w:rsid w:val="00184AE8"/>
    <w:rsid w:val="002342FB"/>
    <w:rsid w:val="002B09B8"/>
    <w:rsid w:val="002D1F36"/>
    <w:rsid w:val="003B2492"/>
    <w:rsid w:val="003C3696"/>
    <w:rsid w:val="00445ACA"/>
    <w:rsid w:val="004D3C61"/>
    <w:rsid w:val="004E32E5"/>
    <w:rsid w:val="005A5726"/>
    <w:rsid w:val="006563E6"/>
    <w:rsid w:val="0068218D"/>
    <w:rsid w:val="006E7A04"/>
    <w:rsid w:val="00727090"/>
    <w:rsid w:val="007630D7"/>
    <w:rsid w:val="007D483A"/>
    <w:rsid w:val="007D6795"/>
    <w:rsid w:val="00881F65"/>
    <w:rsid w:val="008A7532"/>
    <w:rsid w:val="009408E6"/>
    <w:rsid w:val="00987541"/>
    <w:rsid w:val="009901BF"/>
    <w:rsid w:val="009A0AA6"/>
    <w:rsid w:val="009C2A69"/>
    <w:rsid w:val="009E6211"/>
    <w:rsid w:val="00A07404"/>
    <w:rsid w:val="00A41BA3"/>
    <w:rsid w:val="00B35880"/>
    <w:rsid w:val="00B66E93"/>
    <w:rsid w:val="00BC4235"/>
    <w:rsid w:val="00C67DAA"/>
    <w:rsid w:val="00C80D34"/>
    <w:rsid w:val="00C9620F"/>
    <w:rsid w:val="00CA617C"/>
    <w:rsid w:val="00CC4387"/>
    <w:rsid w:val="00D20777"/>
    <w:rsid w:val="00D439CF"/>
    <w:rsid w:val="00DD17EA"/>
    <w:rsid w:val="00DF37F6"/>
    <w:rsid w:val="00E50DE2"/>
    <w:rsid w:val="00F136AD"/>
    <w:rsid w:val="00FA2117"/>
    <w:rsid w:val="00FA5043"/>
    <w:rsid w:val="00FC7079"/>
    <w:rsid w:val="04591365"/>
    <w:rsid w:val="75D20860"/>
    <w:rsid w:val="7C75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穝灿砰" w:cs="Times New Roman"/>
      <w:spacing w:val="10"/>
      <w:kern w:val="0"/>
      <w:sz w:val="32"/>
      <w:szCs w:val="20"/>
    </w:rPr>
  </w:style>
  <w:style w:type="paragraph" w:styleId="3">
    <w:name w:val="heading 2"/>
    <w:basedOn w:val="1"/>
    <w:next w:val="1"/>
    <w:qFormat/>
    <w:uiPriority w:val="0"/>
    <w:pPr>
      <w:spacing w:line="0" w:lineRule="atLeast"/>
      <w:jc w:val="center"/>
      <w:outlineLvl w:val="1"/>
    </w:pPr>
    <w:rPr>
      <w:rFonts w:ascii="Times New Roman" w:hAnsi="Times New Roman" w:eastAsia="宋体" w:cs="Times New Roman"/>
      <w:spacing w:val="10"/>
      <w:kern w:val="0"/>
      <w:sz w:val="28"/>
      <w:szCs w:val="20"/>
    </w:rPr>
  </w:style>
  <w:style w:type="paragraph" w:styleId="4">
    <w:name w:val="heading 3"/>
    <w:basedOn w:val="1"/>
    <w:next w:val="1"/>
    <w:qFormat/>
    <w:uiPriority w:val="0"/>
    <w:pPr>
      <w:spacing w:before="104" w:after="104"/>
      <w:jc w:val="left"/>
      <w:outlineLvl w:val="2"/>
    </w:pPr>
    <w:rPr>
      <w:rFonts w:ascii="Times New Roman" w:hAnsi="Times New Roman" w:eastAsia="穝灿砰" w:cs="Times New Roman"/>
      <w:spacing w:val="10"/>
      <w:kern w:val="0"/>
      <w:sz w:val="32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qFormat/>
    <w:uiPriority w:val="0"/>
    <w:pPr>
      <w:spacing w:line="305" w:lineRule="auto"/>
      <w:ind w:firstLine="21" w:firstLineChars="200"/>
      <w:jc w:val="left"/>
    </w:pPr>
    <w:rPr>
      <w:rFonts w:ascii="Times New Roman" w:hAnsi="Times New Roman" w:eastAsia="宋体" w:cs="Times New Roman"/>
      <w:spacing w:val="10"/>
      <w:kern w:val="0"/>
      <w:sz w:val="32"/>
      <w:szCs w:val="20"/>
    </w:rPr>
  </w:style>
  <w:style w:type="paragraph" w:styleId="6">
    <w:name w:val="toc 1"/>
    <w:basedOn w:val="1"/>
    <w:next w:val="1"/>
    <w:semiHidden/>
    <w:qFormat/>
    <w:uiPriority w:val="0"/>
    <w:pPr>
      <w:spacing w:after="104" w:line="0" w:lineRule="atLeast"/>
      <w:jc w:val="left"/>
    </w:pPr>
    <w:rPr>
      <w:rFonts w:ascii="Arial" w:hAnsi="Arial" w:eastAsia="穝灿砰" w:cs="Times New Roman"/>
      <w:spacing w:val="10"/>
      <w:kern w:val="0"/>
      <w:sz w:val="28"/>
      <w:szCs w:val="20"/>
    </w:rPr>
  </w:style>
  <w:style w:type="paragraph" w:styleId="7">
    <w:name w:val="toc 4"/>
    <w:basedOn w:val="1"/>
    <w:next w:val="1"/>
    <w:semiHidden/>
    <w:qFormat/>
    <w:uiPriority w:val="0"/>
    <w:pPr>
      <w:spacing w:line="305" w:lineRule="auto"/>
      <w:ind w:firstLine="629"/>
      <w:jc w:val="left"/>
    </w:pPr>
    <w:rPr>
      <w:rFonts w:ascii="Times New Roman" w:hAnsi="Times New Roman" w:eastAsia="宋体" w:cs="Times New Roman"/>
      <w:spacing w:val="10"/>
      <w:kern w:val="0"/>
      <w:sz w:val="32"/>
      <w:szCs w:val="20"/>
    </w:rPr>
  </w:style>
  <w:style w:type="paragraph" w:styleId="8">
    <w:name w:val="toc 2"/>
    <w:basedOn w:val="1"/>
    <w:next w:val="1"/>
    <w:semiHidden/>
    <w:qFormat/>
    <w:uiPriority w:val="0"/>
    <w:pPr>
      <w:spacing w:line="305" w:lineRule="auto"/>
      <w:ind w:firstLine="209"/>
      <w:jc w:val="left"/>
    </w:pPr>
    <w:rPr>
      <w:rFonts w:ascii="Times New Roman" w:hAnsi="Times New Roman" w:eastAsia="宋体" w:cs="Times New Roman"/>
      <w:spacing w:val="10"/>
      <w:kern w:val="0"/>
      <w:sz w:val="32"/>
      <w:szCs w:val="20"/>
    </w:rPr>
  </w:style>
  <w:style w:type="paragraph" w:styleId="9">
    <w:name w:val="Normal (Web)"/>
    <w:basedOn w:val="1"/>
    <w:qFormat/>
    <w:uiPriority w:val="99"/>
    <w:rPr>
      <w:rFonts w:ascii="Calibri" w:hAnsi="Calibri"/>
      <w:sz w:val="24"/>
    </w:rPr>
  </w:style>
  <w:style w:type="paragraph" w:styleId="10">
    <w:name w:val="Title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穝灿砰" w:cs="Times New Roman"/>
      <w:spacing w:val="10"/>
      <w:kern w:val="0"/>
      <w:sz w:val="52"/>
      <w:szCs w:val="20"/>
    </w:rPr>
  </w:style>
  <w:style w:type="table" w:styleId="12">
    <w:name w:val="Table Grid"/>
    <w:basedOn w:val="11"/>
    <w:qFormat/>
    <w:uiPriority w:val="0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目录标题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文章附标题"/>
    <w:basedOn w:val="1"/>
    <w:qFormat/>
    <w:uiPriority w:val="0"/>
    <w:pPr>
      <w:spacing w:before="104" w:after="104" w:line="0" w:lineRule="atLeast"/>
      <w:jc w:val="center"/>
    </w:pPr>
    <w:rPr>
      <w:sz w:val="36"/>
    </w:rPr>
  </w:style>
  <w:style w:type="character" w:customStyle="1" w:styleId="17">
    <w:name w:val="ca-9"/>
    <w:basedOn w:val="13"/>
    <w:qFormat/>
    <w:uiPriority w:val="0"/>
  </w:style>
  <w:style w:type="paragraph" w:styleId="1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4084</Words>
  <Characters>4359</Characters>
  <Lines>5</Lines>
  <Paragraphs>9</Paragraphs>
  <TotalTime>23</TotalTime>
  <ScaleCrop>false</ScaleCrop>
  <LinksUpToDate>false</LinksUpToDate>
  <CharactersWithSpaces>4359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2022-03-24T07:47:00Z</dcterms:created>
  <dc:creator>lx</dc:creator>
  <cp:lastModifiedBy>Administrator</cp:lastModifiedBy>
  <dcterms:modified xsi:type="dcterms:W3CDTF">2022-03-29T07:08:40Z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88A6F67B0E2247D6A5052C12BE279312</vt:lpwstr>
  </property>
</Properties>
</file>