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32" w:rsidRDefault="0004160D" w:rsidP="00077111">
      <w:pPr>
        <w:jc w:val="center"/>
        <w:rPr>
          <w:b/>
          <w:sz w:val="44"/>
          <w:szCs w:val="44"/>
        </w:rPr>
      </w:pPr>
      <w:bookmarkStart w:id="0" w:name="_top"/>
      <w:bookmarkEnd w:id="0"/>
      <w:r w:rsidRPr="00077111">
        <w:rPr>
          <w:rFonts w:hint="eastAsia"/>
          <w:b/>
          <w:sz w:val="44"/>
          <w:szCs w:val="44"/>
        </w:rPr>
        <w:t>梅州市</w:t>
      </w:r>
      <w:r w:rsidR="00C23B8D">
        <w:rPr>
          <w:rFonts w:hint="eastAsia"/>
          <w:b/>
          <w:sz w:val="44"/>
          <w:szCs w:val="44"/>
        </w:rPr>
        <w:t>大型</w:t>
      </w:r>
      <w:r w:rsidRPr="00077111">
        <w:rPr>
          <w:rFonts w:hint="eastAsia"/>
          <w:b/>
          <w:sz w:val="44"/>
          <w:szCs w:val="44"/>
        </w:rPr>
        <w:t>游乐设施安全管理</w:t>
      </w:r>
      <w:r w:rsidR="00C76465">
        <w:rPr>
          <w:rFonts w:hint="eastAsia"/>
          <w:b/>
          <w:sz w:val="44"/>
          <w:szCs w:val="44"/>
        </w:rPr>
        <w:t>规定</w:t>
      </w:r>
    </w:p>
    <w:p w:rsidR="0004160D" w:rsidRPr="0004160D" w:rsidRDefault="00AC7732" w:rsidP="00F03B78">
      <w:pPr>
        <w:jc w:val="center"/>
        <w:rPr>
          <w:sz w:val="32"/>
          <w:szCs w:val="32"/>
        </w:rPr>
      </w:pPr>
      <w:r>
        <w:rPr>
          <w:rFonts w:hint="eastAsia"/>
          <w:b/>
          <w:sz w:val="44"/>
          <w:szCs w:val="44"/>
        </w:rPr>
        <w:t>（征求意见稿）</w:t>
      </w:r>
    </w:p>
    <w:p w:rsidR="00965CB6" w:rsidRDefault="00965CB6" w:rsidP="00965CB6">
      <w:pPr>
        <w:pStyle w:val="1"/>
        <w:spacing w:before="0" w:after="0" w:line="240" w:lineRule="auto"/>
        <w:jc w:val="center"/>
        <w:rPr>
          <w:rFonts w:ascii="仿宋_GB2312" w:eastAsia="仿宋_GB2312"/>
          <w:sz w:val="30"/>
          <w:szCs w:val="30"/>
        </w:rPr>
      </w:pPr>
    </w:p>
    <w:p w:rsidR="0004160D" w:rsidRPr="00965CB6" w:rsidRDefault="0004160D" w:rsidP="00965CB6">
      <w:pPr>
        <w:pStyle w:val="1"/>
        <w:spacing w:before="0" w:after="0" w:line="240" w:lineRule="auto"/>
        <w:jc w:val="center"/>
        <w:rPr>
          <w:rFonts w:ascii="仿宋_GB2312" w:eastAsia="仿宋_GB2312"/>
          <w:sz w:val="30"/>
          <w:szCs w:val="30"/>
        </w:rPr>
      </w:pPr>
      <w:r w:rsidRPr="00BF2B0A">
        <w:rPr>
          <w:rFonts w:ascii="仿宋_GB2312" w:eastAsia="仿宋_GB2312" w:hint="eastAsia"/>
          <w:sz w:val="30"/>
          <w:szCs w:val="30"/>
        </w:rPr>
        <w:t>第一章</w:t>
      </w:r>
      <w:r w:rsidR="00F03B78" w:rsidRPr="00BF2B0A">
        <w:rPr>
          <w:rFonts w:ascii="仿宋_GB2312" w:eastAsia="仿宋_GB2312" w:hint="eastAsia"/>
          <w:sz w:val="30"/>
          <w:szCs w:val="30"/>
        </w:rPr>
        <w:t xml:space="preserve"> </w:t>
      </w:r>
      <w:r w:rsidRPr="00BF2B0A">
        <w:rPr>
          <w:rFonts w:ascii="仿宋_GB2312" w:eastAsia="仿宋_GB2312" w:hint="eastAsia"/>
          <w:sz w:val="30"/>
          <w:szCs w:val="30"/>
        </w:rPr>
        <w:t>总则</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第一条</w:t>
      </w:r>
      <w:r w:rsidR="00527723" w:rsidRPr="00965CB6">
        <w:rPr>
          <w:rFonts w:ascii="仿宋_GB2312" w:eastAsia="仿宋_GB2312" w:hint="eastAsia"/>
          <w:sz w:val="30"/>
          <w:szCs w:val="30"/>
        </w:rPr>
        <w:t xml:space="preserve">  </w:t>
      </w:r>
      <w:r w:rsidRPr="00965CB6">
        <w:rPr>
          <w:rFonts w:ascii="仿宋_GB2312" w:eastAsia="仿宋_GB2312" w:hint="eastAsia"/>
          <w:sz w:val="30"/>
          <w:szCs w:val="30"/>
        </w:rPr>
        <w:t>为了加强本市</w:t>
      </w:r>
      <w:r w:rsidR="00C23B8D">
        <w:rPr>
          <w:rFonts w:ascii="仿宋_GB2312" w:eastAsia="仿宋_GB2312" w:hint="eastAsia"/>
          <w:sz w:val="30"/>
          <w:szCs w:val="30"/>
        </w:rPr>
        <w:t>大型</w:t>
      </w:r>
      <w:r w:rsidRPr="00965CB6">
        <w:rPr>
          <w:rFonts w:ascii="仿宋_GB2312" w:eastAsia="仿宋_GB2312" w:hint="eastAsia"/>
          <w:sz w:val="30"/>
          <w:szCs w:val="30"/>
        </w:rPr>
        <w:t>游乐设施的运营安全管理，防止和减少事故，保障人民群众生命和财产安全，根据《中华人民共和国特种设备安全法》《特种设备安全监察条例》《广东省特种设备安全条例》等有关法律、法规，结合本市实际，制定本</w:t>
      </w:r>
      <w:r w:rsidR="0019417C">
        <w:rPr>
          <w:rFonts w:ascii="仿宋_GB2312" w:eastAsia="仿宋_GB2312" w:hint="eastAsia"/>
          <w:sz w:val="30"/>
          <w:szCs w:val="30"/>
        </w:rPr>
        <w:t>规定</w:t>
      </w:r>
      <w:r w:rsidRPr="00965CB6">
        <w:rPr>
          <w:rFonts w:ascii="仿宋_GB2312" w:eastAsia="仿宋_GB2312" w:hint="eastAsia"/>
          <w:sz w:val="30"/>
          <w:szCs w:val="30"/>
        </w:rPr>
        <w:t>。</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第二条</w:t>
      </w:r>
      <w:r w:rsidR="00527723" w:rsidRPr="00965CB6">
        <w:rPr>
          <w:rFonts w:ascii="仿宋_GB2312" w:eastAsia="仿宋_GB2312" w:hint="eastAsia"/>
          <w:sz w:val="30"/>
          <w:szCs w:val="30"/>
        </w:rPr>
        <w:t xml:space="preserve">  </w:t>
      </w:r>
      <w:r w:rsidRPr="00965CB6">
        <w:rPr>
          <w:rFonts w:ascii="仿宋_GB2312" w:eastAsia="仿宋_GB2312" w:hint="eastAsia"/>
          <w:sz w:val="30"/>
          <w:szCs w:val="30"/>
        </w:rPr>
        <w:t>本</w:t>
      </w:r>
      <w:r w:rsidR="001351DE">
        <w:rPr>
          <w:rFonts w:ascii="仿宋_GB2312" w:eastAsia="仿宋_GB2312" w:hint="eastAsia"/>
          <w:sz w:val="30"/>
          <w:szCs w:val="30"/>
        </w:rPr>
        <w:t>规定</w:t>
      </w:r>
      <w:r w:rsidRPr="00965CB6">
        <w:rPr>
          <w:rFonts w:ascii="仿宋_GB2312" w:eastAsia="仿宋_GB2312" w:hint="eastAsia"/>
          <w:sz w:val="30"/>
          <w:szCs w:val="30"/>
        </w:rPr>
        <w:t>适用于本市行政区域内大型游乐设施运营的安全管理。</w:t>
      </w:r>
    </w:p>
    <w:p w:rsidR="0004160D" w:rsidRPr="00965CB6" w:rsidRDefault="0004160D" w:rsidP="00965CB6">
      <w:pPr>
        <w:spacing w:line="240" w:lineRule="auto"/>
        <w:ind w:firstLineChars="200" w:firstLine="600"/>
        <w:rPr>
          <w:rFonts w:ascii="仿宋_GB2312" w:eastAsia="仿宋_GB2312"/>
          <w:sz w:val="30"/>
          <w:szCs w:val="30"/>
        </w:rPr>
      </w:pPr>
      <w:r w:rsidRPr="00965CB6">
        <w:rPr>
          <w:rFonts w:ascii="仿宋_GB2312" w:eastAsia="仿宋_GB2312" w:hint="eastAsia"/>
          <w:sz w:val="30"/>
          <w:szCs w:val="30"/>
        </w:rPr>
        <w:t>大型游乐设施，是指用于经营目的，承载乘客游乐的设施，其范围规定为设计最大运行线速度大于或者等于2m/s，或者运行高度距地面高于或者等于2m的载人大型游</w:t>
      </w:r>
      <w:r w:rsidR="00C17355" w:rsidRPr="00965CB6">
        <w:rPr>
          <w:rFonts w:ascii="仿宋_GB2312" w:eastAsia="仿宋_GB2312" w:hint="eastAsia"/>
          <w:sz w:val="30"/>
          <w:szCs w:val="30"/>
        </w:rPr>
        <w:t>乐设施。用于体育运动、文艺演出和非经营活动的大型游乐设施除外。</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第三条</w:t>
      </w:r>
      <w:r w:rsidR="00527723" w:rsidRPr="00965CB6">
        <w:rPr>
          <w:rFonts w:ascii="仿宋_GB2312" w:eastAsia="仿宋_GB2312" w:hint="eastAsia"/>
          <w:sz w:val="30"/>
          <w:szCs w:val="30"/>
        </w:rPr>
        <w:t xml:space="preserve">  </w:t>
      </w:r>
      <w:r w:rsidRPr="00965CB6">
        <w:rPr>
          <w:rFonts w:ascii="仿宋_GB2312" w:eastAsia="仿宋_GB2312" w:hint="eastAsia"/>
          <w:sz w:val="30"/>
          <w:szCs w:val="30"/>
        </w:rPr>
        <w:t>以大型游乐设施开展经营性运营活动的企业、个体工商户或者其他单位(以下统称运营单位)应当按照法律、法规、规章以及安全技术规范、强制性标准的要求从事运营活动，并对运营安全承担责任。</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w:t>
      </w:r>
      <w:r w:rsidR="004D1D53" w:rsidRPr="00965CB6">
        <w:rPr>
          <w:rFonts w:ascii="仿宋_GB2312" w:eastAsia="仿宋_GB2312" w:hint="eastAsia"/>
          <w:sz w:val="30"/>
          <w:szCs w:val="30"/>
        </w:rPr>
        <w:t>四</w:t>
      </w:r>
      <w:r w:rsidRPr="00965CB6">
        <w:rPr>
          <w:rFonts w:ascii="仿宋_GB2312" w:eastAsia="仿宋_GB2312" w:hint="eastAsia"/>
          <w:sz w:val="30"/>
          <w:szCs w:val="30"/>
        </w:rPr>
        <w:t>条</w:t>
      </w:r>
      <w:r w:rsidR="00527723" w:rsidRPr="00965CB6">
        <w:rPr>
          <w:rFonts w:ascii="仿宋_GB2312" w:eastAsia="仿宋_GB2312" w:hint="eastAsia"/>
          <w:sz w:val="30"/>
          <w:szCs w:val="30"/>
        </w:rPr>
        <w:t xml:space="preserve">  </w:t>
      </w:r>
      <w:r w:rsidRPr="00965CB6">
        <w:rPr>
          <w:rFonts w:ascii="仿宋_GB2312" w:eastAsia="仿宋_GB2312" w:hint="eastAsia"/>
          <w:sz w:val="30"/>
          <w:szCs w:val="30"/>
        </w:rPr>
        <w:t>本市推行大型游乐设施安全责任保险制度，鼓励运营单位投保公众安全责任险，以提高运营单位的安全管理水平和事故赔付能力。</w:t>
      </w:r>
    </w:p>
    <w:p w:rsidR="0004160D" w:rsidRPr="00965CB6" w:rsidRDefault="00051B62" w:rsidP="00965CB6">
      <w:pPr>
        <w:pStyle w:val="1"/>
        <w:spacing w:before="0" w:after="0" w:line="240" w:lineRule="auto"/>
        <w:jc w:val="center"/>
        <w:rPr>
          <w:rFonts w:ascii="仿宋_GB2312" w:eastAsia="仿宋_GB2312"/>
          <w:sz w:val="30"/>
          <w:szCs w:val="30"/>
        </w:rPr>
      </w:pPr>
      <w:hyperlink w:anchor="_top" w:history="1">
        <w:r w:rsidR="0004160D" w:rsidRPr="00965CB6">
          <w:rPr>
            <w:rStyle w:val="a4"/>
            <w:rFonts w:ascii="仿宋_GB2312" w:eastAsia="仿宋_GB2312" w:hint="eastAsia"/>
            <w:color w:val="auto"/>
            <w:sz w:val="30"/>
            <w:szCs w:val="30"/>
            <w:u w:val="none"/>
          </w:rPr>
          <w:t>第二章</w:t>
        </w:r>
        <w:r w:rsidR="00F03B78" w:rsidRPr="00965CB6">
          <w:rPr>
            <w:rStyle w:val="a4"/>
            <w:rFonts w:ascii="仿宋_GB2312" w:eastAsia="仿宋_GB2312" w:hint="eastAsia"/>
            <w:color w:val="auto"/>
            <w:sz w:val="30"/>
            <w:szCs w:val="30"/>
            <w:u w:val="none"/>
          </w:rPr>
          <w:t xml:space="preserve"> </w:t>
        </w:r>
        <w:r w:rsidR="0004160D" w:rsidRPr="00965CB6">
          <w:rPr>
            <w:rStyle w:val="a4"/>
            <w:rFonts w:ascii="仿宋_GB2312" w:eastAsia="仿宋_GB2312" w:hint="eastAsia"/>
            <w:color w:val="auto"/>
            <w:sz w:val="30"/>
            <w:szCs w:val="30"/>
            <w:u w:val="none"/>
          </w:rPr>
          <w:t>设施和人员管理</w:t>
        </w:r>
      </w:hyperlink>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w:t>
      </w:r>
      <w:r w:rsidR="004D1D53" w:rsidRPr="00965CB6">
        <w:rPr>
          <w:rFonts w:ascii="仿宋_GB2312" w:eastAsia="仿宋_GB2312" w:hint="eastAsia"/>
          <w:sz w:val="30"/>
          <w:szCs w:val="30"/>
        </w:rPr>
        <w:t>五</w:t>
      </w:r>
      <w:r w:rsidRPr="00965CB6">
        <w:rPr>
          <w:rFonts w:ascii="仿宋_GB2312" w:eastAsia="仿宋_GB2312" w:hint="eastAsia"/>
          <w:sz w:val="30"/>
          <w:szCs w:val="30"/>
        </w:rPr>
        <w:t>条</w:t>
      </w:r>
      <w:r w:rsidR="00527723" w:rsidRPr="00965CB6">
        <w:rPr>
          <w:rFonts w:ascii="仿宋_GB2312" w:eastAsia="仿宋_GB2312" w:hint="eastAsia"/>
          <w:sz w:val="30"/>
          <w:szCs w:val="30"/>
        </w:rPr>
        <w:t xml:space="preserve">  </w:t>
      </w:r>
      <w:r w:rsidRPr="00965CB6">
        <w:rPr>
          <w:rFonts w:ascii="仿宋_GB2312" w:eastAsia="仿宋_GB2312" w:hint="eastAsia"/>
          <w:sz w:val="30"/>
          <w:szCs w:val="30"/>
        </w:rPr>
        <w:t>本市大型游乐设施依法实行使用登记制度。</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lastRenderedPageBreak/>
        <w:t>第</w:t>
      </w:r>
      <w:r w:rsidR="004D1D53" w:rsidRPr="00965CB6">
        <w:rPr>
          <w:rFonts w:ascii="仿宋_GB2312" w:eastAsia="仿宋_GB2312" w:hint="eastAsia"/>
          <w:sz w:val="30"/>
          <w:szCs w:val="30"/>
        </w:rPr>
        <w:t>六</w:t>
      </w:r>
      <w:r w:rsidRPr="00965CB6">
        <w:rPr>
          <w:rFonts w:ascii="仿宋_GB2312" w:eastAsia="仿宋_GB2312" w:hint="eastAsia"/>
          <w:sz w:val="30"/>
          <w:szCs w:val="30"/>
        </w:rPr>
        <w:t>条</w:t>
      </w:r>
      <w:r w:rsidR="00527723" w:rsidRPr="00965CB6">
        <w:rPr>
          <w:rFonts w:ascii="仿宋_GB2312" w:eastAsia="仿宋_GB2312" w:hint="eastAsia"/>
          <w:sz w:val="30"/>
          <w:szCs w:val="30"/>
        </w:rPr>
        <w:t xml:space="preserve">  </w:t>
      </w:r>
      <w:r w:rsidRPr="00965CB6">
        <w:rPr>
          <w:rFonts w:ascii="仿宋_GB2312" w:eastAsia="仿宋_GB2312" w:hint="eastAsia"/>
          <w:sz w:val="30"/>
          <w:szCs w:val="30"/>
        </w:rPr>
        <w:t>运营单位购买或者租赁大型游乐设施前，应当查验生产厂家制造许可证、产品质量合格证、设计文件鉴定报告、型式试验报告和产品使用说明书。</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运营单位购买或者租赁已登记使用的大型游乐设施，还应当查验安全技术档案和市场监管部门出具的特种设备使用登记证明。</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w:t>
      </w:r>
      <w:r w:rsidR="004D1D53" w:rsidRPr="00965CB6">
        <w:rPr>
          <w:rFonts w:ascii="仿宋_GB2312" w:eastAsia="仿宋_GB2312" w:hint="eastAsia"/>
          <w:sz w:val="30"/>
          <w:szCs w:val="30"/>
        </w:rPr>
        <w:t>七</w:t>
      </w:r>
      <w:r w:rsidRPr="00965CB6">
        <w:rPr>
          <w:rFonts w:ascii="仿宋_GB2312" w:eastAsia="仿宋_GB2312" w:hint="eastAsia"/>
          <w:sz w:val="30"/>
          <w:szCs w:val="30"/>
        </w:rPr>
        <w:t>条</w:t>
      </w:r>
      <w:r w:rsidR="00527723" w:rsidRPr="00965CB6">
        <w:rPr>
          <w:rFonts w:ascii="仿宋_GB2312" w:eastAsia="仿宋_GB2312" w:hint="eastAsia"/>
          <w:sz w:val="30"/>
          <w:szCs w:val="30"/>
        </w:rPr>
        <w:t xml:space="preserve">  </w:t>
      </w:r>
      <w:r w:rsidRPr="00965CB6">
        <w:rPr>
          <w:rFonts w:ascii="仿宋_GB2312" w:eastAsia="仿宋_GB2312" w:hint="eastAsia"/>
          <w:sz w:val="30"/>
          <w:szCs w:val="30"/>
        </w:rPr>
        <w:t>运营单位应当选择具有相应资格制造的大型游乐设施。大型游乐设施的安装，应当由具有相应安装资格的单位安装。安装完成后，安装单位应当对大型游乐设施的安全技术性能进行自检。自检合格后，应当向运营单位出具自检合格报告。</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w:t>
      </w:r>
      <w:r w:rsidR="004D1D53" w:rsidRPr="00965CB6">
        <w:rPr>
          <w:rFonts w:ascii="仿宋_GB2312" w:eastAsia="仿宋_GB2312" w:hint="eastAsia"/>
          <w:sz w:val="30"/>
          <w:szCs w:val="30"/>
        </w:rPr>
        <w:t>八</w:t>
      </w:r>
      <w:r w:rsidRPr="00965CB6">
        <w:rPr>
          <w:rFonts w:ascii="仿宋_GB2312" w:eastAsia="仿宋_GB2312" w:hint="eastAsia"/>
          <w:sz w:val="30"/>
          <w:szCs w:val="30"/>
        </w:rPr>
        <w:t>条</w:t>
      </w:r>
      <w:r w:rsidR="00527723" w:rsidRPr="00965CB6">
        <w:rPr>
          <w:rFonts w:ascii="仿宋_GB2312" w:eastAsia="仿宋_GB2312" w:hint="eastAsia"/>
          <w:sz w:val="30"/>
          <w:szCs w:val="30"/>
        </w:rPr>
        <w:t xml:space="preserve">  </w:t>
      </w:r>
      <w:r w:rsidRPr="00965CB6">
        <w:rPr>
          <w:rFonts w:ascii="仿宋_GB2312" w:eastAsia="仿宋_GB2312" w:hint="eastAsia"/>
          <w:sz w:val="30"/>
          <w:szCs w:val="30"/>
        </w:rPr>
        <w:t>运营</w:t>
      </w:r>
      <w:proofErr w:type="gramStart"/>
      <w:r w:rsidRPr="00965CB6">
        <w:rPr>
          <w:rFonts w:ascii="仿宋_GB2312" w:eastAsia="仿宋_GB2312" w:hint="eastAsia"/>
          <w:sz w:val="30"/>
          <w:szCs w:val="30"/>
        </w:rPr>
        <w:t>单位凭自检</w:t>
      </w:r>
      <w:proofErr w:type="gramEnd"/>
      <w:r w:rsidRPr="00965CB6">
        <w:rPr>
          <w:rFonts w:ascii="仿宋_GB2312" w:eastAsia="仿宋_GB2312" w:hint="eastAsia"/>
          <w:sz w:val="30"/>
          <w:szCs w:val="30"/>
        </w:rPr>
        <w:t>合格报告向特种设备检验检测机构申请监督检验，取得安全检验合格标志后，方可投入使用。</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运营单位应当将安全检验合格标志置于大型游乐设施的醒目位置。</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w:t>
      </w:r>
      <w:r w:rsidR="004D1D53" w:rsidRPr="00965CB6">
        <w:rPr>
          <w:rFonts w:ascii="仿宋_GB2312" w:eastAsia="仿宋_GB2312" w:hint="eastAsia"/>
          <w:sz w:val="30"/>
          <w:szCs w:val="30"/>
        </w:rPr>
        <w:t>九</w:t>
      </w:r>
      <w:r w:rsidRPr="00965CB6">
        <w:rPr>
          <w:rFonts w:ascii="仿宋_GB2312" w:eastAsia="仿宋_GB2312" w:hint="eastAsia"/>
          <w:sz w:val="30"/>
          <w:szCs w:val="30"/>
        </w:rPr>
        <w:t>条</w:t>
      </w:r>
      <w:r w:rsidR="00527723" w:rsidRPr="00965CB6">
        <w:rPr>
          <w:rFonts w:ascii="仿宋_GB2312" w:eastAsia="仿宋_GB2312" w:hint="eastAsia"/>
          <w:sz w:val="30"/>
          <w:szCs w:val="30"/>
        </w:rPr>
        <w:t xml:space="preserve">  </w:t>
      </w:r>
      <w:r w:rsidRPr="00965CB6">
        <w:rPr>
          <w:rFonts w:ascii="仿宋_GB2312" w:eastAsia="仿宋_GB2312" w:hint="eastAsia"/>
          <w:sz w:val="30"/>
          <w:szCs w:val="30"/>
        </w:rPr>
        <w:t>大型游乐设施投入使用前，运营单位应当依据《特种设备使用管理规则》的要求到所在的县（市、区）市场监管部门办理使用登记。</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大型游乐设施已在他处登记使用过的，运营单位还应当提交当地市场监管部门出具的特种设备注销证明文件。</w:t>
      </w:r>
    </w:p>
    <w:p w:rsidR="0004160D" w:rsidRPr="00965CB6" w:rsidRDefault="00407CBF"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第十</w:t>
      </w:r>
      <w:r w:rsidR="0004160D" w:rsidRPr="00965CB6">
        <w:rPr>
          <w:rFonts w:ascii="仿宋_GB2312" w:eastAsia="仿宋_GB2312" w:hint="eastAsia"/>
          <w:sz w:val="30"/>
          <w:szCs w:val="30"/>
        </w:rPr>
        <w:t>条</w:t>
      </w:r>
      <w:r w:rsidR="00527723" w:rsidRPr="00965CB6">
        <w:rPr>
          <w:rFonts w:ascii="仿宋_GB2312" w:eastAsia="仿宋_GB2312" w:hint="eastAsia"/>
          <w:sz w:val="30"/>
          <w:szCs w:val="30"/>
        </w:rPr>
        <w:t xml:space="preserve">  </w:t>
      </w:r>
      <w:r w:rsidR="0004160D" w:rsidRPr="00965CB6">
        <w:rPr>
          <w:rFonts w:ascii="仿宋_GB2312" w:eastAsia="仿宋_GB2312" w:hint="eastAsia"/>
          <w:sz w:val="30"/>
          <w:szCs w:val="30"/>
        </w:rPr>
        <w:t>在用的大型游乐设施因转让、出租、委托经营等情形导致实际运营单位发生变动的，新的运营单位应当</w:t>
      </w:r>
      <w:proofErr w:type="gramStart"/>
      <w:r w:rsidR="0004160D" w:rsidRPr="00965CB6">
        <w:rPr>
          <w:rFonts w:ascii="仿宋_GB2312" w:eastAsia="仿宋_GB2312" w:hint="eastAsia"/>
          <w:sz w:val="30"/>
          <w:szCs w:val="30"/>
        </w:rPr>
        <w:t>向设施</w:t>
      </w:r>
      <w:proofErr w:type="gramEnd"/>
      <w:r w:rsidR="0004160D" w:rsidRPr="00965CB6">
        <w:rPr>
          <w:rFonts w:ascii="仿宋_GB2312" w:eastAsia="仿宋_GB2312" w:hint="eastAsia"/>
          <w:sz w:val="30"/>
          <w:szCs w:val="30"/>
        </w:rPr>
        <w:t>所在地的县（市、区）市场监管部门办理特种设备使用登记变更手续，原运营单位应当予以配合。未办理变更手续的，原运营单位不得移交使用。</w:t>
      </w:r>
    </w:p>
    <w:p w:rsidR="0004160D" w:rsidRPr="00965CB6" w:rsidRDefault="0004160D" w:rsidP="00965CB6">
      <w:pPr>
        <w:spacing w:line="240" w:lineRule="auto"/>
        <w:ind w:firstLineChars="200" w:firstLine="600"/>
        <w:rPr>
          <w:rFonts w:ascii="仿宋_GB2312" w:eastAsia="仿宋_GB2312"/>
          <w:sz w:val="30"/>
          <w:szCs w:val="30"/>
        </w:rPr>
      </w:pPr>
      <w:r w:rsidRPr="00965CB6">
        <w:rPr>
          <w:rFonts w:ascii="仿宋_GB2312" w:eastAsia="仿宋_GB2312" w:hint="eastAsia"/>
          <w:sz w:val="30"/>
          <w:szCs w:val="30"/>
        </w:rPr>
        <w:lastRenderedPageBreak/>
        <w:t>大型游乐设施搬迁或者拆除的，运营单位应当在搬迁或者拆除后30日内，向所在地的县（市、区）市场监管部门办理特种设备使用登记注销手续，并提交设施流向说明。</w:t>
      </w:r>
    </w:p>
    <w:p w:rsidR="0004160D" w:rsidRPr="00965CB6" w:rsidRDefault="00407CBF"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第十一</w:t>
      </w:r>
      <w:r w:rsidR="0004160D" w:rsidRPr="00965CB6">
        <w:rPr>
          <w:rFonts w:ascii="仿宋_GB2312" w:eastAsia="仿宋_GB2312" w:hint="eastAsia"/>
          <w:sz w:val="30"/>
          <w:szCs w:val="30"/>
        </w:rPr>
        <w:t>条</w:t>
      </w:r>
      <w:r w:rsidR="00527723" w:rsidRPr="00965CB6">
        <w:rPr>
          <w:rFonts w:ascii="仿宋_GB2312" w:eastAsia="仿宋_GB2312" w:hint="eastAsia"/>
          <w:sz w:val="30"/>
          <w:szCs w:val="30"/>
        </w:rPr>
        <w:t xml:space="preserve">  </w:t>
      </w:r>
      <w:r w:rsidR="0004160D" w:rsidRPr="00965CB6">
        <w:rPr>
          <w:rFonts w:ascii="仿宋_GB2312" w:eastAsia="仿宋_GB2312" w:hint="eastAsia"/>
          <w:sz w:val="30"/>
          <w:szCs w:val="30"/>
        </w:rPr>
        <w:t>使用10台以上(含10台)大型游乐设施的，运营单位应当设置安全管理机构，10台以下的应配备专职的安全管理人员。</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运营单位应当根据本单位大型游乐设施的情况，配备操作人员和维修保养人员。运营单位没有维修能力的，应当将维修工作委托具有相应维修资格的单位承担。</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运营单位的安全管理人员、操作人员和维修保养人员应当依法取得特种设备作业人员资格。</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第十</w:t>
      </w:r>
      <w:r w:rsidR="00407CBF" w:rsidRPr="00965CB6">
        <w:rPr>
          <w:rFonts w:ascii="仿宋_GB2312" w:eastAsia="仿宋_GB2312" w:hint="eastAsia"/>
          <w:sz w:val="30"/>
          <w:szCs w:val="30"/>
        </w:rPr>
        <w:t>二</w:t>
      </w:r>
      <w:r w:rsidRPr="00965CB6">
        <w:rPr>
          <w:rFonts w:ascii="仿宋_GB2312" w:eastAsia="仿宋_GB2312" w:hint="eastAsia"/>
          <w:sz w:val="30"/>
          <w:szCs w:val="30"/>
        </w:rPr>
        <w:t>条</w:t>
      </w:r>
      <w:r w:rsidR="00527723" w:rsidRPr="00965CB6">
        <w:rPr>
          <w:rFonts w:ascii="仿宋_GB2312" w:eastAsia="仿宋_GB2312" w:hint="eastAsia"/>
          <w:sz w:val="30"/>
          <w:szCs w:val="30"/>
        </w:rPr>
        <w:t xml:space="preserve">  </w:t>
      </w:r>
      <w:r w:rsidRPr="00965CB6">
        <w:rPr>
          <w:rFonts w:ascii="仿宋_GB2312" w:eastAsia="仿宋_GB2312" w:hint="eastAsia"/>
          <w:sz w:val="30"/>
          <w:szCs w:val="30"/>
        </w:rPr>
        <w:t>运营单位应当对安全管理人员、操作人员和维修保养人员定期进行安全教育和培训，保证其具备与岗位职责相适应的技术能力和安全作业知识。运营单位应当建立作业人员培训记录，并至少保存3年。</w:t>
      </w:r>
    </w:p>
    <w:p w:rsidR="00C17355" w:rsidRPr="00965CB6" w:rsidRDefault="00C17355" w:rsidP="00965CB6">
      <w:pPr>
        <w:pStyle w:val="1"/>
        <w:spacing w:before="0" w:after="0" w:line="240" w:lineRule="auto"/>
        <w:jc w:val="center"/>
        <w:rPr>
          <w:rFonts w:ascii="仿宋_GB2312" w:eastAsia="仿宋_GB2312"/>
          <w:sz w:val="30"/>
          <w:szCs w:val="30"/>
        </w:rPr>
      </w:pPr>
      <w:r w:rsidRPr="00965CB6">
        <w:rPr>
          <w:rFonts w:ascii="仿宋_GB2312" w:eastAsia="仿宋_GB2312" w:hint="eastAsia"/>
          <w:sz w:val="30"/>
          <w:szCs w:val="30"/>
        </w:rPr>
        <w:t>第三章</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安全运营管理</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第十</w:t>
      </w:r>
      <w:r w:rsidR="00407CBF" w:rsidRPr="00965CB6">
        <w:rPr>
          <w:rFonts w:ascii="仿宋_GB2312" w:eastAsia="仿宋_GB2312" w:hint="eastAsia"/>
          <w:sz w:val="30"/>
          <w:szCs w:val="30"/>
        </w:rPr>
        <w:t>三</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运营单位应当建立、执行岗位责任制度、安全检查制度、安全操作规程、维修保养制度、培训考核制度等为主要内容的安全管理制度。</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第十</w:t>
      </w:r>
      <w:r w:rsidR="00407CBF" w:rsidRPr="00965CB6">
        <w:rPr>
          <w:rFonts w:ascii="仿宋_GB2312" w:eastAsia="仿宋_GB2312" w:hint="eastAsia"/>
          <w:sz w:val="30"/>
          <w:szCs w:val="30"/>
        </w:rPr>
        <w:t>四</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运营单位应当编制与设备</w:t>
      </w:r>
      <w:r w:rsidR="00FC7975">
        <w:rPr>
          <w:rFonts w:ascii="仿宋_GB2312" w:eastAsia="仿宋_GB2312" w:hint="eastAsia"/>
          <w:sz w:val="30"/>
          <w:szCs w:val="30"/>
        </w:rPr>
        <w:t>相</w:t>
      </w:r>
      <w:r w:rsidRPr="00965CB6">
        <w:rPr>
          <w:rFonts w:ascii="仿宋_GB2312" w:eastAsia="仿宋_GB2312" w:hint="eastAsia"/>
          <w:sz w:val="30"/>
          <w:szCs w:val="30"/>
        </w:rPr>
        <w:t>适应的应急预案，并定期组织应急预案演练。</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第十</w:t>
      </w:r>
      <w:r w:rsidR="00407CBF" w:rsidRPr="00965CB6">
        <w:rPr>
          <w:rFonts w:ascii="仿宋_GB2312" w:eastAsia="仿宋_GB2312" w:hint="eastAsia"/>
          <w:sz w:val="30"/>
          <w:szCs w:val="30"/>
        </w:rPr>
        <w:t>五</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运营单位应当采取下列安全防护措施:</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lastRenderedPageBreak/>
        <w:t>(</w:t>
      </w:r>
      <w:proofErr w:type="gramStart"/>
      <w:r w:rsidRPr="00965CB6">
        <w:rPr>
          <w:rFonts w:ascii="仿宋_GB2312" w:eastAsia="仿宋_GB2312" w:hint="eastAsia"/>
          <w:sz w:val="30"/>
          <w:szCs w:val="30"/>
        </w:rPr>
        <w:t>一</w:t>
      </w:r>
      <w:proofErr w:type="gramEnd"/>
      <w:r w:rsidRPr="00965CB6">
        <w:rPr>
          <w:rFonts w:ascii="仿宋_GB2312" w:eastAsia="仿宋_GB2312" w:hint="eastAsia"/>
          <w:sz w:val="30"/>
          <w:szCs w:val="30"/>
        </w:rPr>
        <w:t>)在大型游乐设施的运行区域周围，设置隔离护栏或者采取其他隔离措施;</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(二)在大型游乐设施运行中可能发生坠物情况的区域，设置安全防护网;</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(三)在运营场所公共区域内，设置人行通道和安全疏散通道;</w:t>
      </w:r>
    </w:p>
    <w:p w:rsidR="0004160D"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(四)夜间运营的，在大型游乐设施及其通道、出入口设置充足的照明</w:t>
      </w:r>
      <w:r w:rsidR="001325B5">
        <w:rPr>
          <w:rFonts w:ascii="仿宋_GB2312" w:eastAsia="仿宋_GB2312" w:hint="eastAsia"/>
          <w:sz w:val="30"/>
          <w:szCs w:val="30"/>
        </w:rPr>
        <w:t>；</w:t>
      </w:r>
    </w:p>
    <w:p w:rsidR="001325B5" w:rsidRPr="00965CB6" w:rsidRDefault="001325B5" w:rsidP="00965CB6">
      <w:pPr>
        <w:spacing w:line="240" w:lineRule="auto"/>
        <w:ind w:firstLineChars="221" w:firstLine="663"/>
        <w:rPr>
          <w:rFonts w:ascii="仿宋_GB2312" w:eastAsia="仿宋_GB2312"/>
          <w:sz w:val="30"/>
          <w:szCs w:val="30"/>
        </w:rPr>
      </w:pPr>
      <w:r>
        <w:rPr>
          <w:rFonts w:ascii="仿宋_GB2312" w:eastAsia="仿宋_GB2312" w:hint="eastAsia"/>
          <w:sz w:val="30"/>
          <w:szCs w:val="30"/>
        </w:rPr>
        <w:t>（五）</w:t>
      </w:r>
      <w:r w:rsidRPr="001325B5">
        <w:rPr>
          <w:rFonts w:ascii="仿宋_GB2312" w:eastAsia="仿宋_GB2312" w:hint="eastAsia"/>
          <w:color w:val="000000" w:themeColor="text1"/>
          <w:sz w:val="30"/>
          <w:szCs w:val="30"/>
        </w:rPr>
        <w:t>室内运营的大型游乐设施，其所在建筑应依法办理消防验收或备案手续。</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第十</w:t>
      </w:r>
      <w:r w:rsidR="00407CBF" w:rsidRPr="00965CB6">
        <w:rPr>
          <w:rFonts w:ascii="仿宋_GB2312" w:eastAsia="仿宋_GB2312" w:hint="eastAsia"/>
          <w:sz w:val="30"/>
          <w:szCs w:val="30"/>
        </w:rPr>
        <w:t>六</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运营单位应当根据大型游乐设施的运行特点，在醒目位置设置安全注意事项和警示标志，标明以下内容:</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w:t>
      </w:r>
      <w:proofErr w:type="gramStart"/>
      <w:r w:rsidRPr="00965CB6">
        <w:rPr>
          <w:rFonts w:ascii="仿宋_GB2312" w:eastAsia="仿宋_GB2312" w:hint="eastAsia"/>
          <w:sz w:val="30"/>
          <w:szCs w:val="30"/>
        </w:rPr>
        <w:t>一</w:t>
      </w:r>
      <w:proofErr w:type="gramEnd"/>
      <w:r w:rsidRPr="00965CB6">
        <w:rPr>
          <w:rFonts w:ascii="仿宋_GB2312" w:eastAsia="仿宋_GB2312" w:hint="eastAsia"/>
          <w:sz w:val="30"/>
          <w:szCs w:val="30"/>
        </w:rPr>
        <w:t>)乘坐大型游乐设施的禁忌病症;</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(二)乘客身高、年龄等限制;</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(三)必须由成年人陪同乘坐的要求;</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(四)禁止乘客进入的区域;</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(五)乘坐大型游乐设施需要注意的其他事项。</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运营单位设置的安全注意事项和警示标志的图案、文字、颜色，应当符合有关标准。</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第十</w:t>
      </w:r>
      <w:r w:rsidR="00407CBF" w:rsidRPr="00965CB6">
        <w:rPr>
          <w:rFonts w:ascii="仿宋_GB2312" w:eastAsia="仿宋_GB2312" w:hint="eastAsia"/>
          <w:sz w:val="30"/>
          <w:szCs w:val="30"/>
        </w:rPr>
        <w:t>七</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运营单位的操作人员应当履行下列职责:</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w:t>
      </w:r>
      <w:proofErr w:type="gramStart"/>
      <w:r w:rsidRPr="00965CB6">
        <w:rPr>
          <w:rFonts w:ascii="仿宋_GB2312" w:eastAsia="仿宋_GB2312" w:hint="eastAsia"/>
          <w:sz w:val="30"/>
          <w:szCs w:val="30"/>
        </w:rPr>
        <w:t>一</w:t>
      </w:r>
      <w:proofErr w:type="gramEnd"/>
      <w:r w:rsidRPr="00965CB6">
        <w:rPr>
          <w:rFonts w:ascii="仿宋_GB2312" w:eastAsia="仿宋_GB2312" w:hint="eastAsia"/>
          <w:sz w:val="30"/>
          <w:szCs w:val="30"/>
        </w:rPr>
        <w:t>)在大型游乐设施每日投入运行前进行试运行，确认运行正常、安全装置有效;</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lastRenderedPageBreak/>
        <w:t>(二)指导乘客使用安全装置和正确乘坐大型游乐设施，并向乘客讲解相关的安全注意事项;</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(三)及时制止和纠正乘客违反安全注意事项的行为，如制止和纠正无效，有权拒绝其乘坐大型游乐设施;</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(四)发现事故隐患或者其他异常情况时，立即停止设施运转，及时向安全管理人员报告，并向乘客说明情况;</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(五)发生事故后疏散乘客，与暂时不能离开设施的乘客保持联络，对受伤人员采取紧急救治措施;</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(六)填写运行记录。</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w:t>
      </w:r>
      <w:r w:rsidR="00407CBF" w:rsidRPr="00965CB6">
        <w:rPr>
          <w:rFonts w:ascii="仿宋_GB2312" w:eastAsia="仿宋_GB2312" w:hint="eastAsia"/>
          <w:sz w:val="30"/>
          <w:szCs w:val="30"/>
        </w:rPr>
        <w:t>十八</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运营单位的维修保养人员应当履行下列职责:</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w:t>
      </w:r>
      <w:proofErr w:type="gramStart"/>
      <w:r w:rsidRPr="00965CB6">
        <w:rPr>
          <w:rFonts w:ascii="仿宋_GB2312" w:eastAsia="仿宋_GB2312" w:hint="eastAsia"/>
          <w:sz w:val="30"/>
          <w:szCs w:val="30"/>
        </w:rPr>
        <w:t>一</w:t>
      </w:r>
      <w:proofErr w:type="gramEnd"/>
      <w:r w:rsidRPr="00965CB6">
        <w:rPr>
          <w:rFonts w:ascii="仿宋_GB2312" w:eastAsia="仿宋_GB2312" w:hint="eastAsia"/>
          <w:sz w:val="30"/>
          <w:szCs w:val="30"/>
        </w:rPr>
        <w:t>)按照安全技术规范的要求开展日检、月检和年检;</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(二)根据安全技术规范和实际使用状况，对大型游乐设施进行日常保养;</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(三)对检查或者保养中发现的事故隐患或者其他异常情况，及时组织维修，并向安全管理人员报告;</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(四)填写维修保养记录。</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w:t>
      </w:r>
      <w:r w:rsidR="00407CBF" w:rsidRPr="00965CB6">
        <w:rPr>
          <w:rFonts w:ascii="仿宋_GB2312" w:eastAsia="仿宋_GB2312" w:hint="eastAsia"/>
          <w:sz w:val="30"/>
          <w:szCs w:val="30"/>
        </w:rPr>
        <w:t>十九</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运营单位的安全管理人员或者安全管理机构应当履行下列职责:</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w:t>
      </w:r>
      <w:proofErr w:type="gramStart"/>
      <w:r w:rsidRPr="00965CB6">
        <w:rPr>
          <w:rFonts w:ascii="仿宋_GB2312" w:eastAsia="仿宋_GB2312" w:hint="eastAsia"/>
          <w:sz w:val="30"/>
          <w:szCs w:val="30"/>
        </w:rPr>
        <w:t>一</w:t>
      </w:r>
      <w:proofErr w:type="gramEnd"/>
      <w:r w:rsidRPr="00965CB6">
        <w:rPr>
          <w:rFonts w:ascii="仿宋_GB2312" w:eastAsia="仿宋_GB2312" w:hint="eastAsia"/>
          <w:sz w:val="30"/>
          <w:szCs w:val="30"/>
        </w:rPr>
        <w:t>)检查操作人员、维修保养人员的作业情况和各项记录;</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(二)制止和纠正操作人员、维修保养人员的违章作业行为;</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(三)及时处理事故隐患或者其他异常情况报告;</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lastRenderedPageBreak/>
        <w:t>(四)发生停电、恶劣气候、火灾等紧急情况时，</w:t>
      </w:r>
      <w:proofErr w:type="gramStart"/>
      <w:r w:rsidRPr="00965CB6">
        <w:rPr>
          <w:rFonts w:ascii="仿宋_GB2312" w:eastAsia="仿宋_GB2312" w:hint="eastAsia"/>
          <w:sz w:val="30"/>
          <w:szCs w:val="30"/>
        </w:rPr>
        <w:t>作出</w:t>
      </w:r>
      <w:proofErr w:type="gramEnd"/>
      <w:r w:rsidRPr="00965CB6">
        <w:rPr>
          <w:rFonts w:ascii="仿宋_GB2312" w:eastAsia="仿宋_GB2312" w:hint="eastAsia"/>
          <w:sz w:val="30"/>
          <w:szCs w:val="30"/>
        </w:rPr>
        <w:t>停止使用的决定;</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(五)发生事故时，组织本单位人员开展应急救援工作。</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第二十条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大型游乐设施因下列情形停止使用的，运营单位应当进行全面检查和保养，确认正常后方可继续使用:</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w:t>
      </w:r>
      <w:proofErr w:type="gramStart"/>
      <w:r w:rsidRPr="00965CB6">
        <w:rPr>
          <w:rFonts w:ascii="仿宋_GB2312" w:eastAsia="仿宋_GB2312" w:hint="eastAsia"/>
          <w:sz w:val="30"/>
          <w:szCs w:val="30"/>
        </w:rPr>
        <w:t>一</w:t>
      </w:r>
      <w:proofErr w:type="gramEnd"/>
      <w:r w:rsidRPr="00965CB6">
        <w:rPr>
          <w:rFonts w:ascii="仿宋_GB2312" w:eastAsia="仿宋_GB2312" w:hint="eastAsia"/>
          <w:sz w:val="30"/>
          <w:szCs w:val="30"/>
        </w:rPr>
        <w:t>)经受可能影响其安全技术性能的火灾、水淹、雷击、大风等自然灾害的;</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(二)发生事故的;</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(三)停止使用1年以上的。</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大型游乐设施因紧急情况或者维修保养等原因需要停止使用的，运营单位应当在运营场所或者单位网站对外公告，说明停止使用的原因和期限。</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第二十</w:t>
      </w:r>
      <w:r w:rsidR="00314D98" w:rsidRPr="00965CB6">
        <w:rPr>
          <w:rFonts w:ascii="仿宋_GB2312" w:eastAsia="仿宋_GB2312" w:hint="eastAsia"/>
          <w:sz w:val="30"/>
          <w:szCs w:val="30"/>
        </w:rPr>
        <w:t>一</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运营单位应当在大型游乐设施安全检验有效期届满30日前，按照有关规定，向特种设备检验检测机构申请定期检验。未经定期检验或者检验不合格的大型游乐设施，不得继续使用。</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第二十</w:t>
      </w:r>
      <w:r w:rsidR="00314D98" w:rsidRPr="00965CB6">
        <w:rPr>
          <w:rFonts w:ascii="仿宋_GB2312" w:eastAsia="仿宋_GB2312" w:hint="eastAsia"/>
          <w:sz w:val="30"/>
          <w:szCs w:val="30"/>
        </w:rPr>
        <w:t>二</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超过设计使用年限的大型游乐设施，需要继续使用的，运营单位应当委托具备大型游乐设施相应制造资格的单位进行安全评</w:t>
      </w:r>
      <w:r w:rsidR="00F2078E">
        <w:rPr>
          <w:rFonts w:ascii="仿宋_GB2312" w:eastAsia="仿宋_GB2312" w:hint="eastAsia"/>
          <w:sz w:val="30"/>
          <w:szCs w:val="30"/>
        </w:rPr>
        <w:t>估</w:t>
      </w:r>
      <w:r w:rsidRPr="00965CB6">
        <w:rPr>
          <w:rFonts w:ascii="仿宋_GB2312" w:eastAsia="仿宋_GB2312" w:hint="eastAsia"/>
          <w:sz w:val="30"/>
          <w:szCs w:val="30"/>
        </w:rPr>
        <w:t>，确定继续使用的条件和期限，并到所在地的市场监管部门变更使用登记。</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第二十</w:t>
      </w:r>
      <w:r w:rsidR="00314D98" w:rsidRPr="00965CB6">
        <w:rPr>
          <w:rFonts w:ascii="仿宋_GB2312" w:eastAsia="仿宋_GB2312" w:hint="eastAsia"/>
          <w:sz w:val="30"/>
          <w:szCs w:val="30"/>
        </w:rPr>
        <w:t>三</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运营单位在大型游乐设施发生事故后，应当按照应急预案组织抢救，迅速有效地控制事故，减少人员伤亡和财产损失。同时，按照规定保护事故现场，并及时向所在地的市场监管部门报告。</w:t>
      </w:r>
    </w:p>
    <w:p w:rsidR="0004160D" w:rsidRPr="00965CB6" w:rsidRDefault="0004160D" w:rsidP="00965CB6">
      <w:pPr>
        <w:pStyle w:val="1"/>
        <w:spacing w:before="0" w:after="0" w:line="240" w:lineRule="auto"/>
        <w:jc w:val="center"/>
        <w:rPr>
          <w:rFonts w:ascii="仿宋_GB2312" w:eastAsia="仿宋_GB2312"/>
          <w:sz w:val="30"/>
          <w:szCs w:val="30"/>
        </w:rPr>
      </w:pPr>
      <w:r w:rsidRPr="00965CB6">
        <w:rPr>
          <w:rFonts w:ascii="仿宋_GB2312" w:eastAsia="仿宋_GB2312" w:hint="eastAsia"/>
          <w:sz w:val="30"/>
          <w:szCs w:val="30"/>
        </w:rPr>
        <w:lastRenderedPageBreak/>
        <w:t>第四章</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监督管理</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第二十</w:t>
      </w:r>
      <w:r w:rsidR="00314D98" w:rsidRPr="00965CB6">
        <w:rPr>
          <w:rFonts w:ascii="仿宋_GB2312" w:eastAsia="仿宋_GB2312" w:hint="eastAsia"/>
          <w:sz w:val="30"/>
          <w:szCs w:val="30"/>
        </w:rPr>
        <w:t>四</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特种设备检验检测机构发现运营单位在用的大型游乐设施存在事故隐患或者其他异常情况的，应当以书面形式告知运营单位;发现在用大型游乐设施有下列情形之一的，应当在发现当日告知运营单位立即停止使用，同时报告运营单位所在地的市场监管部门:</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w:t>
      </w:r>
      <w:proofErr w:type="gramStart"/>
      <w:r w:rsidRPr="00965CB6">
        <w:rPr>
          <w:rFonts w:ascii="仿宋_GB2312" w:eastAsia="仿宋_GB2312" w:hint="eastAsia"/>
          <w:sz w:val="30"/>
          <w:szCs w:val="30"/>
        </w:rPr>
        <w:t>一</w:t>
      </w:r>
      <w:proofErr w:type="gramEnd"/>
      <w:r w:rsidRPr="00965CB6">
        <w:rPr>
          <w:rFonts w:ascii="仿宋_GB2312" w:eastAsia="仿宋_GB2312" w:hint="eastAsia"/>
          <w:sz w:val="30"/>
          <w:szCs w:val="30"/>
        </w:rPr>
        <w:t>)生产、安装、维修单位未取得相应资格的;</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(二)未依法办理注册登记的;</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(三)已经报废或者应当报废的;</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(四)未经监督检验、定期检验或者经检验不合格的;</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(五)存在其他严重事故隐患的。</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第二十</w:t>
      </w:r>
      <w:r w:rsidR="00314D98" w:rsidRPr="00965CB6">
        <w:rPr>
          <w:rFonts w:ascii="仿宋_GB2312" w:eastAsia="仿宋_GB2312" w:hint="eastAsia"/>
          <w:sz w:val="30"/>
          <w:szCs w:val="30"/>
        </w:rPr>
        <w:t>五</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市场监管部门应当</w:t>
      </w:r>
      <w:r w:rsidR="003A641D" w:rsidRPr="00965CB6">
        <w:rPr>
          <w:rFonts w:ascii="仿宋_GB2312" w:eastAsia="仿宋_GB2312" w:hint="eastAsia"/>
          <w:sz w:val="30"/>
          <w:szCs w:val="30"/>
        </w:rPr>
        <w:t>在节假日前和旅游旺季到来前</w:t>
      </w:r>
      <w:r w:rsidR="003A641D">
        <w:rPr>
          <w:rFonts w:ascii="仿宋_GB2312" w:eastAsia="仿宋_GB2312" w:hint="eastAsia"/>
          <w:sz w:val="30"/>
          <w:szCs w:val="30"/>
        </w:rPr>
        <w:t>加强</w:t>
      </w:r>
      <w:r w:rsidRPr="00965CB6">
        <w:rPr>
          <w:rFonts w:ascii="仿宋_GB2312" w:eastAsia="仿宋_GB2312" w:hint="eastAsia"/>
          <w:sz w:val="30"/>
          <w:szCs w:val="30"/>
        </w:rPr>
        <w:t>对运营单位安全检查，重点检查运营单位安全管理制度和应急预案的制定、执行情况。</w:t>
      </w:r>
      <w:r w:rsidR="003A641D">
        <w:rPr>
          <w:rFonts w:ascii="仿宋_GB2312" w:eastAsia="仿宋_GB2312" w:hint="eastAsia"/>
          <w:sz w:val="30"/>
          <w:szCs w:val="30"/>
        </w:rPr>
        <w:t>检</w:t>
      </w:r>
      <w:r w:rsidRPr="00965CB6">
        <w:rPr>
          <w:rFonts w:ascii="仿宋_GB2312" w:eastAsia="仿宋_GB2312" w:hint="eastAsia"/>
          <w:sz w:val="30"/>
          <w:szCs w:val="30"/>
        </w:rPr>
        <w:t>查内容包括:</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w:t>
      </w:r>
      <w:proofErr w:type="gramStart"/>
      <w:r w:rsidRPr="00965CB6">
        <w:rPr>
          <w:rFonts w:ascii="仿宋_GB2312" w:eastAsia="仿宋_GB2312" w:hint="eastAsia"/>
          <w:sz w:val="30"/>
          <w:szCs w:val="30"/>
        </w:rPr>
        <w:t>一</w:t>
      </w:r>
      <w:proofErr w:type="gramEnd"/>
      <w:r w:rsidRPr="00965CB6">
        <w:rPr>
          <w:rFonts w:ascii="仿宋_GB2312" w:eastAsia="仿宋_GB2312" w:hint="eastAsia"/>
          <w:sz w:val="30"/>
          <w:szCs w:val="30"/>
        </w:rPr>
        <w:t>)安全检验合格标志是否有效;</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(二)安全注意事项告知和警示标志是否醒目、完整;</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(三)作业人员配备和操作是否符合规定;</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(四)每日运行日志、维修保养日志、培训记录是否准确、完整;</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(五)应急救援人员是否到位、应急救援装备是否完好。</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第二十</w:t>
      </w:r>
      <w:r w:rsidR="00314D98" w:rsidRPr="00965CB6">
        <w:rPr>
          <w:rFonts w:ascii="仿宋_GB2312" w:eastAsia="仿宋_GB2312" w:hint="eastAsia"/>
          <w:sz w:val="30"/>
          <w:szCs w:val="30"/>
        </w:rPr>
        <w:t>六</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市场监管部门发现运营单位存在违反安全管理规定的行为或者大型游乐设施存在事故隐患的，应当责令运营单位及时采取措施，改正违法行为或者消除事故隐患，并根据实际情况</w:t>
      </w:r>
      <w:r w:rsidR="008526B0">
        <w:rPr>
          <w:rFonts w:ascii="仿宋_GB2312" w:eastAsia="仿宋_GB2312" w:hint="eastAsia"/>
          <w:sz w:val="30"/>
          <w:szCs w:val="30"/>
        </w:rPr>
        <w:t>依法</w:t>
      </w:r>
      <w:proofErr w:type="gramStart"/>
      <w:r w:rsidRPr="00965CB6">
        <w:rPr>
          <w:rFonts w:ascii="仿宋_GB2312" w:eastAsia="仿宋_GB2312" w:hint="eastAsia"/>
          <w:sz w:val="30"/>
          <w:szCs w:val="30"/>
        </w:rPr>
        <w:t>作出</w:t>
      </w:r>
      <w:proofErr w:type="gramEnd"/>
      <w:r w:rsidRPr="00965CB6">
        <w:rPr>
          <w:rFonts w:ascii="仿宋_GB2312" w:eastAsia="仿宋_GB2312" w:hint="eastAsia"/>
          <w:sz w:val="30"/>
          <w:szCs w:val="30"/>
        </w:rPr>
        <w:t>暂停使</w:t>
      </w:r>
      <w:r w:rsidRPr="00965CB6">
        <w:rPr>
          <w:rFonts w:ascii="仿宋_GB2312" w:eastAsia="仿宋_GB2312" w:hint="eastAsia"/>
          <w:sz w:val="30"/>
          <w:szCs w:val="30"/>
        </w:rPr>
        <w:lastRenderedPageBreak/>
        <w:t>用、停</w:t>
      </w:r>
      <w:r w:rsidR="00CB1059">
        <w:rPr>
          <w:rFonts w:ascii="仿宋_GB2312" w:eastAsia="仿宋_GB2312" w:hint="eastAsia"/>
          <w:sz w:val="30"/>
          <w:szCs w:val="30"/>
        </w:rPr>
        <w:t>止使用或者需要进一步技术鉴定的决定。情节严重的，可以依法责令</w:t>
      </w:r>
      <w:r w:rsidRPr="00965CB6">
        <w:rPr>
          <w:rFonts w:ascii="仿宋_GB2312" w:eastAsia="仿宋_GB2312" w:hint="eastAsia"/>
          <w:sz w:val="30"/>
          <w:szCs w:val="30"/>
        </w:rPr>
        <w:t>停业整顿。对有证据表明不符合安全技术规范要求或者存在严重事故隐患的大型游乐设施，可以依法采取查封或者扣押措施。</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w:t>
      </w:r>
      <w:r w:rsidR="00314D98" w:rsidRPr="00965CB6">
        <w:rPr>
          <w:rFonts w:ascii="仿宋_GB2312" w:eastAsia="仿宋_GB2312" w:hint="eastAsia"/>
          <w:sz w:val="30"/>
          <w:szCs w:val="30"/>
        </w:rPr>
        <w:t>二十七</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市场</w:t>
      </w:r>
      <w:r w:rsidR="00AB75B7">
        <w:rPr>
          <w:rFonts w:ascii="仿宋_GB2312" w:eastAsia="仿宋_GB2312" w:hint="eastAsia"/>
          <w:sz w:val="30"/>
          <w:szCs w:val="30"/>
        </w:rPr>
        <w:t>监管</w:t>
      </w:r>
      <w:r w:rsidRPr="00965CB6">
        <w:rPr>
          <w:rFonts w:ascii="仿宋_GB2312" w:eastAsia="仿宋_GB2312" w:hint="eastAsia"/>
          <w:sz w:val="30"/>
          <w:szCs w:val="30"/>
        </w:rPr>
        <w:t>部门应当利用信息化技术，建立和完善本市大型游乐设施安全监管数据库。</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w:t>
      </w:r>
      <w:r w:rsidR="00314D98" w:rsidRPr="00965CB6">
        <w:rPr>
          <w:rFonts w:ascii="仿宋_GB2312" w:eastAsia="仿宋_GB2312" w:hint="eastAsia"/>
          <w:sz w:val="30"/>
          <w:szCs w:val="30"/>
        </w:rPr>
        <w:t>二十八</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市场监管部门在接到有关违反大型游乐设施安全管理规定的举报后，应当及时核实处理。</w:t>
      </w:r>
    </w:p>
    <w:p w:rsidR="0004160D" w:rsidRPr="00965CB6" w:rsidRDefault="0004160D" w:rsidP="00965CB6">
      <w:pPr>
        <w:pStyle w:val="1"/>
        <w:spacing w:before="0" w:after="0" w:line="240" w:lineRule="auto"/>
        <w:jc w:val="center"/>
        <w:rPr>
          <w:rFonts w:ascii="仿宋_GB2312" w:eastAsia="仿宋_GB2312"/>
          <w:sz w:val="30"/>
          <w:szCs w:val="30"/>
        </w:rPr>
      </w:pPr>
      <w:r w:rsidRPr="00965CB6">
        <w:rPr>
          <w:rFonts w:ascii="仿宋_GB2312" w:eastAsia="仿宋_GB2312" w:hint="eastAsia"/>
          <w:sz w:val="30"/>
          <w:szCs w:val="30"/>
        </w:rPr>
        <w:t>第五章 法律责任</w:t>
      </w:r>
    </w:p>
    <w:p w:rsidR="0004160D" w:rsidRPr="00965CB6" w:rsidRDefault="00314D98"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第二十九条</w:t>
      </w:r>
      <w:r w:rsidR="00965CB6">
        <w:rPr>
          <w:rFonts w:ascii="仿宋_GB2312" w:eastAsia="仿宋_GB2312" w:hint="eastAsia"/>
          <w:sz w:val="30"/>
          <w:szCs w:val="30"/>
        </w:rPr>
        <w:t xml:space="preserve">  </w:t>
      </w:r>
      <w:r w:rsidR="0004160D" w:rsidRPr="00965CB6">
        <w:rPr>
          <w:rFonts w:ascii="仿宋_GB2312" w:eastAsia="仿宋_GB2312" w:hint="eastAsia"/>
          <w:sz w:val="30"/>
          <w:szCs w:val="30"/>
        </w:rPr>
        <w:t>对违反本</w:t>
      </w:r>
      <w:r w:rsidR="003831A3">
        <w:rPr>
          <w:rFonts w:ascii="仿宋_GB2312" w:eastAsia="仿宋_GB2312" w:hint="eastAsia"/>
          <w:sz w:val="30"/>
          <w:szCs w:val="30"/>
        </w:rPr>
        <w:t>规定</w:t>
      </w:r>
      <w:r w:rsidR="0004160D" w:rsidRPr="00965CB6">
        <w:rPr>
          <w:rFonts w:ascii="仿宋_GB2312" w:eastAsia="仿宋_GB2312" w:hint="eastAsia"/>
          <w:sz w:val="30"/>
          <w:szCs w:val="30"/>
        </w:rPr>
        <w:t>的行为，按照相关法律、法规、规章的规定进行处罚。</w:t>
      </w:r>
    </w:p>
    <w:p w:rsidR="0004160D" w:rsidRPr="00965CB6" w:rsidRDefault="0004160D" w:rsidP="00965CB6">
      <w:pPr>
        <w:pStyle w:val="1"/>
        <w:spacing w:before="0" w:after="0" w:line="240" w:lineRule="auto"/>
        <w:jc w:val="center"/>
        <w:rPr>
          <w:rFonts w:ascii="仿宋_GB2312" w:eastAsia="仿宋_GB2312"/>
          <w:sz w:val="30"/>
          <w:szCs w:val="30"/>
        </w:rPr>
      </w:pPr>
      <w:r w:rsidRPr="00965CB6">
        <w:rPr>
          <w:rFonts w:ascii="仿宋_GB2312" w:eastAsia="仿宋_GB2312" w:hint="eastAsia"/>
          <w:sz w:val="30"/>
          <w:szCs w:val="30"/>
        </w:rPr>
        <w:t>第六章 附则</w:t>
      </w:r>
    </w:p>
    <w:p w:rsidR="0004160D"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第三十条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本</w:t>
      </w:r>
      <w:r w:rsidR="003831A3">
        <w:rPr>
          <w:rFonts w:ascii="仿宋_GB2312" w:eastAsia="仿宋_GB2312" w:hint="eastAsia"/>
          <w:sz w:val="30"/>
          <w:szCs w:val="30"/>
        </w:rPr>
        <w:t>规定</w:t>
      </w:r>
      <w:r w:rsidRPr="00965CB6">
        <w:rPr>
          <w:rFonts w:ascii="仿宋_GB2312" w:eastAsia="仿宋_GB2312" w:hint="eastAsia"/>
          <w:sz w:val="30"/>
          <w:szCs w:val="30"/>
        </w:rPr>
        <w:t>由梅州市市场监督管理局负责解释。</w:t>
      </w:r>
    </w:p>
    <w:p w:rsidR="004103B6" w:rsidRPr="00965CB6" w:rsidRDefault="0004160D" w:rsidP="00965CB6">
      <w:pPr>
        <w:spacing w:line="240" w:lineRule="auto"/>
        <w:ind w:firstLineChars="221" w:firstLine="663"/>
        <w:rPr>
          <w:rFonts w:ascii="仿宋_GB2312" w:eastAsia="仿宋_GB2312"/>
          <w:sz w:val="30"/>
          <w:szCs w:val="30"/>
        </w:rPr>
      </w:pPr>
      <w:r w:rsidRPr="00965CB6">
        <w:rPr>
          <w:rFonts w:ascii="仿宋_GB2312" w:eastAsia="仿宋_GB2312" w:hint="eastAsia"/>
          <w:sz w:val="30"/>
          <w:szCs w:val="30"/>
        </w:rPr>
        <w:t>第</w:t>
      </w:r>
      <w:r w:rsidR="00314D98" w:rsidRPr="00965CB6">
        <w:rPr>
          <w:rFonts w:ascii="仿宋_GB2312" w:eastAsia="仿宋_GB2312" w:hint="eastAsia"/>
          <w:sz w:val="30"/>
          <w:szCs w:val="30"/>
        </w:rPr>
        <w:t>三十一</w:t>
      </w:r>
      <w:r w:rsidRPr="00965CB6">
        <w:rPr>
          <w:rFonts w:ascii="仿宋_GB2312" w:eastAsia="仿宋_GB2312" w:hint="eastAsia"/>
          <w:sz w:val="30"/>
          <w:szCs w:val="30"/>
        </w:rPr>
        <w:t>条</w:t>
      </w:r>
      <w:r w:rsidR="00F03B78" w:rsidRPr="00965CB6">
        <w:rPr>
          <w:rFonts w:ascii="仿宋_GB2312" w:eastAsia="仿宋_GB2312" w:hint="eastAsia"/>
          <w:sz w:val="30"/>
          <w:szCs w:val="30"/>
        </w:rPr>
        <w:t xml:space="preserve">  </w:t>
      </w:r>
      <w:r w:rsidRPr="00965CB6">
        <w:rPr>
          <w:rFonts w:ascii="仿宋_GB2312" w:eastAsia="仿宋_GB2312" w:hint="eastAsia"/>
          <w:sz w:val="30"/>
          <w:szCs w:val="30"/>
        </w:rPr>
        <w:t>本</w:t>
      </w:r>
      <w:r w:rsidR="003831A3">
        <w:rPr>
          <w:rFonts w:ascii="仿宋_GB2312" w:eastAsia="仿宋_GB2312" w:hint="eastAsia"/>
          <w:sz w:val="30"/>
          <w:szCs w:val="30"/>
        </w:rPr>
        <w:t>规定</w:t>
      </w:r>
      <w:bookmarkStart w:id="1" w:name="_GoBack"/>
      <w:bookmarkEnd w:id="1"/>
      <w:r w:rsidRPr="00965CB6">
        <w:rPr>
          <w:rFonts w:ascii="仿宋_GB2312" w:eastAsia="仿宋_GB2312" w:hint="eastAsia"/>
          <w:sz w:val="30"/>
          <w:szCs w:val="30"/>
        </w:rPr>
        <w:t>自2020年 月 日起施行。</w:t>
      </w:r>
    </w:p>
    <w:sectPr w:rsidR="004103B6" w:rsidRPr="00965CB6" w:rsidSect="00E70E3C">
      <w:footerReference w:type="default" r:id="rId7"/>
      <w:pgSz w:w="11906" w:h="16838"/>
      <w:pgMar w:top="1814" w:right="1247" w:bottom="1701"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62" w:rsidRDefault="00051B62" w:rsidP="00DA08EF">
      <w:pPr>
        <w:spacing w:line="240" w:lineRule="auto"/>
      </w:pPr>
      <w:r>
        <w:separator/>
      </w:r>
    </w:p>
  </w:endnote>
  <w:endnote w:type="continuationSeparator" w:id="0">
    <w:p w:rsidR="00051B62" w:rsidRDefault="00051B62" w:rsidP="00DA0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47275"/>
      <w:docPartObj>
        <w:docPartGallery w:val="Page Numbers (Bottom of Page)"/>
        <w:docPartUnique/>
      </w:docPartObj>
    </w:sdtPr>
    <w:sdtEndPr/>
    <w:sdtContent>
      <w:sdt>
        <w:sdtPr>
          <w:id w:val="-1669238322"/>
          <w:docPartObj>
            <w:docPartGallery w:val="Page Numbers (Top of Page)"/>
            <w:docPartUnique/>
          </w:docPartObj>
        </w:sdtPr>
        <w:sdtEndPr/>
        <w:sdtContent>
          <w:p w:rsidR="00D92CEF" w:rsidRDefault="00D92CEF">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831A3">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831A3">
              <w:rPr>
                <w:b/>
                <w:bCs/>
                <w:noProof/>
              </w:rPr>
              <w:t>8</w:t>
            </w:r>
            <w:r>
              <w:rPr>
                <w:b/>
                <w:bCs/>
                <w:sz w:val="24"/>
                <w:szCs w:val="24"/>
              </w:rPr>
              <w:fldChar w:fldCharType="end"/>
            </w:r>
          </w:p>
        </w:sdtContent>
      </w:sdt>
    </w:sdtContent>
  </w:sdt>
  <w:p w:rsidR="00D92CEF" w:rsidRDefault="00D92C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62" w:rsidRDefault="00051B62" w:rsidP="00DA08EF">
      <w:pPr>
        <w:spacing w:line="240" w:lineRule="auto"/>
      </w:pPr>
      <w:r>
        <w:separator/>
      </w:r>
    </w:p>
  </w:footnote>
  <w:footnote w:type="continuationSeparator" w:id="0">
    <w:p w:rsidR="00051B62" w:rsidRDefault="00051B62" w:rsidP="00DA08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C4"/>
    <w:rsid w:val="00024FD7"/>
    <w:rsid w:val="000345E7"/>
    <w:rsid w:val="00035ACB"/>
    <w:rsid w:val="0004160D"/>
    <w:rsid w:val="00051B62"/>
    <w:rsid w:val="00077111"/>
    <w:rsid w:val="000E37A2"/>
    <w:rsid w:val="00124647"/>
    <w:rsid w:val="001325B5"/>
    <w:rsid w:val="001351DE"/>
    <w:rsid w:val="00135EEA"/>
    <w:rsid w:val="001435DC"/>
    <w:rsid w:val="00147031"/>
    <w:rsid w:val="001609DF"/>
    <w:rsid w:val="0019417C"/>
    <w:rsid w:val="001F4AD1"/>
    <w:rsid w:val="002543DB"/>
    <w:rsid w:val="002558EE"/>
    <w:rsid w:val="00314D98"/>
    <w:rsid w:val="00355035"/>
    <w:rsid w:val="00366395"/>
    <w:rsid w:val="003766D6"/>
    <w:rsid w:val="003831A3"/>
    <w:rsid w:val="003905AA"/>
    <w:rsid w:val="003A641D"/>
    <w:rsid w:val="003C3FB9"/>
    <w:rsid w:val="00407CBF"/>
    <w:rsid w:val="004103B6"/>
    <w:rsid w:val="004A025A"/>
    <w:rsid w:val="004D1D53"/>
    <w:rsid w:val="004E16E5"/>
    <w:rsid w:val="00526F3C"/>
    <w:rsid w:val="00527723"/>
    <w:rsid w:val="005470DF"/>
    <w:rsid w:val="005A1D21"/>
    <w:rsid w:val="005D76E8"/>
    <w:rsid w:val="005E45CD"/>
    <w:rsid w:val="005E6847"/>
    <w:rsid w:val="00612FCB"/>
    <w:rsid w:val="00637AF3"/>
    <w:rsid w:val="0067747E"/>
    <w:rsid w:val="00721615"/>
    <w:rsid w:val="0072460E"/>
    <w:rsid w:val="007A0BC1"/>
    <w:rsid w:val="00822356"/>
    <w:rsid w:val="008332FF"/>
    <w:rsid w:val="008526B0"/>
    <w:rsid w:val="00965CB6"/>
    <w:rsid w:val="009701F2"/>
    <w:rsid w:val="0097081C"/>
    <w:rsid w:val="009D2308"/>
    <w:rsid w:val="00A03D6A"/>
    <w:rsid w:val="00A537C7"/>
    <w:rsid w:val="00AB75B7"/>
    <w:rsid w:val="00AC7732"/>
    <w:rsid w:val="00B27496"/>
    <w:rsid w:val="00B577BF"/>
    <w:rsid w:val="00B621B6"/>
    <w:rsid w:val="00BD478A"/>
    <w:rsid w:val="00BF2B0A"/>
    <w:rsid w:val="00C17355"/>
    <w:rsid w:val="00C23B8D"/>
    <w:rsid w:val="00C76331"/>
    <w:rsid w:val="00C76465"/>
    <w:rsid w:val="00CB1059"/>
    <w:rsid w:val="00CB7A84"/>
    <w:rsid w:val="00D67239"/>
    <w:rsid w:val="00D92CEF"/>
    <w:rsid w:val="00DA08EF"/>
    <w:rsid w:val="00E06012"/>
    <w:rsid w:val="00E3142F"/>
    <w:rsid w:val="00E3162C"/>
    <w:rsid w:val="00E639BC"/>
    <w:rsid w:val="00E70E3C"/>
    <w:rsid w:val="00EA04C4"/>
    <w:rsid w:val="00EB325D"/>
    <w:rsid w:val="00EB7620"/>
    <w:rsid w:val="00ED05CD"/>
    <w:rsid w:val="00ED3743"/>
    <w:rsid w:val="00F03B78"/>
    <w:rsid w:val="00F2078E"/>
    <w:rsid w:val="00F5433E"/>
    <w:rsid w:val="00FC7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1">
    <w:name w:val="heading 1"/>
    <w:basedOn w:val="a"/>
    <w:next w:val="a"/>
    <w:link w:val="1Char"/>
    <w:uiPriority w:val="9"/>
    <w:qFormat/>
    <w:rsid w:val="00EA04C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345E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EA04C4"/>
    <w:pPr>
      <w:spacing w:before="100" w:beforeAutospacing="1" w:after="100" w:afterAutospacing="1" w:line="240" w:lineRule="auto"/>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A04C4"/>
    <w:rPr>
      <w:rFonts w:ascii="宋体" w:eastAsia="宋体" w:hAnsi="宋体" w:cs="宋体"/>
      <w:b/>
      <w:bCs/>
      <w:kern w:val="0"/>
      <w:sz w:val="27"/>
      <w:szCs w:val="27"/>
    </w:rPr>
  </w:style>
  <w:style w:type="paragraph" w:styleId="a3">
    <w:name w:val="Normal (Web)"/>
    <w:basedOn w:val="a"/>
    <w:uiPriority w:val="99"/>
    <w:semiHidden/>
    <w:unhideWhenUsed/>
    <w:rsid w:val="00EA04C4"/>
    <w:pPr>
      <w:spacing w:before="100" w:beforeAutospacing="1" w:after="100" w:afterAutospacing="1" w:line="240" w:lineRule="auto"/>
    </w:pPr>
    <w:rPr>
      <w:rFonts w:ascii="宋体" w:eastAsia="宋体" w:hAnsi="宋体" w:cs="宋体"/>
      <w:kern w:val="0"/>
      <w:sz w:val="24"/>
      <w:szCs w:val="24"/>
    </w:rPr>
  </w:style>
  <w:style w:type="character" w:styleId="a4">
    <w:name w:val="Hyperlink"/>
    <w:basedOn w:val="a0"/>
    <w:uiPriority w:val="99"/>
    <w:unhideWhenUsed/>
    <w:rsid w:val="00EA04C4"/>
    <w:rPr>
      <w:color w:val="0000FF"/>
      <w:u w:val="single"/>
    </w:rPr>
  </w:style>
  <w:style w:type="character" w:customStyle="1" w:styleId="show-img-bd">
    <w:name w:val="show-img-bd"/>
    <w:basedOn w:val="a0"/>
    <w:rsid w:val="00EA04C4"/>
  </w:style>
  <w:style w:type="paragraph" w:styleId="a5">
    <w:name w:val="Balloon Text"/>
    <w:basedOn w:val="a"/>
    <w:link w:val="Char"/>
    <w:uiPriority w:val="99"/>
    <w:semiHidden/>
    <w:unhideWhenUsed/>
    <w:rsid w:val="00EA04C4"/>
    <w:pPr>
      <w:spacing w:line="240" w:lineRule="auto"/>
    </w:pPr>
    <w:rPr>
      <w:sz w:val="18"/>
      <w:szCs w:val="18"/>
    </w:rPr>
  </w:style>
  <w:style w:type="character" w:customStyle="1" w:styleId="Char">
    <w:name w:val="批注框文本 Char"/>
    <w:basedOn w:val="a0"/>
    <w:link w:val="a5"/>
    <w:uiPriority w:val="99"/>
    <w:semiHidden/>
    <w:rsid w:val="00EA04C4"/>
    <w:rPr>
      <w:sz w:val="18"/>
      <w:szCs w:val="18"/>
    </w:rPr>
  </w:style>
  <w:style w:type="character" w:customStyle="1" w:styleId="1Char">
    <w:name w:val="标题 1 Char"/>
    <w:basedOn w:val="a0"/>
    <w:link w:val="1"/>
    <w:uiPriority w:val="9"/>
    <w:rsid w:val="00EA04C4"/>
    <w:rPr>
      <w:b/>
      <w:bCs/>
      <w:kern w:val="44"/>
      <w:sz w:val="44"/>
      <w:szCs w:val="44"/>
    </w:rPr>
  </w:style>
  <w:style w:type="character" w:customStyle="1" w:styleId="10">
    <w:name w:val="标题1"/>
    <w:basedOn w:val="a0"/>
    <w:rsid w:val="00EA04C4"/>
  </w:style>
  <w:style w:type="character" w:customStyle="1" w:styleId="2Char">
    <w:name w:val="标题 2 Char"/>
    <w:basedOn w:val="a0"/>
    <w:link w:val="2"/>
    <w:uiPriority w:val="9"/>
    <w:rsid w:val="000345E7"/>
    <w:rPr>
      <w:rFonts w:asciiTheme="majorHAnsi" w:eastAsiaTheme="majorEastAsia" w:hAnsiTheme="majorHAnsi" w:cstheme="majorBidi"/>
      <w:b/>
      <w:bCs/>
      <w:sz w:val="32"/>
      <w:szCs w:val="32"/>
    </w:rPr>
  </w:style>
  <w:style w:type="paragraph" w:styleId="a6">
    <w:name w:val="header"/>
    <w:basedOn w:val="a"/>
    <w:link w:val="Char0"/>
    <w:uiPriority w:val="99"/>
    <w:unhideWhenUsed/>
    <w:rsid w:val="00DA08E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DA08EF"/>
    <w:rPr>
      <w:sz w:val="18"/>
      <w:szCs w:val="18"/>
    </w:rPr>
  </w:style>
  <w:style w:type="paragraph" w:styleId="a7">
    <w:name w:val="footer"/>
    <w:basedOn w:val="a"/>
    <w:link w:val="Char1"/>
    <w:uiPriority w:val="99"/>
    <w:unhideWhenUsed/>
    <w:rsid w:val="00DA08EF"/>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DA08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1">
    <w:name w:val="heading 1"/>
    <w:basedOn w:val="a"/>
    <w:next w:val="a"/>
    <w:link w:val="1Char"/>
    <w:uiPriority w:val="9"/>
    <w:qFormat/>
    <w:rsid w:val="00EA04C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345E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EA04C4"/>
    <w:pPr>
      <w:spacing w:before="100" w:beforeAutospacing="1" w:after="100" w:afterAutospacing="1" w:line="240" w:lineRule="auto"/>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A04C4"/>
    <w:rPr>
      <w:rFonts w:ascii="宋体" w:eastAsia="宋体" w:hAnsi="宋体" w:cs="宋体"/>
      <w:b/>
      <w:bCs/>
      <w:kern w:val="0"/>
      <w:sz w:val="27"/>
      <w:szCs w:val="27"/>
    </w:rPr>
  </w:style>
  <w:style w:type="paragraph" w:styleId="a3">
    <w:name w:val="Normal (Web)"/>
    <w:basedOn w:val="a"/>
    <w:uiPriority w:val="99"/>
    <w:semiHidden/>
    <w:unhideWhenUsed/>
    <w:rsid w:val="00EA04C4"/>
    <w:pPr>
      <w:spacing w:before="100" w:beforeAutospacing="1" w:after="100" w:afterAutospacing="1" w:line="240" w:lineRule="auto"/>
    </w:pPr>
    <w:rPr>
      <w:rFonts w:ascii="宋体" w:eastAsia="宋体" w:hAnsi="宋体" w:cs="宋体"/>
      <w:kern w:val="0"/>
      <w:sz w:val="24"/>
      <w:szCs w:val="24"/>
    </w:rPr>
  </w:style>
  <w:style w:type="character" w:styleId="a4">
    <w:name w:val="Hyperlink"/>
    <w:basedOn w:val="a0"/>
    <w:uiPriority w:val="99"/>
    <w:unhideWhenUsed/>
    <w:rsid w:val="00EA04C4"/>
    <w:rPr>
      <w:color w:val="0000FF"/>
      <w:u w:val="single"/>
    </w:rPr>
  </w:style>
  <w:style w:type="character" w:customStyle="1" w:styleId="show-img-bd">
    <w:name w:val="show-img-bd"/>
    <w:basedOn w:val="a0"/>
    <w:rsid w:val="00EA04C4"/>
  </w:style>
  <w:style w:type="paragraph" w:styleId="a5">
    <w:name w:val="Balloon Text"/>
    <w:basedOn w:val="a"/>
    <w:link w:val="Char"/>
    <w:uiPriority w:val="99"/>
    <w:semiHidden/>
    <w:unhideWhenUsed/>
    <w:rsid w:val="00EA04C4"/>
    <w:pPr>
      <w:spacing w:line="240" w:lineRule="auto"/>
    </w:pPr>
    <w:rPr>
      <w:sz w:val="18"/>
      <w:szCs w:val="18"/>
    </w:rPr>
  </w:style>
  <w:style w:type="character" w:customStyle="1" w:styleId="Char">
    <w:name w:val="批注框文本 Char"/>
    <w:basedOn w:val="a0"/>
    <w:link w:val="a5"/>
    <w:uiPriority w:val="99"/>
    <w:semiHidden/>
    <w:rsid w:val="00EA04C4"/>
    <w:rPr>
      <w:sz w:val="18"/>
      <w:szCs w:val="18"/>
    </w:rPr>
  </w:style>
  <w:style w:type="character" w:customStyle="1" w:styleId="1Char">
    <w:name w:val="标题 1 Char"/>
    <w:basedOn w:val="a0"/>
    <w:link w:val="1"/>
    <w:uiPriority w:val="9"/>
    <w:rsid w:val="00EA04C4"/>
    <w:rPr>
      <w:b/>
      <w:bCs/>
      <w:kern w:val="44"/>
      <w:sz w:val="44"/>
      <w:szCs w:val="44"/>
    </w:rPr>
  </w:style>
  <w:style w:type="character" w:customStyle="1" w:styleId="10">
    <w:name w:val="标题1"/>
    <w:basedOn w:val="a0"/>
    <w:rsid w:val="00EA04C4"/>
  </w:style>
  <w:style w:type="character" w:customStyle="1" w:styleId="2Char">
    <w:name w:val="标题 2 Char"/>
    <w:basedOn w:val="a0"/>
    <w:link w:val="2"/>
    <w:uiPriority w:val="9"/>
    <w:rsid w:val="000345E7"/>
    <w:rPr>
      <w:rFonts w:asciiTheme="majorHAnsi" w:eastAsiaTheme="majorEastAsia" w:hAnsiTheme="majorHAnsi" w:cstheme="majorBidi"/>
      <w:b/>
      <w:bCs/>
      <w:sz w:val="32"/>
      <w:szCs w:val="32"/>
    </w:rPr>
  </w:style>
  <w:style w:type="paragraph" w:styleId="a6">
    <w:name w:val="header"/>
    <w:basedOn w:val="a"/>
    <w:link w:val="Char0"/>
    <w:uiPriority w:val="99"/>
    <w:unhideWhenUsed/>
    <w:rsid w:val="00DA08E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DA08EF"/>
    <w:rPr>
      <w:sz w:val="18"/>
      <w:szCs w:val="18"/>
    </w:rPr>
  </w:style>
  <w:style w:type="paragraph" w:styleId="a7">
    <w:name w:val="footer"/>
    <w:basedOn w:val="a"/>
    <w:link w:val="Char1"/>
    <w:uiPriority w:val="99"/>
    <w:unhideWhenUsed/>
    <w:rsid w:val="00DA08EF"/>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DA08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1213">
      <w:bodyDiv w:val="1"/>
      <w:marLeft w:val="0"/>
      <w:marRight w:val="0"/>
      <w:marTop w:val="0"/>
      <w:marBottom w:val="0"/>
      <w:divBdr>
        <w:top w:val="none" w:sz="0" w:space="0" w:color="auto"/>
        <w:left w:val="none" w:sz="0" w:space="0" w:color="auto"/>
        <w:bottom w:val="none" w:sz="0" w:space="0" w:color="auto"/>
        <w:right w:val="none" w:sz="0" w:space="0" w:color="auto"/>
      </w:divBdr>
      <w:divsChild>
        <w:div w:id="1354261950">
          <w:marLeft w:val="0"/>
          <w:marRight w:val="0"/>
          <w:marTop w:val="0"/>
          <w:marBottom w:val="0"/>
          <w:divBdr>
            <w:top w:val="none" w:sz="0" w:space="0" w:color="auto"/>
            <w:left w:val="none" w:sz="0" w:space="0" w:color="auto"/>
            <w:bottom w:val="none" w:sz="0" w:space="0" w:color="auto"/>
            <w:right w:val="none" w:sz="0" w:space="0" w:color="auto"/>
          </w:divBdr>
        </w:div>
        <w:div w:id="1434738836">
          <w:marLeft w:val="0"/>
          <w:marRight w:val="0"/>
          <w:marTop w:val="0"/>
          <w:marBottom w:val="0"/>
          <w:divBdr>
            <w:top w:val="none" w:sz="0" w:space="0" w:color="auto"/>
            <w:left w:val="none" w:sz="0" w:space="0" w:color="auto"/>
            <w:bottom w:val="none" w:sz="0" w:space="0" w:color="auto"/>
            <w:right w:val="none" w:sz="0" w:space="0" w:color="auto"/>
          </w:divBdr>
        </w:div>
        <w:div w:id="677075056">
          <w:marLeft w:val="0"/>
          <w:marRight w:val="0"/>
          <w:marTop w:val="0"/>
          <w:marBottom w:val="0"/>
          <w:divBdr>
            <w:top w:val="none" w:sz="0" w:space="0" w:color="auto"/>
            <w:left w:val="none" w:sz="0" w:space="0" w:color="auto"/>
            <w:bottom w:val="none" w:sz="0" w:space="0" w:color="auto"/>
            <w:right w:val="none" w:sz="0" w:space="0" w:color="auto"/>
          </w:divBdr>
        </w:div>
        <w:div w:id="1912736503">
          <w:marLeft w:val="0"/>
          <w:marRight w:val="0"/>
          <w:marTop w:val="0"/>
          <w:marBottom w:val="0"/>
          <w:divBdr>
            <w:top w:val="none" w:sz="0" w:space="0" w:color="auto"/>
            <w:left w:val="none" w:sz="0" w:space="0" w:color="auto"/>
            <w:bottom w:val="none" w:sz="0" w:space="0" w:color="auto"/>
            <w:right w:val="none" w:sz="0" w:space="0" w:color="auto"/>
          </w:divBdr>
        </w:div>
        <w:div w:id="1096902711">
          <w:marLeft w:val="0"/>
          <w:marRight w:val="0"/>
          <w:marTop w:val="0"/>
          <w:marBottom w:val="0"/>
          <w:divBdr>
            <w:top w:val="none" w:sz="0" w:space="0" w:color="auto"/>
            <w:left w:val="none" w:sz="0" w:space="0" w:color="auto"/>
            <w:bottom w:val="none" w:sz="0" w:space="0" w:color="auto"/>
            <w:right w:val="none" w:sz="0" w:space="0" w:color="auto"/>
          </w:divBdr>
        </w:div>
        <w:div w:id="737093090">
          <w:marLeft w:val="0"/>
          <w:marRight w:val="0"/>
          <w:marTop w:val="0"/>
          <w:marBottom w:val="0"/>
          <w:divBdr>
            <w:top w:val="none" w:sz="0" w:space="0" w:color="auto"/>
            <w:left w:val="none" w:sz="0" w:space="0" w:color="auto"/>
            <w:bottom w:val="none" w:sz="0" w:space="0" w:color="auto"/>
            <w:right w:val="none" w:sz="0" w:space="0" w:color="auto"/>
          </w:divBdr>
        </w:div>
        <w:div w:id="1391461024">
          <w:marLeft w:val="0"/>
          <w:marRight w:val="0"/>
          <w:marTop w:val="0"/>
          <w:marBottom w:val="0"/>
          <w:divBdr>
            <w:top w:val="none" w:sz="0" w:space="0" w:color="auto"/>
            <w:left w:val="none" w:sz="0" w:space="0" w:color="auto"/>
            <w:bottom w:val="none" w:sz="0" w:space="0" w:color="auto"/>
            <w:right w:val="none" w:sz="0" w:space="0" w:color="auto"/>
          </w:divBdr>
        </w:div>
      </w:divsChild>
    </w:div>
    <w:div w:id="10639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553</Words>
  <Characters>3158</Characters>
  <Application>Microsoft Office Word</Application>
  <DocSecurity>0</DocSecurity>
  <Lines>26</Lines>
  <Paragraphs>7</Paragraphs>
  <ScaleCrop>false</ScaleCrop>
  <Company>Microsoft</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陈德国</dc:creator>
  <cp:lastModifiedBy>林郁</cp:lastModifiedBy>
  <cp:revision>6</cp:revision>
  <cp:lastPrinted>2020-11-23T02:01:00Z</cp:lastPrinted>
  <dcterms:created xsi:type="dcterms:W3CDTF">2022-04-18T01:08:00Z</dcterms:created>
  <dcterms:modified xsi:type="dcterms:W3CDTF">2022-04-18T01:09:00Z</dcterms:modified>
</cp:coreProperties>
</file>