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b/>
          <w:bCs/>
          <w:sz w:val="44"/>
          <w:szCs w:val="44"/>
          <w:lang w:val="en-US" w:eastAsia="zh-CN"/>
        </w:rPr>
      </w:pPr>
    </w:p>
    <w:p>
      <w:pPr>
        <w:ind w:firstLine="0" w:firstLineChars="0"/>
        <w:jc w:val="center"/>
        <w:rPr>
          <w:rFonts w:hint="eastAsia" w:ascii="方正小标宋_GBK" w:hAnsi="方正小标宋_GBK" w:eastAsia="方正小标宋_GBK" w:cs="方正小标宋_GBK"/>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关于</w:t>
      </w:r>
      <w:r>
        <w:rPr>
          <w:rFonts w:hint="eastAsia" w:ascii="方正小标宋_GBK" w:hAnsi="方正小标宋_GBK" w:eastAsia="方正小标宋_GBK" w:cs="方正小标宋_GBK"/>
          <w:b/>
          <w:bCs/>
          <w:sz w:val="44"/>
          <w:szCs w:val="44"/>
        </w:rPr>
        <w:t>《大埔县百侯镇侯南历史文化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街区申报材料》主要内容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街区范围</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百侯镇侯南历史文化街区范围共计50.35公顷，街区北至梅潭河南岸，南至肇庆堂南15米，西至景足东南偏西15米，东至百侯中学。</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街区内划定核心保护范围和建设控制地带。核心保护范围8处，总面积9.91公顷。包括百侯老街、肇庆堂、莲瑞流馨建筑群、荣封第建筑群、素谦公祠建筑群、州司马第、留福井建筑群等文保单位及历史建筑群落及与其相连的、风貌上具备连续性的历史文化资源分布区域。建设控制地带总面积40.44顷。包括核心保护区以外的与其相邻的传统风貌建筑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核心保护范围保护控制要求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1、文物保护单位、历史建筑、传统风貌建筑严格按照相关法律法规要求进行保护和修缮。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核心保护区范围内除确需建造的必要的基础设施和公共服务设施外，不得进行新建、扩建、改建活动。进行新建、扩建、改建活动，并应提交历史文化保护的具体方案，应特别关注功能、规模、材料、照明、街道设施、招牌和植物等多项内容，如涉及文物保护单位及其保护范围和建设控制地带的建设活动，须按文物保护相关要求执行。</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3、进行改建、修缮和危房原址重建活动的，不得增加具有合法产权的原有房屋的建筑高度，在体量、色彩、材质等方面应与街区历史风貌协调。</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4、不得擅自新建、扩建道路，对现有道路进行改建时，应当保持或者恢复其原有的道路格局和景观特征。</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5、严格管控招牌的设置，不得遮挡、覆盖具有传统特色的建筑立面，不得破坏建筑空间环境和景观，不符合历史文化街区保护规划要求的应当拆除或限期改正。</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6、核心保护范围内禁止大规模拆除建设，倡导小规模渐进式的更新模式。进行建设活动应当符合保护规划。</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7、延续第五立面传统风貌，街区核心保护范围内进行新建、扩建、改建等建设活动，建筑屋顶采用平顶和坡顶相结合形式。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建设控制地带保护控制要求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1、文物保护单位、历史建筑、传统风貌建筑严格按照相关法律法规要求进行保护和修缮。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2、建设控制地带内进行新建、扩建活动的，其体量、色彩、材质等方面与历史风貌相协调，不得破坏传统格局和历史风貌。</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3、进行改建、修缮和危房原址重建活动的，不得增加具有合法产权的原有房屋的建筑高度，在体量、色彩、材质等方面应与街区历史风貌相协调，不得破坏街区传统格局和风貌特色。</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4、新建、扩建、改建道路时，不得破坏传统街巷的尺度和风貌。</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5、严格管控门店招牌的设置，不得遮挡、覆盖具有传统特色的建筑立面，不得破坏建筑空间环境和景观，不符合历史文化街区保护规划要求的应当拆除或限期改正。</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6、建设控制地带内整治更新应有计划、分阶段进行，避免大拆大建，应当坚持渐进式的保护与更新模式，控制新建、扩建建筑物、构筑物，维护传统格局，延续历史风貌。</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rPr>
      </w:pPr>
    </w:p>
    <w:p>
      <w:pPr>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5261610" cy="3721100"/>
            <wp:effectExtent l="0" t="0" r="15240" b="12700"/>
            <wp:docPr id="1" name="图片 1" descr="侯南核心保护区与建设控制地带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侯南核心保护区与建设控制地带范围图"/>
                    <pic:cNvPicPr>
                      <a:picLocks noChangeAspect="1"/>
                    </pic:cNvPicPr>
                  </pic:nvPicPr>
                  <pic:blipFill>
                    <a:blip r:embed="rId12"/>
                    <a:stretch>
                      <a:fillRect/>
                    </a:stretch>
                  </pic:blipFill>
                  <pic:spPr>
                    <a:xfrm>
                      <a:off x="0" y="0"/>
                      <a:ext cx="5261610" cy="3721100"/>
                    </a:xfrm>
                    <a:prstGeom prst="rect">
                      <a:avLst/>
                    </a:prstGeom>
                  </pic:spPr>
                </pic:pic>
              </a:graphicData>
            </a:graphic>
          </wp:inline>
        </w:drawing>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960" w:firstLineChars="3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图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SEQ 图 \* ARABIC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保护范围划定图</w:t>
      </w:r>
    </w:p>
    <w:p>
      <w:pPr>
        <w:ind w:left="0" w:leftChars="0" w:firstLine="0" w:firstLineChars="0"/>
        <w:rPr>
          <w:rFonts w:hint="eastAsia" w:ascii="方正仿宋_GBK" w:hAnsi="方正仿宋_GBK" w:eastAsia="方正仿宋_GBK" w:cs="方正仿宋_GBK"/>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23D76"/>
    <w:multiLevelType w:val="singleLevel"/>
    <w:tmpl w:val="F9723D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YjYyZGE2MzYxMWYzNGE0MGQwMmJmYTExZmU1MDUifQ=="/>
  </w:docVars>
  <w:rsids>
    <w:rsidRoot w:val="00000000"/>
    <w:rsid w:val="56D9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2022-05-07T01:40:26Z</dcterms:created>
  <dc:creator>Administrator</dc:creator>
  <cp:lastModifiedBy>Administrator</cp:lastModifiedBy>
  <dcterms:modified xsi:type="dcterms:W3CDTF">2022-05-07T01:43:44Z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2D8A20C47F7D481DB3A75DAC5110BE8A</vt:lpwstr>
  </property>
</Properties>
</file>