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left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仿宋_GBK" w:hAnsi="方正小标宋_GBK" w:eastAsia="方正仿宋_GBK" w:cs="方正小标宋_GBK"/>
          <w:bCs/>
          <w:sz w:val="32"/>
          <w:szCs w:val="32"/>
        </w:rPr>
        <w:t>附件1</w:t>
      </w:r>
    </w:p>
    <w:p>
      <w:pPr>
        <w:spacing w:line="50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spacing w:line="60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关于《梅州市</w:t>
      </w:r>
      <w:r>
        <w:rPr>
          <w:rFonts w:ascii="方正小标宋_GBK" w:hAnsi="方正小标宋_GBK" w:eastAsia="方正小标宋_GBK" w:cs="方正小标宋_GBK"/>
          <w:b/>
          <w:bCs/>
          <w:sz w:val="44"/>
          <w:szCs w:val="44"/>
        </w:rPr>
        <w:t>梅江区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中山路历史文化</w:t>
      </w:r>
    </w:p>
    <w:p>
      <w:pPr>
        <w:spacing w:line="60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街区申报材料》主要内容</w:t>
      </w:r>
    </w:p>
    <w:p>
      <w:pPr>
        <w:spacing w:line="56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numPr>
          <w:ilvl w:val="0"/>
          <w:numId w:val="1"/>
        </w:numPr>
        <w:spacing w:line="560" w:lineRule="exact"/>
        <w:ind w:firstLine="0" w:firstLineChars="0"/>
        <w:jc w:val="left"/>
        <w:rPr>
          <w:rFonts w:ascii="方正黑体_GBK" w:hAnsi="方正黑体_GBK" w:eastAsia="方正黑体_GBK" w:cs="方正黑体_GBK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街区范围</w:t>
      </w:r>
    </w:p>
    <w:p>
      <w:pPr>
        <w:spacing w:line="56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中山路历史街区，位于广东省梅州市江北老城区金山街道与西郊街道交界处。根据《梅州历史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文化名城保护规划（2021-2035年）》历史街区</w:t>
      </w:r>
      <w:r>
        <w:rPr>
          <w:rFonts w:ascii="方正仿宋_GBK" w:hAnsi="方正仿宋_GBK" w:eastAsia="方正仿宋_GBK" w:cs="方正仿宋_GBK"/>
          <w:sz w:val="32"/>
          <w:szCs w:val="32"/>
        </w:rPr>
        <w:t>范围划定，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中山</w:t>
      </w:r>
      <w:r>
        <w:rPr>
          <w:rFonts w:ascii="方正仿宋_GBK" w:hAnsi="方正仿宋_GBK" w:eastAsia="方正仿宋_GBK" w:cs="方正仿宋_GBK"/>
          <w:sz w:val="32"/>
          <w:szCs w:val="32"/>
        </w:rPr>
        <w:t>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街区北邻百果围二巷，南至树湖坪文明路，西接世科第，东临月宫巷，街区面积13.7公顷。</w:t>
      </w:r>
    </w:p>
    <w:p>
      <w:pPr>
        <w:spacing w:line="56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街区内划定核心保护范围和建设控制地带。核心保护范围总面积</w:t>
      </w:r>
      <w:r>
        <w:rPr>
          <w:rFonts w:ascii="方正仿宋_GBK" w:hAnsi="方正仿宋_GBK" w:eastAsia="方正仿宋_GBK" w:cs="方正仿宋_GBK"/>
          <w:sz w:val="32"/>
          <w:szCs w:val="32"/>
        </w:rPr>
        <w:t>5.35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公顷，范围以</w:t>
      </w:r>
      <w:r>
        <w:rPr>
          <w:rFonts w:ascii="方正仿宋_GBK" w:hAnsi="方正仿宋_GBK" w:eastAsia="方正仿宋_GBK" w:cs="方正仿宋_GBK"/>
          <w:sz w:val="32"/>
          <w:szCs w:val="32"/>
        </w:rPr>
        <w:t>中山路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—油罗街</w:t>
      </w:r>
      <w:r>
        <w:rPr>
          <w:rFonts w:ascii="方正仿宋_GBK" w:hAnsi="方正仿宋_GBK" w:eastAsia="方正仿宋_GBK" w:cs="方正仿宋_GBK"/>
          <w:sz w:val="32"/>
          <w:szCs w:val="32"/>
        </w:rPr>
        <w:t>为骨架，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包括</w:t>
      </w:r>
      <w:r>
        <w:rPr>
          <w:rFonts w:ascii="方正仿宋_GBK" w:hAnsi="方正仿宋_GBK" w:eastAsia="方正仿宋_GBK" w:cs="方正仿宋_GBK"/>
          <w:sz w:val="32"/>
          <w:szCs w:val="32"/>
        </w:rPr>
        <w:t>中山路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、油罗街、中华街等街区周边文物保护单位、骑楼</w:t>
      </w:r>
      <w:r>
        <w:rPr>
          <w:rFonts w:ascii="方正仿宋_GBK" w:hAnsi="方正仿宋_GBK" w:eastAsia="方正仿宋_GBK" w:cs="方正仿宋_GBK"/>
          <w:sz w:val="32"/>
          <w:szCs w:val="32"/>
        </w:rPr>
        <w:t>建筑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等。建设控制地带总面积</w:t>
      </w:r>
      <w:r>
        <w:rPr>
          <w:rFonts w:ascii="方正仿宋_GBK" w:hAnsi="方正仿宋_GBK" w:eastAsia="方正仿宋_GBK" w:cs="方正仿宋_GBK"/>
          <w:sz w:val="32"/>
          <w:szCs w:val="32"/>
        </w:rPr>
        <w:t>8.36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顷，包括核心保护区以外的与其相邻的客家传统风貌建筑群。</w:t>
      </w:r>
    </w:p>
    <w:p>
      <w:pPr>
        <w:numPr>
          <w:ilvl w:val="0"/>
          <w:numId w:val="1"/>
        </w:numPr>
        <w:spacing w:line="560" w:lineRule="exact"/>
        <w:ind w:firstLine="0" w:firstLineChars="0"/>
        <w:jc w:val="left"/>
        <w:rPr>
          <w:rFonts w:ascii="方正黑体_GBK" w:hAnsi="方正黑体_GBK" w:eastAsia="方正黑体_GBK" w:cs="方正黑体_GBK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核心保护范围保护控制要求</w:t>
      </w:r>
    </w:p>
    <w:p>
      <w:pPr>
        <w:spacing w:line="560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1、文物保护单位、历史建筑、传统风貌建筑严格按照相关法律法规要求进行保护和修缮；</w:t>
      </w:r>
    </w:p>
    <w:p>
      <w:pPr>
        <w:spacing w:line="56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、最大限度保存历史遗存以及载有真实历史信息的传统建（构）筑物；</w:t>
      </w:r>
    </w:p>
    <w:p>
      <w:pPr>
        <w:spacing w:line="560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、除需要建造的必要基础设施和公共服务设施外，不得进行新建、扩建活动（拆除现存建筑进行复建，恢复原有院落格局、恢复历史建筑风貌的不算新建、扩建活动）；</w:t>
      </w:r>
    </w:p>
    <w:p>
      <w:pPr>
        <w:spacing w:line="56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、严格保护中山街、中华街、油罗街等传统街巷格局，不得随意更改沿街立面、街巷尺寸和风貌，如存在改造必要，则应按照“不改变原状，最小干预”原则，保护街巷格局、风貌的原真性；</w:t>
      </w:r>
    </w:p>
    <w:p>
      <w:pPr>
        <w:spacing w:line="56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、不得新建工业企业，现有妨碍历史文化街区保护的工业企业应当有计划迁移。</w:t>
      </w:r>
    </w:p>
    <w:p>
      <w:pPr>
        <w:numPr>
          <w:ilvl w:val="0"/>
          <w:numId w:val="1"/>
        </w:numPr>
        <w:spacing w:line="560" w:lineRule="exact"/>
        <w:ind w:firstLine="0" w:firstLineChars="0"/>
        <w:jc w:val="left"/>
        <w:rPr>
          <w:rFonts w:ascii="方正黑体_GBK" w:hAnsi="方正黑体_GBK" w:eastAsia="方正黑体_GBK" w:cs="方正黑体_GBK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建设控制地带保护控制要求</w:t>
      </w:r>
    </w:p>
    <w:p>
      <w:pPr>
        <w:spacing w:line="56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1、文物保护单位、历史建筑、传统风貌建筑严格按照相关法律法规要求进行保护和修缮；</w:t>
      </w:r>
    </w:p>
    <w:p>
      <w:pPr>
        <w:spacing w:line="56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、实施“小规模、渐进式”的更新模式，禁止大拆大建。新建、扩建、改建建筑在建筑高度、体量、色彩、材质等方面应与历史风貌相协调；</w:t>
      </w:r>
    </w:p>
    <w:p>
      <w:pPr>
        <w:spacing w:line="56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、新建、扩建、改建道路时，不得破坏传统格局和历史风貌；</w:t>
      </w:r>
    </w:p>
    <w:p>
      <w:pPr>
        <w:spacing w:line="56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、不得新建对环境有污染的工业企业，现在对环境有污染的工业企业应当有计划迁移；</w:t>
      </w:r>
    </w:p>
    <w:p>
      <w:pPr>
        <w:spacing w:line="56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、建设控制地带内的建筑，层数不超过3层，檐口高度不超过10米,其体量、色彩、材质等方面与历史风貌相协调，不得破坏传统格局和历史风貌。</w:t>
      </w:r>
    </w:p>
    <w:p>
      <w:pPr>
        <w:ind w:firstLine="0" w:firstLineChars="0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drawing>
          <wp:inline distT="0" distB="0" distL="0" distR="0">
            <wp:extent cx="5616575" cy="3971290"/>
            <wp:effectExtent l="0" t="0" r="3175" b="10160"/>
            <wp:docPr id="1" name="图片 2" descr="C:\Users\ADMINI~1\AppData\Local\Temp\WeChat Files\d3cd3ee85e6d7fa5e05b62b7d9a8558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ADMINI~1\AppData\Local\Temp\WeChat Files\d3cd3ee85e6d7fa5e05b62b7d9a8558.jpg"/>
                    <pic:cNvPicPr>
                      <a:picLocks noChangeAspect="true" noChangeArrowheads="true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3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560" w:lineRule="exact"/>
        <w:ind w:firstLine="960" w:firstLineChars="300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图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SEQ 图 \* ARABIC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保护范围划定图</w:t>
      </w:r>
    </w:p>
    <w:p>
      <w:pPr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723D76"/>
    <w:multiLevelType w:val="singleLevel"/>
    <w:tmpl w:val="F9723D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FDD181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greatwall</cp:lastModifiedBy>
  <dcterms:modified xsi:type="dcterms:W3CDTF">2022-07-18T09:48:20Z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