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/>
          <w:color w:val="auto"/>
          <w:sz w:val="44"/>
          <w:szCs w:val="44"/>
          <w:lang w:eastAsia="zh-CN"/>
        </w:rPr>
      </w:pPr>
      <w:r>
        <w:rPr>
          <w:rFonts w:hint="eastAsia" w:ascii="文星标宋" w:hAnsi="文星标宋" w:eastAsia="文星标宋"/>
          <w:color w:val="auto"/>
          <w:sz w:val="44"/>
          <w:szCs w:val="44"/>
          <w:lang w:eastAsia="zh-CN"/>
        </w:rPr>
        <w:t>梅州市发展和改革局关于进一步完善</w:t>
      </w:r>
      <w:r>
        <w:rPr>
          <w:rFonts w:hint="eastAsia" w:ascii="文星标宋" w:hAnsi="文星标宋" w:eastAsia="文星标宋"/>
          <w:color w:val="auto"/>
          <w:sz w:val="44"/>
          <w:szCs w:val="44"/>
        </w:rPr>
        <w:t>梅州</w:t>
      </w:r>
      <w:r>
        <w:rPr>
          <w:rFonts w:hint="eastAsia" w:ascii="文星标宋" w:hAnsi="文星标宋" w:eastAsia="文星标宋"/>
          <w:color w:val="auto"/>
          <w:sz w:val="44"/>
          <w:szCs w:val="44"/>
          <w:lang w:eastAsia="zh-CN"/>
        </w:rPr>
        <w:t>城区管道</w:t>
      </w:r>
      <w:r>
        <w:rPr>
          <w:rFonts w:hint="eastAsia" w:ascii="文星标宋" w:hAnsi="文星标宋" w:eastAsia="文星标宋"/>
          <w:color w:val="auto"/>
          <w:sz w:val="44"/>
          <w:szCs w:val="44"/>
        </w:rPr>
        <w:t>燃气</w:t>
      </w:r>
      <w:r>
        <w:rPr>
          <w:rFonts w:hint="eastAsia" w:ascii="文星标宋" w:hAnsi="文星标宋" w:eastAsia="文星标宋"/>
          <w:color w:val="auto"/>
          <w:sz w:val="44"/>
          <w:szCs w:val="44"/>
          <w:lang w:eastAsia="zh-CN"/>
        </w:rPr>
        <w:t>购销</w:t>
      </w:r>
      <w:r>
        <w:rPr>
          <w:rFonts w:hint="eastAsia" w:ascii="文星标宋" w:hAnsi="文星标宋" w:eastAsia="文星标宋"/>
          <w:color w:val="auto"/>
          <w:sz w:val="44"/>
          <w:szCs w:val="44"/>
        </w:rPr>
        <w:t>价格联动机制</w:t>
      </w:r>
      <w:r>
        <w:rPr>
          <w:rFonts w:hint="eastAsia" w:ascii="文星标宋" w:hAnsi="文星标宋" w:eastAsia="文星标宋"/>
          <w:color w:val="auto"/>
          <w:sz w:val="44"/>
          <w:szCs w:val="44"/>
          <w:lang w:val="en-US" w:eastAsia="zh-CN"/>
        </w:rPr>
        <w:t>方案</w:t>
      </w:r>
    </w:p>
    <w:p>
      <w:pPr>
        <w:spacing w:line="560" w:lineRule="exact"/>
        <w:jc w:val="left"/>
        <w:rPr>
          <w:rFonts w:ascii="文星仿宋" w:hAnsi="文星仿宋" w:eastAsia="文星仿宋"/>
          <w:color w:val="auto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Times New Roman" w:hAnsi="Times New Roman" w:eastAsia="文星仿宋"/>
          <w:color w:val="auto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文星仿宋"/>
          <w:color w:val="auto"/>
          <w:sz w:val="32"/>
          <w:szCs w:val="32"/>
        </w:rPr>
        <w:t>适应</w:t>
      </w:r>
      <w:r>
        <w:rPr>
          <w:rFonts w:hint="eastAsia" w:ascii="Times New Roman" w:hAnsi="Times New Roman" w:eastAsia="文星仿宋"/>
          <w:color w:val="auto"/>
          <w:sz w:val="32"/>
          <w:szCs w:val="32"/>
          <w:lang w:eastAsia="zh-CN"/>
        </w:rPr>
        <w:t>管道</w:t>
      </w:r>
      <w:r>
        <w:rPr>
          <w:rFonts w:hint="eastAsia" w:ascii="Times New Roman" w:hAnsi="Times New Roman" w:eastAsia="文星仿宋"/>
          <w:color w:val="auto"/>
          <w:sz w:val="32"/>
          <w:szCs w:val="32"/>
          <w:u w:val="none"/>
        </w:rPr>
        <w:t>天然气</w:t>
      </w:r>
      <w:r>
        <w:rPr>
          <w:rFonts w:hint="eastAsia" w:ascii="Times New Roman" w:hAnsi="Times New Roman" w:eastAsia="文星仿宋"/>
          <w:color w:val="auto"/>
          <w:sz w:val="32"/>
          <w:szCs w:val="32"/>
        </w:rPr>
        <w:t>气源市场价格变化的新形势，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进一步完善梅州城区</w:t>
      </w:r>
      <w:r>
        <w:rPr>
          <w:rFonts w:hint="eastAsia" w:ascii="Times New Roman" w:hAnsi="Times New Roman" w:eastAsia="文星仿宋"/>
          <w:color w:val="auto"/>
          <w:sz w:val="32"/>
          <w:szCs w:val="32"/>
          <w:lang w:eastAsia="zh-CN"/>
        </w:rPr>
        <w:t>管道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燃气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购销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价格联动机制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使其更具合理性、科学性和可操作性，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《关于印发〈广东省发展改革委城镇管道燃气价格管理办法〉的通知》（粤发改规〔</w:t>
      </w:r>
      <w:r>
        <w:rPr>
          <w:rFonts w:hint="eastAsia" w:ascii="Times New Roman" w:hAnsi="Times New Roman" w:eastAsia="文星仿宋"/>
          <w:color w:val="auto"/>
          <w:sz w:val="32"/>
          <w:szCs w:val="32"/>
        </w:rPr>
        <w:t>2018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文星仿宋"/>
          <w:color w:val="auto"/>
          <w:sz w:val="32"/>
          <w:szCs w:val="32"/>
        </w:rPr>
        <w:t>10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号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）等有关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规定，</w:t>
      </w:r>
      <w:r>
        <w:rPr>
          <w:rFonts w:hint="eastAsia" w:hAnsi="文星仿宋" w:eastAsia="文星仿宋"/>
          <w:color w:val="auto"/>
          <w:sz w:val="32"/>
          <w:szCs w:val="32"/>
          <w:lang w:eastAsia="zh-CN"/>
        </w:rPr>
        <w:t>我局重新修订完善了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梅州城区</w:t>
      </w:r>
      <w:r>
        <w:rPr>
          <w:rFonts w:hint="eastAsia" w:ascii="Times New Roman" w:hAnsi="Times New Roman" w:eastAsia="文星仿宋"/>
          <w:color w:val="auto"/>
          <w:sz w:val="32"/>
          <w:szCs w:val="32"/>
          <w:lang w:eastAsia="zh-CN"/>
        </w:rPr>
        <w:t>管道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燃气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购销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联动机制</w:t>
      </w:r>
      <w:r>
        <w:rPr>
          <w:rFonts w:hint="eastAsia" w:hAnsi="文星仿宋" w:eastAsia="文星仿宋"/>
          <w:color w:val="auto"/>
          <w:spacing w:val="-6"/>
          <w:sz w:val="32"/>
          <w:szCs w:val="32"/>
          <w:lang w:eastAsia="zh-CN"/>
        </w:rPr>
        <w:t>。具体方案如下：</w:t>
      </w:r>
    </w:p>
    <w:p>
      <w:pPr>
        <w:numPr>
          <w:ilvl w:val="0"/>
          <w:numId w:val="1"/>
        </w:numPr>
        <w:spacing w:line="560" w:lineRule="exact"/>
        <w:ind w:firstLine="645"/>
        <w:jc w:val="left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燃气购销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价格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联动机制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启动条件</w:t>
      </w:r>
    </w:p>
    <w:p>
      <w:pPr>
        <w:spacing w:line="560" w:lineRule="exact"/>
        <w:ind w:firstLine="645"/>
        <w:jc w:val="both"/>
        <w:rPr>
          <w:rFonts w:ascii="Times New Roman" w:hAnsi="文星仿宋" w:eastAsia="文星仿宋"/>
          <w:color w:val="auto"/>
          <w:spacing w:val="-6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管道天然气上下游价格联动是指气源采购成本和终端销售价格联动。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eastAsia="zh-CN"/>
        </w:rPr>
        <w:t>梅州城区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管道燃气采购成本进行加权平均处理。</w:t>
      </w:r>
    </w:p>
    <w:p>
      <w:pPr>
        <w:spacing w:line="560" w:lineRule="exact"/>
        <w:ind w:firstLine="645"/>
        <w:jc w:val="left"/>
        <w:rPr>
          <w:rFonts w:ascii="Times New Roman" w:hAnsi="文星仿宋" w:eastAsia="文星仿宋"/>
          <w:color w:val="auto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确定气源采购成本基准价。以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上次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调价时确定的气源采购成本作为基准采购成本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，批复文件执行时间作为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价格联动起始日。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居民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eastAsia="zh-CN"/>
        </w:rPr>
        <w:t>购销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价格联动启动条件。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当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时间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连续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达到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18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0天，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且气源采购成本加权平均价较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基准价累计上下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浮动幅度达到或超过8%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时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适时启动管道燃气</w:t>
      </w:r>
      <w:r>
        <w:rPr>
          <w:rFonts w:hint="eastAsia" w:hAnsi="文星仿宋" w:eastAsia="文星仿宋"/>
          <w:color w:val="auto"/>
          <w:spacing w:val="-6"/>
          <w:sz w:val="32"/>
          <w:szCs w:val="32"/>
          <w:lang w:val="en-US" w:eastAsia="zh-CN"/>
        </w:rPr>
        <w:t>居民用户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eastAsia="zh-CN"/>
        </w:rPr>
        <w:t>购销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价格联动机制，终端销售价格与气源采购成本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eastAsia="zh-CN"/>
        </w:rPr>
        <w:t>进行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同向调整。原则上居民用气销售价格每年联动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调整次数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不超过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次。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（三）非居民购销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价格联动启动条件。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当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时间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连续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达到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90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天，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且气源采购成本加权平均价较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基准价累计上下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lang w:val="en-US" w:eastAsia="zh-CN"/>
        </w:rPr>
        <w:t>浮动幅度达到或超过8%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</w:rPr>
        <w:t>时</w:t>
      </w:r>
      <w:r>
        <w:rPr>
          <w:rFonts w:hint="eastAsia" w:ascii="Times New Roman" w:hAnsi="文星仿宋" w:eastAsia="文星仿宋"/>
          <w:color w:val="auto"/>
          <w:spacing w:val="-6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适时启动管道燃气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非居民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用户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购销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价格联动机制，终端销售价格与气源采购成本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进行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同向调整。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原</w:t>
      </w:r>
      <w:bookmarkStart w:id="0" w:name="_GoBack"/>
      <w:bookmarkEnd w:id="0"/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则上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非居民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用户销售价格每年联动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次数不超过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次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调价幅度</w:t>
      </w:r>
    </w:p>
    <w:p>
      <w:pPr>
        <w:spacing w:line="560" w:lineRule="exact"/>
        <w:ind w:firstLine="645"/>
        <w:jc w:val="left"/>
        <w:rPr>
          <w:rFonts w:hint="default" w:ascii="Times New Roman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市价格主管部门按照联动公式计算居民天然气销售价格调整额，居民各档用气价格统一按照调整额调整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调幅度不超过居民第一档销售价格的10%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，超出部分在后续联动周期适时疏导或对冲。当平均上游价格下调时，应在合理疏导对冲后，及时全额传导到终端用户，降低销售价格。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非居民销售价格与气源采购成本联动。价格主管部门只调整非居民销售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基准价，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供需双方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可以基准价格为基础，在上浮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20%、下浮不限的范围内协商确定具体价格。</w:t>
      </w:r>
    </w:p>
    <w:p>
      <w:pPr>
        <w:spacing w:line="560" w:lineRule="exact"/>
        <w:ind w:firstLine="645"/>
        <w:jc w:val="left"/>
        <w:rPr>
          <w:rFonts w:ascii="Times New Roman" w:hAnsi="文星仿宋" w:eastAsia="文星仿宋"/>
          <w:color w:val="auto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对于应调未调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产生的收入差额，可分摊到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下一次联动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进行补偿或扣减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联动公式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联动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调整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后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销售价格=现行销售价格</w:t>
      </w:r>
      <w:r>
        <w:rPr>
          <w:rFonts w:hint="eastAsia" w:ascii="Times New Roman" w:hAnsi="Times New Roman" w:eastAsia="文星仿宋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价格联动调整额。</w:t>
      </w:r>
    </w:p>
    <w:p>
      <w:pPr>
        <w:spacing w:line="560" w:lineRule="exact"/>
        <w:ind w:firstLine="645"/>
        <w:jc w:val="left"/>
        <w:rPr>
          <w:rFonts w:hint="default" w:ascii="Times New Roman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价格联动调整额=计算期气源采购成本加权平均价-基期气源采购成本加权平均价</w:t>
      </w:r>
    </w:p>
    <w:p>
      <w:pPr>
        <w:spacing w:line="560" w:lineRule="exact"/>
        <w:ind w:firstLine="645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调价程序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</w:rPr>
        <w:t>当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管道燃气购销价格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联动机制达到启动条件时，</w:t>
      </w:r>
      <w:r>
        <w:rPr>
          <w:rFonts w:hint="eastAsia" w:ascii="Times New Roman" w:hAnsi="文星仿宋" w:eastAsia="文星仿宋"/>
          <w:color w:val="auto"/>
          <w:sz w:val="32"/>
          <w:szCs w:val="32"/>
          <w:shd w:val="clear" w:color="auto" w:fill="auto"/>
        </w:rPr>
        <w:t>由</w:t>
      </w:r>
      <w:r>
        <w:rPr>
          <w:rFonts w:hint="eastAsia" w:ascii="Times New Roman" w:hAnsi="文星仿宋" w:eastAsia="文星仿宋"/>
          <w:color w:val="auto"/>
          <w:sz w:val="32"/>
          <w:szCs w:val="32"/>
          <w:shd w:val="clear" w:color="auto" w:fill="auto"/>
          <w:lang w:val="en-US" w:eastAsia="zh-CN"/>
        </w:rPr>
        <w:t>价格主管部门主动实施，也可由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城镇燃气经营企业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向市价格主管部门提出价格调整申请，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市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价格主管部门对符合价格联动启动条件的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，</w:t>
      </w:r>
      <w:r>
        <w:rPr>
          <w:rFonts w:hint="eastAsia" w:hAnsi="文星仿宋" w:eastAsia="文星仿宋"/>
          <w:color w:val="auto"/>
          <w:sz w:val="32"/>
          <w:szCs w:val="32"/>
          <w:lang w:eastAsia="zh-CN"/>
        </w:rPr>
        <w:t>按规定程序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核准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后，报</w:t>
      </w:r>
      <w:r>
        <w:rPr>
          <w:rFonts w:hint="eastAsia" w:ascii="Times New Roman" w:hAnsi="文星仿宋" w:eastAsia="文星仿宋"/>
          <w:color w:val="auto"/>
          <w:sz w:val="32"/>
          <w:szCs w:val="32"/>
        </w:rPr>
        <w:t>市政府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审定</w:t>
      </w:r>
      <w:r>
        <w:rPr>
          <w:rFonts w:hint="eastAsia" w:hAnsi="文星仿宋" w:eastAsia="文星仿宋"/>
          <w:color w:val="auto"/>
          <w:sz w:val="32"/>
          <w:szCs w:val="32"/>
          <w:lang w:eastAsia="zh-CN"/>
        </w:rPr>
        <w:t>执行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left="-15" w:leftChars="0" w:firstLine="645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进货报告制度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城镇燃气经营企业应于</w:t>
      </w:r>
      <w:r>
        <w:rPr>
          <w:rFonts w:hint="eastAsia" w:ascii="Times New Roman" w:hAnsi="文星仿宋" w:eastAsia="文星仿宋"/>
          <w:color w:val="auto"/>
          <w:sz w:val="32"/>
          <w:szCs w:val="32"/>
          <w:shd w:val="clear" w:color="auto" w:fill="auto"/>
          <w:lang w:eastAsia="zh-CN"/>
        </w:rPr>
        <w:t>每月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日前向市价格主管部门书面报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送气源采购成本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原始发票复印件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（加盖公章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），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并及时报送气源采购合同复印件（加盖公章）等相关资料</w:t>
      </w:r>
      <w:r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jc w:val="left"/>
        <w:rPr>
          <w:rFonts w:hint="eastAsia" w:ascii="Times New Roman" w:hAnsi="文星仿宋" w:eastAsia="文星仿宋"/>
          <w:color w:val="auto"/>
          <w:sz w:val="32"/>
          <w:szCs w:val="32"/>
          <w:lang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如城镇燃气经营企业的气源价格明显高于周边同类气源价格时，参照周边同类气源价格水平确定。</w:t>
      </w:r>
    </w:p>
    <w:p>
      <w:pPr>
        <w:numPr>
          <w:ilvl w:val="0"/>
          <w:numId w:val="2"/>
        </w:numPr>
        <w:spacing w:line="560" w:lineRule="exact"/>
        <w:ind w:left="-15" w:leftChars="0" w:firstLine="645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实施时间</w:t>
      </w:r>
    </w:p>
    <w:p>
      <w:pPr>
        <w:numPr>
          <w:ilvl w:val="0"/>
          <w:numId w:val="0"/>
        </w:numPr>
        <w:spacing w:line="560" w:lineRule="exact"/>
        <w:ind w:firstLine="642"/>
        <w:jc w:val="both"/>
        <w:rPr>
          <w:rFonts w:hint="default" w:ascii="Times New Roman" w:hAns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本</w:t>
      </w:r>
      <w:r>
        <w:rPr>
          <w:rFonts w:hint="eastAsia" w:hAnsi="文星仿宋" w:eastAsia="文星仿宋"/>
          <w:color w:val="auto"/>
          <w:sz w:val="32"/>
          <w:szCs w:val="32"/>
          <w:lang w:val="en-US" w:eastAsia="zh-CN"/>
        </w:rPr>
        <w:t>方案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自2022年 月 日起施行，有效期</w:t>
      </w:r>
      <w:r>
        <w:rPr>
          <w:rFonts w:hint="eastAsia" w:hAnsi="文星仿宋" w:eastAsia="文星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年。</w:t>
      </w:r>
      <w:r>
        <w:rPr>
          <w:rFonts w:hint="eastAsia" w:hAnsi="文星仿宋" w:eastAsia="文星仿宋"/>
          <w:color w:val="auto"/>
          <w:sz w:val="32"/>
          <w:szCs w:val="32"/>
          <w:lang w:val="en-US" w:eastAsia="zh-CN"/>
        </w:rPr>
        <w:t>原梅市发改价格（2015）114号文有关燃气购销价格联动机制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规定</w:t>
      </w:r>
      <w:r>
        <w:rPr>
          <w:rFonts w:hint="eastAsia" w:hAnsi="文星仿宋" w:eastAsia="文星仿宋"/>
          <w:color w:val="auto"/>
          <w:sz w:val="32"/>
          <w:szCs w:val="32"/>
          <w:lang w:val="en-US" w:eastAsia="zh-CN"/>
        </w:rPr>
        <w:t>同时废止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。</w:t>
      </w:r>
      <w:r>
        <w:rPr>
          <w:rFonts w:hint="eastAsia" w:hAnsi="文星仿宋" w:eastAsia="文星仿宋"/>
          <w:color w:val="auto"/>
          <w:sz w:val="32"/>
          <w:szCs w:val="32"/>
          <w:lang w:val="en-US" w:eastAsia="zh-CN"/>
        </w:rPr>
        <w:t>实施期间，</w:t>
      </w:r>
      <w:r>
        <w:rPr>
          <w:rFonts w:hint="eastAsia" w:ascii="Times New Roman" w:hAnsi="文星仿宋" w:eastAsia="文星仿宋"/>
          <w:color w:val="auto"/>
          <w:sz w:val="32"/>
          <w:szCs w:val="32"/>
          <w:lang w:val="en-US" w:eastAsia="zh-CN"/>
        </w:rPr>
        <w:t>如遇国家和省相关政策调整，按国家和省的相关政策执行。</w:t>
      </w:r>
    </w:p>
    <w:p>
      <w:pPr>
        <w:rPr>
          <w:rFonts w:hint="eastAsia"/>
          <w:color w:val="auto"/>
          <w:lang w:eastAsia="zh-CN"/>
        </w:rPr>
      </w:pPr>
    </w:p>
    <w:p>
      <w:pPr>
        <w:spacing w:line="540" w:lineRule="exact"/>
        <w:ind w:firstLine="640" w:firstLineChars="200"/>
        <w:rPr>
          <w:rFonts w:hint="eastAsia" w:eastAsia="文星仿宋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AB421"/>
    <w:multiLevelType w:val="singleLevel"/>
    <w:tmpl w:val="BBDAB421"/>
    <w:lvl w:ilvl="0" w:tentative="0">
      <w:start w:val="5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abstractNum w:abstractNumId="1">
    <w:nsid w:val="0FAE219C"/>
    <w:multiLevelType w:val="singleLevel"/>
    <w:tmpl w:val="0FAE219C"/>
    <w:lvl w:ilvl="0" w:tentative="0">
      <w:start w:val="1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DVmN2E0NDYxYTg0M2FhYTIxMDkwMjIzMTUwYzYifQ=="/>
  </w:docVars>
  <w:rsids>
    <w:rsidRoot w:val="795F2D2B"/>
    <w:rsid w:val="549F2129"/>
    <w:rsid w:val="795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1162</Characters>
  <Lines>0</Lines>
  <Paragraphs>0</Paragraphs>
  <TotalTime>1</TotalTime>
  <ScaleCrop>false</ScaleCrop>
  <LinksUpToDate>false</LinksUpToDate>
  <CharactersWithSpaces>1165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2022-08-01T08:54:00Z</dcterms:created>
  <dc:creator>薏仁</dc:creator>
  <cp:lastModifiedBy>薏仁</cp:lastModifiedBy>
  <dcterms:modified xsi:type="dcterms:W3CDTF">2022-08-01T09:27:43Z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29336713C22C484CA28C39351AC383A8</vt:lpwstr>
  </property>
</Properties>
</file>