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梅州市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加快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客家预制菜产业发展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若干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</w:rPr>
        <w:t>(2022年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</w:rPr>
        <w:t>日)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jc w:val="left"/>
        <w:textAlignment w:val="auto"/>
        <w:rPr>
          <w:rFonts w:ascii="微软雅黑" w:hAnsi="微软雅黑" w:eastAsia="微软雅黑" w:cs="微软雅黑"/>
          <w:color w:val="auto"/>
          <w:sz w:val="24"/>
          <w:shd w:val="clear" w:color="auto" w:fill="FFFFFF"/>
        </w:rPr>
      </w:pP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bidi="ar"/>
        </w:rPr>
        <w:t>为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深入贯彻习近平总书记关于“三农”工作重要论述，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、省政府“1+1+9”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</w:rPr>
        <w:t>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，立足资源优势，抢抓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在全省乃至全国有影响力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客家预制菜产业集聚区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推动梅州客家预制菜产业高质量发展走在全省前列，现结合实际提出如下措施。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建立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产业发展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成立梅州市客家预制菜产业发展工作领导小组，组长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由市政府协调农业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工作的副秘书长和市农业农村局主要负责同志担任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，成员由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市直有关单位主要负责同志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进梅州客家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预制菜产业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要将预制菜产业发展纳入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经济社会发展规划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纳入本级财政支持范围，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全力推进各项工作。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牵头，市财政局、市发展改革局按职责分工负责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加大土地资源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配置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坚持土地要素跟着项目走，保障真实有效项目新增建设用地计划指标。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按照区域布局、资源环境承载力和国土空间规划，优化城镇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开发边界，统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筹研究预制菜企业建设用地,对引进世界500强或中国500强的预制菜企业优先调配用地规模,并在符合产业政策的前提下，在用地指标等方面给予优先保障。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市农业农村局、市自然资源局、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牵头，市财政局、市发展改革局按职责分工负责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组建客家预制菜产业联盟。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发动客家预制菜全产业链相关经营主体、行业商（协）会、金融机构、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机构等，组建梅州客家预制菜产业联盟。建立客家预制菜重点培育企业名录，支持联盟吸纳优秀成员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统一行业标准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制定行业守则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引导行业良性健康发展，激发市场主体创业创新活力。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（市农业农村局牵头，市财政局、市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、市商务局等按职责分工负责）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制定客家预制菜发展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联合高等院校、科研机构、预制菜相关企业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客家预制菜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年规划，开展预制菜全产业链研究，引进先进预制菜技术，加强技术成果转移转化，攻关固色、耐氧化、贮藏、灭菌、包装、贮运等技术工艺，提升预制菜企业核心竞争力。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（市农业农村局牵头，市市场监管局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市财政局、市工业和信息化局、市科技局、市卫生健康局、市人力资源社会保障局按职责分工负责）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开展预制菜标准化体系建设。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鼓励有关社会团体、企业主导或参与制定预制菜地方标准、团体标准、企业标准，逐步制定完善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并推行梅州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客家预制菜标准，提升预制菜产品整体质量水平。鼓励客家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特色预制菜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研发，对在本市设立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预制菜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菜品研发的机构或企业，对研发的预制菜新品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研发的单品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销售达到500万元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、市卫生健康局、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牵头，市科技局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政局、市工业和信息化局、市人力资源社会保障局、梅州高新管委会等按职责分工负责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培育客家预制菜领军企业。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培育一批涵盖生产、冷链、仓储、流通、营销、进出口以及装备生产等环节的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客家</w:t>
      </w:r>
      <w:r>
        <w:rPr>
          <w:rFonts w:hint="eastAsia" w:ascii="仿宋_GB2312" w:hAnsi="仿宋_GB2312" w:eastAsia="仿宋_GB2312" w:cs="仿宋_GB2312"/>
          <w:sz w:val="32"/>
          <w:szCs w:val="32"/>
        </w:rPr>
        <w:t>预制菜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企业，充分发挥产业链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围绕资金、人才、技术、项目建立激励机制，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引导实力强、辐射带动能力强、联农带农效果好的预制菜生产企业来梅投资。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扶持特色及小微预制菜企业，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对新认证预制菜企业获得食品生产许可证且年销售额达到500万元的给予一次性10万元奖励。[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、市工业和信息化局、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市财政局、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商务局、市金融局等按职责分工负责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创建客家预制菜产业园。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坚持集约化、规模化发展预制菜产业，构建“个转企、小升规、规改股</w:t>
      </w:r>
      <w:r>
        <w:rPr>
          <w:rFonts w:hint="eastAsia" w:ascii="仿宋_GB2312" w:hAnsi="仿宋_GB2312" w:eastAsia="仿宋_GB2312" w:cs="仿宋_GB2312"/>
          <w:sz w:val="32"/>
          <w:szCs w:val="32"/>
        </w:rPr>
        <w:t>、股上市”梯队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吸引大中型企业投资参与预制菜产业。布局建设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客家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预制菜产业园，引进一批预制菜先行先试企业，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对达到落户所在园区规定纳税强度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企业给予：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落地进度奖励。以项目落户所在地（园区）固定资产投资强度为基准，给予最高不超过“实际购地面积×固定资产投资基准强度×5%”的落地进度奖励。在项目用地签订《国有建设用地使用权出让合同》之日起，半年内取得施工许可证并在取证后半个月内动工建设的，给予“项目落地进度奖×40%”的奖励；在投资协议约定的期限内完成主要建筑物建设并通过竣工验收的，给予“项目落地进度奖×30%”的奖励；竣工后三个月内投产的，给予“项目落地进度奖×30%”的奖励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（二）固定资产投资奖励。</w:t>
      </w:r>
      <w:r>
        <w:rPr>
          <w:rFonts w:hint="eastAsia" w:ascii="华文仿宋" w:hAnsi="华文仿宋" w:eastAsia="华文仿宋"/>
          <w:sz w:val="32"/>
          <w:szCs w:val="32"/>
        </w:rPr>
        <w:t>项目建成投产后，按固定资产实际投入的一定比例进行奖励，其中项目固定资产投资额达到2000万元的，奖励比例为1.5%；项目固定资产投资额每增加2000万元的，奖励比例提高0.4%。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项目固定资产投资额达1亿元的，奖励比例为3%；项目固定资产投资额每增加1亿元，奖励比例提高0.5%，奖励比例上限为5%。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租赁厂房优惠。对租赁政府厂房的项目，给予“三免两减半”租金优惠（第1-3年租金全免，第4-5年租金减免一半）；对租赁园区其他企业厂房的项目，参照当地园区标准厂房租金标准，给予同等于“三免两减半”的租金补贴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以上（一）（二）（三）项奖励以项目投产之日起5年内企业对本市经济社会贡献为上限，从项目投产次年起按年兑付，每年可兑付的奖补资金以其上一年度对本市经济社会贡献为上限。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示范引领作用，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辐射带动预制菜产业园建设，推动预制菜产业上、中、下游企业集聚发展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[市农业农村局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、梅州高新管委会、各县（市、区）人民政府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市工业和信息化局、市财政局等按职责分工负责]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八、完善预制菜仓储冷链物流体系。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加快推进农产品主产区和特色农产品优势区仓储冷链物流体系建设，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支持生产基地建设田头（塘头）智慧小站，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完善产地和配送冷链物流网络，培育一批跨区域的预制菜仓储冷链物流龙头企业，积极为预制菜产业的集聚与发展提供配套和支撑。</w:t>
      </w:r>
      <w:r>
        <w:rPr>
          <w:rFonts w:hint="eastAsia" w:ascii="华文仿宋" w:hAnsi="华文仿宋" w:eastAsia="华文仿宋"/>
          <w:sz w:val="32"/>
          <w:szCs w:val="32"/>
        </w:rPr>
        <w:t>对预制菜企业、冷链物流企业新购置符合政策要求的冷藏、冷冻运输车辆，每台车辆按裸车价的5%给予最高不超过1万元的一次性奖励。对企业新建改造冷冻冷藏库、购置终端冷藏设备，总投资额500万元以上的，按年度新购设备实际投资额的1%给予最高10万元的一次性奖励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市供销社、市发展改革局、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牵头，市工业和信息化局、市财政局、市商务局等按职责分工负责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]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打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  <w:t>造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梅州客家预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制菜品牌。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长寿梅州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品牌、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富硒资源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主打“客家一桌菜”概念，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统一商标、包装等品牌形象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打造“梅州客家预制菜”区域公用品牌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形成抱团发展合力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。支持预制菜企业申报创建“粤字号”农业品牌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，探索建立预制菜全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程溯源体系。建立梅州客家预制菜品牌目录，对进入目录的企业实行动态审核和退出机制。开展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梅州客家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预制菜“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十大名品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”评选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推介预制菜“伴手礼”。</w:t>
      </w:r>
      <w:r>
        <w:rPr>
          <w:rFonts w:hint="eastAsia" w:ascii="华文仿宋" w:hAnsi="华文仿宋" w:eastAsia="华文仿宋"/>
          <w:sz w:val="32"/>
          <w:szCs w:val="32"/>
        </w:rPr>
        <w:t>加强预制企业安全监管，推进预制菜企业准入准出机制，打造梅州客家预制菜品牌。建立黑白名单制度。鼓励预制菜企业参加各类展会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市商务局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各县（市、区）人民政府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牵头，市财政局、市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工业和信息化局、市市场监管局、市文化广电旅游局等按职责分工负责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十、构建预制菜电商营销平台。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客家预制菜产品“12221”市场体系建设，每年安排专项资金开展线上线下营销活动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重点培育扶持预制菜电商平台，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客家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预制菜加工行业的企业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其预制菜产品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营业收入达到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000万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从当年起3年内按其对本市经济社会贡献增量的80%给予奖励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，推动预制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菜线上专区健康发展和开拓特殊市场。引导企业在粤港澳大湾区城市设立预制菜专营店，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预制菜走进珠三角、长三角的社区店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大力培育预制菜出口企业，积极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拓展国内外市场。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牵头，市财政局、梅州海关、市政务服务数据管理局、市邮政管理局等按职责分工负责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十一、推动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预制菜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创业创新发展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结合“粤菜师傅”工程，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职业院校（含技工学校）增设相关专业课程，每年举办一次预制菜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创新大赛，对获得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一、二、三等奖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万元奖励。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客家一桌菜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新闻发布会，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组织预制菜企业与知名餐饮合作推出联名款产品，打造一批梅州客家预制菜爆品，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组织抖音、快手、拼多多等平台的“十万”预制菜卖手，打造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外联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的“超级联系人”。（市农业农村局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市人力资源社会保障局牵头，市财政局、市教育局、市科技局、市供销社等按职责分工负责）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十二、优化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预制菜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金融保险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统筹安排资金，支持预制菜基础设施建设。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加大金融支持预制菜产业发展力度，深入对接预制菜企业在采购、生产、加工、运输、经营等环节的保险保障需求，优化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创新金融信贷服务。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鼓励和引导金融机构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推出一批预制菜专项保险产品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扩大产业信用贷款覆盖面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，积极争取预制菜企业税收优惠政策，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提升金融保险服务能力。（市农业农村局、市财政局、市金融工作局牵头，市发展改</w:t>
      </w:r>
      <w:r>
        <w:rPr>
          <w:rFonts w:hint="eastAsia" w:ascii="仿宋_GB2312" w:hAnsi="仿宋_GB2312" w:eastAsia="仿宋_GB2312" w:cs="仿宋_GB2312"/>
          <w:sz w:val="32"/>
          <w:szCs w:val="32"/>
        </w:rPr>
        <w:t>革局、梅州银保监分局、市税务局，各金融保险机构等按职责分工负责）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弘扬客家预制菜产业文化。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以老区苏区的红色作为底色，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梅州传承千年的客家文化、革命历史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赋能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预制菜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</w:rPr>
        <w:t>在省统筹建设的“粤科普”公共服务平台开设“预制菜科普”专栏，讲好“世界客都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</w:rPr>
        <w:t>长寿梅州”故事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</w:rPr>
        <w:t>组织参加“食在广东”“广东喊全球吃预制菜”系列活动，统筹利用网、屏、端等平台，加大预制菜品牌文化建设和科普力度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把预制菜产业文化建设融入乡村文化振兴，支持企业在文化旅游线路、乡村振兴示范带建设一批预制菜体验点，推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预制菜产业与休闲、旅游产业融合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延伸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客家预制菜产业链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市文化广电旅游局牵头，市委宣传部、网信办、市政务服务数据管理局、市科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、市商务局等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措施各条款涉及奖励优惠均属事后奖补，给予同一对象的奖补总额，除相关条款另有规定外，原则上不得高于同一年度其对本市经济社会贡献总额。奖补资金承担方面，梅州高新区范围内项目按本措施规定所需扶持资金，全部由梅州高新区承担。其他区域项目所需扶持资金，市财政仅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固定资产投资5亿元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非贡献奖励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所需资金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的10%，其余资金（含贡献奖励资金和非贡献奖励资金）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全部由企业税收管辖关系受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益财政部门负责兑现。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本措施自印发之日起执行，试行期 3 年，适用于全市预制菜产业各参与主体。在实施过程中若有相关政策发生变化，按照最新政策执行。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XFS">
    <w:altName w:val="仿宋_GB2312"/>
    <w:panose1 w:val="0201060900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7AD41"/>
    <w:multiLevelType w:val="singleLevel"/>
    <w:tmpl w:val="46B7AD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zEyZWU0MDNmZTUyNzE3ZTIzNzRiNjgyMjg0NzIifQ=="/>
  </w:docVars>
  <w:rsids>
    <w:rsidRoot w:val="29EA48E3"/>
    <w:rsid w:val="00030A4E"/>
    <w:rsid w:val="002D5EA2"/>
    <w:rsid w:val="0072695E"/>
    <w:rsid w:val="007F2027"/>
    <w:rsid w:val="00FA4663"/>
    <w:rsid w:val="018A5B60"/>
    <w:rsid w:val="01BF64E7"/>
    <w:rsid w:val="01C01F06"/>
    <w:rsid w:val="057B3398"/>
    <w:rsid w:val="05FF3642"/>
    <w:rsid w:val="062F1B1E"/>
    <w:rsid w:val="06B848E5"/>
    <w:rsid w:val="07060306"/>
    <w:rsid w:val="071076C7"/>
    <w:rsid w:val="072034F0"/>
    <w:rsid w:val="0758473E"/>
    <w:rsid w:val="07BF007D"/>
    <w:rsid w:val="08EF7A39"/>
    <w:rsid w:val="09BF125C"/>
    <w:rsid w:val="0BD21125"/>
    <w:rsid w:val="0C9B3A6C"/>
    <w:rsid w:val="0D6603B7"/>
    <w:rsid w:val="0E023C85"/>
    <w:rsid w:val="0EC07C46"/>
    <w:rsid w:val="100D44BB"/>
    <w:rsid w:val="10A21797"/>
    <w:rsid w:val="10C22219"/>
    <w:rsid w:val="11D95A11"/>
    <w:rsid w:val="11EB13BC"/>
    <w:rsid w:val="126D6927"/>
    <w:rsid w:val="13D83EAC"/>
    <w:rsid w:val="13FFCD8F"/>
    <w:rsid w:val="15044F68"/>
    <w:rsid w:val="15E30E39"/>
    <w:rsid w:val="16257C02"/>
    <w:rsid w:val="17F37DF6"/>
    <w:rsid w:val="189E385A"/>
    <w:rsid w:val="199505BC"/>
    <w:rsid w:val="1AD32329"/>
    <w:rsid w:val="1B75406A"/>
    <w:rsid w:val="1CBD105A"/>
    <w:rsid w:val="1D1D719C"/>
    <w:rsid w:val="1E5A3939"/>
    <w:rsid w:val="1EC24F38"/>
    <w:rsid w:val="1FB76D1F"/>
    <w:rsid w:val="1FD93822"/>
    <w:rsid w:val="20037DE2"/>
    <w:rsid w:val="20692FB6"/>
    <w:rsid w:val="212C6D35"/>
    <w:rsid w:val="21321E93"/>
    <w:rsid w:val="215355BE"/>
    <w:rsid w:val="21745C45"/>
    <w:rsid w:val="220E769B"/>
    <w:rsid w:val="23DE1A4F"/>
    <w:rsid w:val="23FF3674"/>
    <w:rsid w:val="247936CB"/>
    <w:rsid w:val="24BB069B"/>
    <w:rsid w:val="24F60A9D"/>
    <w:rsid w:val="264458BD"/>
    <w:rsid w:val="27A37E5C"/>
    <w:rsid w:val="27C811F0"/>
    <w:rsid w:val="29417CAA"/>
    <w:rsid w:val="29876406"/>
    <w:rsid w:val="29EA48E3"/>
    <w:rsid w:val="29EE6148"/>
    <w:rsid w:val="2A413BAD"/>
    <w:rsid w:val="2A590955"/>
    <w:rsid w:val="2A9071FF"/>
    <w:rsid w:val="2ADB7F2F"/>
    <w:rsid w:val="2B246524"/>
    <w:rsid w:val="2B650242"/>
    <w:rsid w:val="2BD201F5"/>
    <w:rsid w:val="2D964200"/>
    <w:rsid w:val="2E0C7407"/>
    <w:rsid w:val="2F460646"/>
    <w:rsid w:val="2FC42004"/>
    <w:rsid w:val="3019196D"/>
    <w:rsid w:val="301E204A"/>
    <w:rsid w:val="30570C4A"/>
    <w:rsid w:val="30771E60"/>
    <w:rsid w:val="30A003C2"/>
    <w:rsid w:val="30FE0870"/>
    <w:rsid w:val="315A3D9B"/>
    <w:rsid w:val="31ED0E5A"/>
    <w:rsid w:val="32DD6DE5"/>
    <w:rsid w:val="33AD0DB2"/>
    <w:rsid w:val="345B2814"/>
    <w:rsid w:val="34D6961B"/>
    <w:rsid w:val="34DB1313"/>
    <w:rsid w:val="36679A9C"/>
    <w:rsid w:val="36CE63BD"/>
    <w:rsid w:val="36E302E1"/>
    <w:rsid w:val="37282702"/>
    <w:rsid w:val="37B49E39"/>
    <w:rsid w:val="39FD8563"/>
    <w:rsid w:val="3A0E7C09"/>
    <w:rsid w:val="3AA58BC4"/>
    <w:rsid w:val="3BF27246"/>
    <w:rsid w:val="3CAA7EF7"/>
    <w:rsid w:val="3CAD697D"/>
    <w:rsid w:val="3D5A2496"/>
    <w:rsid w:val="3DB26C60"/>
    <w:rsid w:val="3DE22EEA"/>
    <w:rsid w:val="3DECBC55"/>
    <w:rsid w:val="3DF60F57"/>
    <w:rsid w:val="3DFB0D7D"/>
    <w:rsid w:val="3E481343"/>
    <w:rsid w:val="3E5B7AE8"/>
    <w:rsid w:val="3E8E0468"/>
    <w:rsid w:val="3ED7A0D3"/>
    <w:rsid w:val="405E22E4"/>
    <w:rsid w:val="40A02F12"/>
    <w:rsid w:val="413109A6"/>
    <w:rsid w:val="42487AC7"/>
    <w:rsid w:val="42616300"/>
    <w:rsid w:val="43375FA6"/>
    <w:rsid w:val="43401FAF"/>
    <w:rsid w:val="437A652A"/>
    <w:rsid w:val="45732DED"/>
    <w:rsid w:val="45AB08F6"/>
    <w:rsid w:val="45B00FA2"/>
    <w:rsid w:val="483A4B4F"/>
    <w:rsid w:val="48442155"/>
    <w:rsid w:val="485A678B"/>
    <w:rsid w:val="492C2636"/>
    <w:rsid w:val="49E01F37"/>
    <w:rsid w:val="4AC3DFB5"/>
    <w:rsid w:val="4CB90B74"/>
    <w:rsid w:val="4E91793E"/>
    <w:rsid w:val="4E9B0E76"/>
    <w:rsid w:val="4E9B335F"/>
    <w:rsid w:val="4EAA5D9A"/>
    <w:rsid w:val="4EB50B33"/>
    <w:rsid w:val="4EFE0FD7"/>
    <w:rsid w:val="4F6F5AF6"/>
    <w:rsid w:val="4F9F5F5B"/>
    <w:rsid w:val="4FA71E03"/>
    <w:rsid w:val="4FBE24FB"/>
    <w:rsid w:val="4FFFA018"/>
    <w:rsid w:val="514B4A7D"/>
    <w:rsid w:val="51E5535B"/>
    <w:rsid w:val="534C67B2"/>
    <w:rsid w:val="53F2564A"/>
    <w:rsid w:val="54DE17A5"/>
    <w:rsid w:val="58066A4D"/>
    <w:rsid w:val="591A2837"/>
    <w:rsid w:val="59747B49"/>
    <w:rsid w:val="597964F8"/>
    <w:rsid w:val="59A85043"/>
    <w:rsid w:val="59C43A4F"/>
    <w:rsid w:val="5A4D7877"/>
    <w:rsid w:val="5B38295C"/>
    <w:rsid w:val="5B6B0D49"/>
    <w:rsid w:val="5B978189"/>
    <w:rsid w:val="5BBB7A1D"/>
    <w:rsid w:val="5C4A5C8D"/>
    <w:rsid w:val="5C95252A"/>
    <w:rsid w:val="5E04287B"/>
    <w:rsid w:val="5EB77AB5"/>
    <w:rsid w:val="5EBFC57E"/>
    <w:rsid w:val="5EF769D9"/>
    <w:rsid w:val="5FFBDF85"/>
    <w:rsid w:val="5FFEE3CB"/>
    <w:rsid w:val="6008663C"/>
    <w:rsid w:val="6154366A"/>
    <w:rsid w:val="62512697"/>
    <w:rsid w:val="626030ED"/>
    <w:rsid w:val="62EA21D9"/>
    <w:rsid w:val="641A7C41"/>
    <w:rsid w:val="64793590"/>
    <w:rsid w:val="64872094"/>
    <w:rsid w:val="66B74422"/>
    <w:rsid w:val="66C1796D"/>
    <w:rsid w:val="66E07D2E"/>
    <w:rsid w:val="66FF80F7"/>
    <w:rsid w:val="678E0B8C"/>
    <w:rsid w:val="67B24E78"/>
    <w:rsid w:val="67BF7BE7"/>
    <w:rsid w:val="67EB1F7B"/>
    <w:rsid w:val="690245EB"/>
    <w:rsid w:val="695164E7"/>
    <w:rsid w:val="69CE0B2B"/>
    <w:rsid w:val="6B1A7FEC"/>
    <w:rsid w:val="6BD558D2"/>
    <w:rsid w:val="6BD801D6"/>
    <w:rsid w:val="6BDF2260"/>
    <w:rsid w:val="6C7B7311"/>
    <w:rsid w:val="6CEF5880"/>
    <w:rsid w:val="6E7D20CE"/>
    <w:rsid w:val="6F1FE0FB"/>
    <w:rsid w:val="6F3729AC"/>
    <w:rsid w:val="6F7FFBE1"/>
    <w:rsid w:val="6FC0050A"/>
    <w:rsid w:val="6FFB3910"/>
    <w:rsid w:val="6FFD21AD"/>
    <w:rsid w:val="705A1C01"/>
    <w:rsid w:val="71412FE6"/>
    <w:rsid w:val="716AF7A0"/>
    <w:rsid w:val="71E06168"/>
    <w:rsid w:val="72C61B6B"/>
    <w:rsid w:val="736840B1"/>
    <w:rsid w:val="73BE0EBE"/>
    <w:rsid w:val="73E06BAD"/>
    <w:rsid w:val="74FAE645"/>
    <w:rsid w:val="75DE14DB"/>
    <w:rsid w:val="75F53DC5"/>
    <w:rsid w:val="772E7164"/>
    <w:rsid w:val="777455FD"/>
    <w:rsid w:val="77B4865E"/>
    <w:rsid w:val="77E4E778"/>
    <w:rsid w:val="79BF37D9"/>
    <w:rsid w:val="7A2B285A"/>
    <w:rsid w:val="7A4B705B"/>
    <w:rsid w:val="7A9CBAD6"/>
    <w:rsid w:val="7AA8635F"/>
    <w:rsid w:val="7AD70AED"/>
    <w:rsid w:val="7B6FF8A9"/>
    <w:rsid w:val="7B7E3E42"/>
    <w:rsid w:val="7BEC37C4"/>
    <w:rsid w:val="7BED9F4D"/>
    <w:rsid w:val="7CE96227"/>
    <w:rsid w:val="7D324B04"/>
    <w:rsid w:val="7DBD6EC2"/>
    <w:rsid w:val="7DBF3201"/>
    <w:rsid w:val="7DC93E75"/>
    <w:rsid w:val="7DE5D5C4"/>
    <w:rsid w:val="7DEA1906"/>
    <w:rsid w:val="7DF701D5"/>
    <w:rsid w:val="7E6558E7"/>
    <w:rsid w:val="7EBC3982"/>
    <w:rsid w:val="7ECBB0B0"/>
    <w:rsid w:val="7F2DB082"/>
    <w:rsid w:val="7F2E3F6A"/>
    <w:rsid w:val="7F57A1C9"/>
    <w:rsid w:val="7F714308"/>
    <w:rsid w:val="7F79DE70"/>
    <w:rsid w:val="97FBE0BA"/>
    <w:rsid w:val="9AE78C60"/>
    <w:rsid w:val="9B6F9739"/>
    <w:rsid w:val="9B7F622A"/>
    <w:rsid w:val="9DC96C3E"/>
    <w:rsid w:val="9EEF0859"/>
    <w:rsid w:val="B7EDA36A"/>
    <w:rsid w:val="BA7B23C6"/>
    <w:rsid w:val="BC5F21A4"/>
    <w:rsid w:val="BCFCF6B2"/>
    <w:rsid w:val="BDBF0435"/>
    <w:rsid w:val="BF9FDC7D"/>
    <w:rsid w:val="BFDC79A8"/>
    <w:rsid w:val="BFF77DA5"/>
    <w:rsid w:val="C59C5A6A"/>
    <w:rsid w:val="CD17BA2B"/>
    <w:rsid w:val="D5ED6DEA"/>
    <w:rsid w:val="DBFF54F3"/>
    <w:rsid w:val="DE7763DB"/>
    <w:rsid w:val="DEC82D4C"/>
    <w:rsid w:val="DFED7D15"/>
    <w:rsid w:val="DFFC595B"/>
    <w:rsid w:val="E2EFD99A"/>
    <w:rsid w:val="E8F6C9F1"/>
    <w:rsid w:val="ED6F5F19"/>
    <w:rsid w:val="EDF8AEED"/>
    <w:rsid w:val="EE7F1A44"/>
    <w:rsid w:val="F3B3F18F"/>
    <w:rsid w:val="F4BFF27A"/>
    <w:rsid w:val="F5B7F6BA"/>
    <w:rsid w:val="F75B19A2"/>
    <w:rsid w:val="F7F3656A"/>
    <w:rsid w:val="F7FB1625"/>
    <w:rsid w:val="FB8D8A93"/>
    <w:rsid w:val="FBFC1708"/>
    <w:rsid w:val="FBFFB5CD"/>
    <w:rsid w:val="FC5B25F6"/>
    <w:rsid w:val="FCFF94B0"/>
    <w:rsid w:val="FDB45A77"/>
    <w:rsid w:val="FDBBE22A"/>
    <w:rsid w:val="FDBFF03F"/>
    <w:rsid w:val="FDEB81EA"/>
    <w:rsid w:val="FF3F8322"/>
    <w:rsid w:val="FF6D4498"/>
    <w:rsid w:val="FFB74572"/>
    <w:rsid w:val="FFBD665A"/>
    <w:rsid w:val="FFDF6427"/>
    <w:rsid w:val="FFED862B"/>
    <w:rsid w:val="FFF62641"/>
    <w:rsid w:val="FFF77CFB"/>
    <w:rsid w:val="FFF8D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  <w:spacing w:line="520" w:lineRule="exact"/>
      <w:ind w:firstLine="880" w:firstLineChars="200"/>
    </w:pPr>
    <w:rPr>
      <w:rFonts w:ascii="Times New Roman" w:hAnsi="Times New Roman" w:eastAsia="方正仿宋_GBK" w:cs="WXFS"/>
      <w:color w:val="000000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3188</Words>
  <Characters>3230</Characters>
  <Lines>21</Lines>
  <Paragraphs>6</Paragraphs>
  <TotalTime>1</TotalTime>
  <ScaleCrop>false</ScaleCrop>
  <LinksUpToDate>false</LinksUpToDate>
  <CharactersWithSpaces>3230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2022-04-11T15:20:00Z</dcterms:created>
  <dc:creator>黄丽君</dc:creator>
  <cp:lastModifiedBy>greatwall</cp:lastModifiedBy>
  <cp:lastPrinted>2022-09-20T10:04:27Z</cp:lastPrinted>
  <dcterms:modified xsi:type="dcterms:W3CDTF">2022-09-20T10:33:43Z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7CCED94CA9504A39B6D79366D16CEA4A</vt:lpwstr>
  </property>
  <property fmtid="{D5CDD505-2E9C-101B-9397-08002B2CF9AE}" pid="4" name="commondata">
    <vt:lpwstr>eyJoZGlkIjoiMjk1Zjk1NmM2ODkyNTE4OWM0MDlhZDY3MTMxOTc3MzgifQ==</vt:lpwstr>
  </property>
</Properties>
</file>