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9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</w:rPr>
      </w:pP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ICS</w:t>
      </w:r>
      <w:r>
        <w:rPr>
          <w:rFonts w:hint="eastAsia" w:hAnsi="MS Gothic" w:eastAsia="MS Gothic" w:cs="MS Gothic"/>
        </w:rPr>
        <w:t> </w:t>
      </w:r>
      <w:r>
        <w:rPr>
          <w:rFonts w:hint="eastAsia"/>
        </w:rPr>
        <w:t>65.020.20</w:t>
      </w:r>
    </w:p>
    <w:p>
      <w:pPr>
        <w:pStyle w:val="119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</w:rPr>
      </w:pPr>
      <w:r>
        <w:rPr>
          <w:rFonts w:hint="eastAsia"/>
        </w:rPr>
        <w:t>B 22</w:t>
      </w:r>
    </w:p>
    <w:p>
      <w:pPr>
        <w:pStyle w:val="119"/>
      </w:pPr>
      <w:r>
        <w:t>  </w:t>
      </w:r>
      <w:r>
        <w:fldChar w:fldCharType="end"/>
      </w:r>
      <w:bookmarkEnd w:id="0"/>
    </w:p>
    <w:p>
      <w:pPr>
        <w:pStyle w:val="119"/>
      </w:pP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119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>
      <w:pPr>
        <w:pStyle w:val="105"/>
        <w:framePr w:x="4622"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4</w:t>
      </w:r>
      <w:r>
        <w:rPr>
          <w:rFonts w:hint="eastAsia"/>
          <w:lang w:val="en-US" w:eastAsia="zh-CN"/>
        </w:rPr>
        <w:t>41</w:t>
      </w:r>
      <w:r>
        <w:rPr>
          <w:rFonts w:hint="eastAsia"/>
        </w:rPr>
        <w:t>4</w:t>
      </w:r>
      <w:r>
        <w:fldChar w:fldCharType="end"/>
      </w:r>
      <w:bookmarkEnd w:id="2"/>
    </w:p>
    <w:p>
      <w:pPr>
        <w:pStyle w:val="106"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梅州市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43"/>
        <w:rPr>
          <w:rFonts w:hAnsi="黑体"/>
        </w:rPr>
      </w:pPr>
      <w:r>
        <w:rPr>
          <w:rFonts w:ascii="Times New Roman"/>
        </w:rPr>
        <w:t xml:space="preserve">DB </w:t>
      </w:r>
      <w:bookmarkStart w:id="4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4</w:t>
      </w:r>
      <w:r>
        <w:rPr>
          <w:rFonts w:hint="eastAsia" w:hAnsi="黑体"/>
          <w:lang w:val="en-US" w:eastAsia="zh-CN"/>
        </w:rPr>
        <w:t>41</w:t>
      </w:r>
      <w:r>
        <w:rPr>
          <w:rFonts w:hint="eastAsia" w:hAnsi="黑体"/>
        </w:rPr>
        <w:t>4</w:t>
      </w:r>
      <w:r>
        <w:rPr>
          <w:rFonts w:hAnsi="黑体"/>
        </w:rPr>
        <w:fldChar w:fldCharType="end"/>
      </w:r>
      <w:bookmarkEnd w:id="4"/>
      <w:r>
        <w:rPr>
          <w:rFonts w:hAnsi="黑体"/>
        </w:rPr>
        <w:t>/</w:t>
      </w:r>
      <w:bookmarkStart w:id="5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</w:t>
      </w:r>
      <w:r>
        <w:rPr>
          <w:rFonts w:hint="eastAsia" w:hAnsi="黑体"/>
          <w:lang w:val="en-US" w:eastAsia="zh-CN"/>
        </w:rPr>
        <w:t>T</w:t>
      </w:r>
      <w:r>
        <w:rPr>
          <w:rFonts w:hAnsi="黑体"/>
        </w:rPr>
        <w:t>  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>—</w:t>
      </w:r>
      <w:bookmarkStart w:id="6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6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2"/>
            </w:pPr>
            <w:bookmarkStart w:id="7" w:name="DT"/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</w:tbl>
    <w:p>
      <w:pPr>
        <w:pStyle w:val="43"/>
        <w:rPr>
          <w:rFonts w:hAnsi="黑体"/>
        </w:rPr>
      </w:pPr>
    </w:p>
    <w:p>
      <w:pPr>
        <w:pStyle w:val="43"/>
        <w:rPr>
          <w:rFonts w:hAnsi="黑体"/>
        </w:rPr>
      </w:pPr>
    </w:p>
    <w:p>
      <w:pPr>
        <w:pStyle w:val="74"/>
      </w:pPr>
      <w:r>
        <w:rPr>
          <w:rStyle w:val="133"/>
          <w:rFonts w:hint="eastAsia"/>
          <w:lang w:eastAsia="zh-CN"/>
        </w:rPr>
        <w:t>梅州市</w:t>
      </w:r>
      <w:r>
        <w:rPr>
          <w:rStyle w:val="133"/>
          <w:rFonts w:hint="eastAsia"/>
          <w:lang w:val="zh-CN"/>
        </w:rPr>
        <w:t>丝苗型</w:t>
      </w:r>
      <w:r>
        <w:rPr>
          <w:rStyle w:val="133"/>
          <w:rFonts w:hint="eastAsia"/>
        </w:rPr>
        <w:t>水稻生产</w:t>
      </w:r>
      <w:r>
        <w:rPr>
          <w:rStyle w:val="133"/>
          <w:rFonts w:hint="eastAsia"/>
          <w:lang w:eastAsia="zh-CN"/>
        </w:rPr>
        <w:t>栽培</w:t>
      </w:r>
      <w:r>
        <w:rPr>
          <w:rStyle w:val="133"/>
          <w:rFonts w:hint="eastAsia"/>
        </w:rPr>
        <w:t>技术规程</w:t>
      </w:r>
    </w:p>
    <w:p>
      <w:pPr>
        <w:pStyle w:val="76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jc w:val="center"/>
        <w:textAlignment w:val="center"/>
        <w:rPr>
          <w:rFonts w:ascii="sans-serif" w:hAnsi="sans-serif" w:eastAsia="宋体" w:cs="sans-serif"/>
          <w:i w:val="0"/>
          <w:caps w:val="0"/>
          <w:color w:val="333333"/>
          <w:spacing w:val="0"/>
          <w:kern w:val="0"/>
          <w:sz w:val="36"/>
          <w:szCs w:val="36"/>
          <w:shd w:val="clear" w:color="auto" w:fill="FFFFFF"/>
          <w:lang w:val="en-US" w:eastAsia="zh-CN" w:bidi="ar"/>
        </w:rPr>
      </w:pPr>
    </w:p>
    <w:p>
      <w:pPr>
        <w:pStyle w:val="76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jc w:val="center"/>
        <w:textAlignment w:val="center"/>
        <w:rPr>
          <w:b/>
        </w:rPr>
      </w:pPr>
      <w:r>
        <w:rPr>
          <w:rFonts w:ascii="sans-serif" w:hAnsi="sans-serif" w:eastAsia="宋体" w:cs="sans-serif"/>
          <w:i w:val="0"/>
          <w:caps w:val="0"/>
          <w:color w:val="333333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Technical regulation for production and cultivation of silk seedling type rice in Meizhou City</w:t>
      </w:r>
    </w:p>
    <w:p>
      <w:pPr>
        <w:pStyle w:val="75"/>
      </w:pPr>
    </w:p>
    <w:p>
      <w:pPr>
        <w:pStyle w:val="76"/>
      </w:pP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7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8" w:name="LB"/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（报批稿）"/>
                    <w:listEntry w:val="（送审稿）"/>
                    <w:listEntry w:val="（工作组讨论稿）"/>
                    <w:listEntry w:val="（征求意见稿）"/>
                    <w:listEntry w:val="（送审讨论稿）"/>
                    <w:listEntry w:val="文稿版次选择"/>
                  </w:ddList>
                </w:ffData>
              </w:fldChar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instrText xml:space="preserve">FORMDROPDOWN</w:instrText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separate"/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end"/>
            </w:r>
            <w:bookmarkEnd w:id="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8"/>
            </w:pPr>
            <w:bookmarkStart w:id="9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9"/>
          </w:p>
        </w:tc>
      </w:tr>
    </w:tbl>
    <w:p>
      <w:pPr>
        <w:pStyle w:val="126"/>
      </w:pPr>
      <w:bookmarkStart w:id="10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1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De0wwbmAQAA3A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Vt+w5kDSw1/+v7j6ecv&#10;VhdxxoANxdy7TSSp8g7DJmamhy7a/CcO7FAEPZ4FVYfEBB3e1sTqLWktnn3V5WKImD4qb1k2Wm60&#10;y1yhgf0nTJSMQp9D8rFxbGz5+5sFFSqABq+jhpNpAxWPri930RstH7Qx+QbGfntvIttDbn75cr8J&#10;96+wnGQNOExxxTWNxaBAfnCSpWMgWRy9Bp5LsEpyZhQ9nmyVAUqgzTWRlNo4quCiY7a2Xh6pCbsQ&#10;dT+QEnWpMnuo6aXe04DmqfpzX5Auj3L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A3tMMG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7"/>
      </w:pPr>
      <w:bookmarkStart w:id="12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2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3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4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hint="eastAsia"/>
        </w:rPr>
        <w:t>实施</w:t>
      </w:r>
    </w:p>
    <w:p>
      <w:pPr>
        <w:pStyle w:val="107"/>
      </w:pPr>
      <w:bookmarkStart w:id="15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  </w:t>
      </w:r>
      <w:r>
        <w:rPr>
          <w:rFonts w:hint="eastAsia"/>
          <w:lang w:eastAsia="zh-CN"/>
        </w:rPr>
        <w:t>梅州市市场监督管理局</w:t>
      </w:r>
      <w:r>
        <w:fldChar w:fldCharType="end"/>
      </w:r>
      <w:bookmarkEnd w:id="15"/>
      <w:r>
        <w:rPr>
          <w:rFonts w:hint="eastAsia" w:ascii="MS Mincho" w:hAnsi="MS Mincho" w:eastAsia="MS Mincho" w:cs="MS Mincho"/>
        </w:rPr>
        <w:t>   </w:t>
      </w:r>
      <w:r>
        <w:rPr>
          <w:rStyle w:val="69"/>
          <w:rFonts w:hint="eastAsia"/>
        </w:rPr>
        <w:t>发布</w:t>
      </w:r>
    </w:p>
    <w:p>
      <w:pPr>
        <w:pStyle w:val="21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AEO&#10;p5LnAQAA3A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08"/>
        <w:rPr>
          <w:rFonts w:hint="eastAsia"/>
        </w:rPr>
      </w:pPr>
      <w:r>
        <w:rPr>
          <w:rFonts w:hint="eastAsia"/>
        </w:rPr>
        <w:t>前</w:t>
      </w:r>
      <w:bookmarkStart w:id="16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6"/>
    </w:p>
    <w:p>
      <w:pPr>
        <w:tabs>
          <w:tab w:val="left" w:pos="7380"/>
        </w:tabs>
        <w:spacing w:line="360" w:lineRule="auto"/>
        <w:ind w:right="25" w:rightChars="12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本文件按照GB</w:t>
      </w:r>
      <w:r>
        <w:rPr>
          <w:rFonts w:ascii="宋体" w:hAnsi="宋体"/>
          <w:szCs w:val="21"/>
        </w:rPr>
        <w:t>/T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1.1-20</w:t>
      </w:r>
      <w:r>
        <w:rPr>
          <w:rFonts w:hint="eastAsia" w:ascii="宋体" w:hAnsi="宋体"/>
          <w:szCs w:val="21"/>
        </w:rPr>
        <w:t>20《标准化工作导则 第1部分：标准化文件的结构和起草规则》的规定起草。</w:t>
      </w:r>
    </w:p>
    <w:p>
      <w:pPr>
        <w:tabs>
          <w:tab w:val="left" w:pos="7380"/>
        </w:tabs>
        <w:spacing w:line="360" w:lineRule="auto"/>
        <w:ind w:right="25" w:rightChars="12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本文件由</w:t>
      </w:r>
      <w:r>
        <w:rPr>
          <w:rFonts w:hint="eastAsia" w:ascii="宋体" w:hAnsi="宋体"/>
          <w:szCs w:val="21"/>
          <w:lang w:eastAsia="zh-CN"/>
        </w:rPr>
        <w:t>梅州市农业农村局</w:t>
      </w:r>
      <w:r>
        <w:rPr>
          <w:rFonts w:hint="eastAsia" w:ascii="宋体" w:hAnsi="宋体"/>
          <w:szCs w:val="21"/>
        </w:rPr>
        <w:t>提出和归口。</w:t>
      </w:r>
    </w:p>
    <w:p>
      <w:pPr>
        <w:tabs>
          <w:tab w:val="left" w:pos="7380"/>
        </w:tabs>
        <w:spacing w:line="360" w:lineRule="auto"/>
        <w:ind w:right="25" w:rightChars="12"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/>
          <w:szCs w:val="21"/>
        </w:rPr>
        <w:t>本文件起草单位：</w:t>
      </w:r>
      <w:r>
        <w:rPr>
          <w:rFonts w:hint="eastAsia" w:ascii="宋体" w:hAnsi="宋体" w:eastAsia="宋体" w:cs="Times New Roman"/>
          <w:szCs w:val="21"/>
          <w:lang w:val="zh-CN" w:eastAsia="zh-CN"/>
        </w:rPr>
        <w:t>梅州市农业综合服务中心、</w:t>
      </w:r>
      <w:r>
        <w:rPr>
          <w:rFonts w:hint="eastAsia" w:ascii="宋体" w:hAnsi="宋体" w:eastAsia="宋体" w:cs="Times New Roman"/>
          <w:szCs w:val="21"/>
          <w:lang w:eastAsia="zh-CN"/>
        </w:rPr>
        <w:t>梅州市农林科学院粮油研究所、</w:t>
      </w:r>
      <w:r>
        <w:rPr>
          <w:rFonts w:hint="eastAsia" w:ascii="宋体" w:hAnsi="宋体" w:eastAsia="宋体" w:cs="Times New Roman"/>
          <w:szCs w:val="21"/>
          <w:lang w:val="en" w:eastAsia="zh-CN"/>
        </w:rPr>
        <w:t>蕉岭县科诚优质稻专业合作社、</w:t>
      </w:r>
      <w:r>
        <w:rPr>
          <w:rFonts w:hint="eastAsia" w:ascii="宋体" w:hAnsi="宋体" w:eastAsia="宋体" w:cs="Times New Roman"/>
          <w:szCs w:val="21"/>
          <w:lang w:eastAsia="zh-CN"/>
        </w:rPr>
        <w:t>兴宁市润丰农业专业合作社、</w:t>
      </w:r>
      <w:r>
        <w:rPr>
          <w:rFonts w:hint="eastAsia" w:ascii="宋体" w:hAnsi="宋体" w:eastAsia="宋体" w:cs="Times New Roman"/>
          <w:szCs w:val="21"/>
          <w:lang w:val="en" w:eastAsia="zh-CN"/>
        </w:rPr>
        <w:t>梅县区城东镇农业农村服务中心、梅州市嘉田农业科技有限公司</w:t>
      </w:r>
      <w:r>
        <w:rPr>
          <w:rFonts w:hint="eastAsia" w:ascii="宋体" w:hAnsi="宋体" w:eastAsia="宋体" w:cs="Times New Roman"/>
          <w:szCs w:val="21"/>
          <w:lang w:eastAsia="zh-CN"/>
        </w:rPr>
        <w:t>。</w:t>
      </w:r>
    </w:p>
    <w:p>
      <w:pPr>
        <w:tabs>
          <w:tab w:val="left" w:pos="7380"/>
        </w:tabs>
        <w:spacing w:line="360" w:lineRule="auto"/>
        <w:ind w:right="25" w:rightChars="12"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本文件主要起草人：魏伟谦、古子怀、林干松、罗新辉、曾超、张玲、魏戈文、李春洪、宋国峰、徐龙</w:t>
      </w:r>
      <w:r>
        <w:rPr>
          <w:rFonts w:hint="eastAsia" w:ascii="宋体" w:hAnsi="宋体" w:cs="Times New Roman"/>
          <w:szCs w:val="21"/>
          <w:lang w:eastAsia="zh-CN"/>
        </w:rPr>
        <w:t>。</w:t>
      </w:r>
      <w:bookmarkStart w:id="17" w:name="_GoBack"/>
      <w:bookmarkEnd w:id="17"/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黑体" w:eastAsia="黑体" w:cs="黑体"/>
          <w:sz w:val="32"/>
          <w:szCs w:val="32"/>
          <w:lang w:val="zh-CN"/>
        </w:rPr>
      </w:pPr>
    </w:p>
    <w:p>
      <w:pPr>
        <w:pStyle w:val="88"/>
        <w:jc w:val="center"/>
        <w:rPr>
          <w:rFonts w:hint="eastAsia" w:ascii="黑体" w:hAnsi="华文中宋" w:eastAsia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 xml:space="preserve"> 梅州市</w:t>
      </w:r>
      <w:r>
        <w:rPr>
          <w:rFonts w:hint="eastAsia" w:ascii="黑体" w:eastAsia="黑体"/>
          <w:sz w:val="32"/>
          <w:szCs w:val="32"/>
          <w:lang w:val="zh-CN"/>
        </w:rPr>
        <w:t>丝苗</w:t>
      </w:r>
      <w:r>
        <w:rPr>
          <w:rFonts w:hint="eastAsia" w:ascii="黑体" w:eastAsia="黑体"/>
          <w:sz w:val="32"/>
          <w:szCs w:val="32"/>
          <w:lang w:val="zh-CN" w:eastAsia="zh-CN"/>
        </w:rPr>
        <w:t>型</w:t>
      </w:r>
      <w:r>
        <w:rPr>
          <w:rFonts w:hint="eastAsia" w:ascii="黑体" w:eastAsia="黑体"/>
          <w:bCs/>
          <w:sz w:val="32"/>
          <w:szCs w:val="32"/>
        </w:rPr>
        <w:t>水稻</w:t>
      </w:r>
      <w:r>
        <w:rPr>
          <w:rFonts w:hint="eastAsia" w:ascii="黑体" w:eastAsia="黑体"/>
          <w:sz w:val="32"/>
          <w:szCs w:val="32"/>
        </w:rPr>
        <w:t>生产</w:t>
      </w:r>
      <w:r>
        <w:rPr>
          <w:rFonts w:hint="eastAsia" w:ascii="黑体" w:eastAsia="黑体"/>
          <w:sz w:val="32"/>
          <w:szCs w:val="32"/>
          <w:lang w:eastAsia="zh-CN"/>
        </w:rPr>
        <w:t>栽培</w:t>
      </w:r>
      <w:r>
        <w:rPr>
          <w:rFonts w:hint="eastAsia" w:ascii="黑体" w:eastAsia="黑体"/>
          <w:sz w:val="32"/>
          <w:szCs w:val="32"/>
        </w:rPr>
        <w:t>技术</w:t>
      </w:r>
      <w:r>
        <w:rPr>
          <w:rFonts w:hint="eastAsia" w:ascii="黑体" w:eastAsia="黑体"/>
          <w:bCs/>
          <w:sz w:val="32"/>
          <w:szCs w:val="32"/>
        </w:rPr>
        <w:t>规程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rPr>
          <w:bCs/>
        </w:rPr>
      </w:pPr>
      <w:r>
        <w:rPr>
          <w:rFonts w:hint="eastAsia" w:hAnsi="黑体"/>
          <w:bCs/>
        </w:rPr>
        <w:t>1 范围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Hans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本文件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规定了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梅州市</w:t>
      </w:r>
      <w:r>
        <w:rPr>
          <w:rFonts w:hint="eastAsia" w:ascii="宋体" w:hAnsi="宋体" w:eastAsia="宋体" w:cs="Times New Roman"/>
          <w:sz w:val="21"/>
          <w:lang w:val="zh-CN" w:eastAsia="zh-CN" w:bidi="ar-SA"/>
        </w:rPr>
        <w:t>丝苗型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水稻的品种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选择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、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栽培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管理、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收获、贮存等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技术要求。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本文件适用于梅州地区种植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的</w:t>
      </w:r>
      <w:r>
        <w:rPr>
          <w:rFonts w:hint="eastAsia" w:ascii="宋体" w:hAnsi="宋体" w:eastAsia="宋体" w:cs="Times New Roman"/>
          <w:sz w:val="21"/>
          <w:lang w:val="zh-CN" w:eastAsia="zh-Hans" w:bidi="ar-SA"/>
        </w:rPr>
        <w:t>丝苗</w:t>
      </w:r>
      <w:r>
        <w:rPr>
          <w:rFonts w:hint="eastAsia" w:ascii="宋体" w:hAnsi="宋体" w:eastAsia="宋体" w:cs="Times New Roman"/>
          <w:sz w:val="21"/>
          <w:lang w:val="zh-CN" w:eastAsia="zh-CN" w:bidi="ar-SA"/>
        </w:rPr>
        <w:t>型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水稻生产</w:t>
      </w:r>
      <w:r>
        <w:rPr>
          <w:rFonts w:hint="eastAsia" w:ascii="宋体" w:hAnsi="宋体" w:eastAsia="宋体" w:cs="Times New Roman"/>
          <w:sz w:val="21"/>
          <w:lang w:val="en-US" w:eastAsia="zh-CN" w:bidi="ar-SA"/>
        </w:rPr>
        <w:t>栽培</w:t>
      </w:r>
      <w:r>
        <w:rPr>
          <w:rFonts w:hint="eastAsia" w:ascii="宋体" w:hAnsi="宋体" w:eastAsia="宋体" w:cs="Times New Roman"/>
          <w:sz w:val="21"/>
          <w:lang w:val="en-US" w:eastAsia="zh-Hans" w:bidi="ar-SA"/>
        </w:rPr>
        <w:t>技术规程。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rPr>
          <w:rFonts w:hint="eastAsia"/>
          <w:bCs/>
        </w:rPr>
      </w:pPr>
      <w:r>
        <w:rPr>
          <w:rFonts w:hint="eastAsia" w:hAnsi="黑体"/>
          <w:bCs/>
        </w:rPr>
        <w:t>2 规范性引用文件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GB 4404.1粮食作物种子 第一部分：禾谷类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GB 5084-2021 农田灌溉水质标准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GB/T 8321    农药合理使用准则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NY/T496     肥料合理使用准则 通则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hAnsi="黑体"/>
          <w:bCs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eastAsia="zh-CN"/>
        </w:rPr>
      </w:pPr>
      <w:r>
        <w:rPr>
          <w:rFonts w:hint="eastAsia" w:hAnsi="黑体"/>
          <w:bCs/>
        </w:rPr>
        <w:t xml:space="preserve">3 </w:t>
      </w:r>
      <w:r>
        <w:rPr>
          <w:rFonts w:hint="eastAsia" w:asciiTheme="minorEastAsia" w:hAnsiTheme="minorEastAsia" w:eastAsiaTheme="minorEastAsia" w:cstheme="minorEastAsia"/>
          <w:bCs/>
        </w:rPr>
        <w:t>品种</w:t>
      </w:r>
      <w:r>
        <w:rPr>
          <w:rFonts w:hint="eastAsia" w:asciiTheme="minorEastAsia" w:hAnsiTheme="minorEastAsia" w:eastAsiaTheme="minorEastAsia" w:cstheme="minorEastAsia"/>
          <w:bCs/>
          <w:lang w:eastAsia="zh-CN"/>
        </w:rPr>
        <w:t>选择</w:t>
      </w:r>
    </w:p>
    <w:p>
      <w:pPr>
        <w:pStyle w:val="21"/>
        <w:rPr>
          <w:rFonts w:hint="eastAsia" w:ascii="宋体" w:hAnsi="宋体" w:eastAsia="宋体"/>
          <w:lang w:val="en-US" w:eastAsia="zh-CN"/>
        </w:rPr>
      </w:pPr>
    </w:p>
    <w:p>
      <w:pPr>
        <w:pStyle w:val="21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选用广东丝苗米产业联盟认定推广的广东丝苗米系列优质品种（组合），种子质量应符合GB 4044.1的规定，并达二级分级标准以上。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 xml:space="preserve">4 术语与定义 </w:t>
      </w:r>
    </w:p>
    <w:p>
      <w:pPr>
        <w:pStyle w:val="21"/>
        <w:rPr>
          <w:rFonts w:hint="eastAsia" w:ascii="宋体" w:hAnsi="宋体" w:eastAsia="宋体"/>
          <w:lang w:val="en-US" w:eastAsia="zh-CN"/>
        </w:rPr>
      </w:pPr>
    </w:p>
    <w:p>
      <w:pPr>
        <w:pStyle w:val="21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下列术语与定义适用于本文件。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hAnsi="黑体"/>
          <w:bCs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hAnsi="黑体"/>
          <w:bCs/>
          <w:lang w:val="en-US" w:eastAsia="zh-CN"/>
        </w:rPr>
        <w:t>4</w:t>
      </w:r>
      <w:r>
        <w:rPr>
          <w:rFonts w:hint="eastAsia" w:hAnsi="黑体"/>
          <w:bCs/>
        </w:rPr>
        <w:t xml:space="preserve">.1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播种期  Rice sowing date 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是指根据当地气候条件、耕作制度、品种（组合）特性等情况确定的水稻播种时间。</w:t>
      </w:r>
    </w:p>
    <w:p>
      <w:pPr>
        <w:pStyle w:val="21"/>
        <w:rPr>
          <w:rFonts w:hint="eastAsi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黑体" w:eastAsia="黑体"/>
          <w:bCs/>
          <w:lang w:val="en-US" w:eastAsia="zh-CN"/>
        </w:rPr>
        <w:t>4</w:t>
      </w:r>
      <w:r>
        <w:rPr>
          <w:rFonts w:hint="eastAsia" w:ascii="黑体" w:hAnsi="黑体" w:eastAsia="黑体"/>
          <w:bCs/>
        </w:rPr>
        <w:t xml:space="preserve">.2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秧田期  Rice seedling stage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Times New Roman"/>
          <w:sz w:val="21"/>
          <w:lang w:val="en-US" w:eastAsia="zh-CN" w:bidi="ar-SA"/>
        </w:rPr>
      </w:pPr>
      <w:r>
        <w:rPr>
          <w:rFonts w:hint="eastAsia" w:ascii="宋体" w:hAnsi="宋体" w:eastAsia="宋体" w:cs="Times New Roman"/>
          <w:sz w:val="21"/>
          <w:lang w:val="en-US" w:eastAsia="zh-CN" w:bidi="ar-SA"/>
        </w:rPr>
        <w:t>是指水稻从播种到移植的时期。</w:t>
      </w:r>
    </w:p>
    <w:p>
      <w:pPr>
        <w:pStyle w:val="21"/>
        <w:ind w:firstLine="0" w:firstLineChars="0"/>
        <w:rPr>
          <w:rFonts w:hint="eastAsi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黑体" w:eastAsia="黑体"/>
          <w:bCs/>
          <w:lang w:val="en-US" w:eastAsia="zh-CN"/>
        </w:rPr>
        <w:t>4</w:t>
      </w:r>
      <w:r>
        <w:rPr>
          <w:rFonts w:hint="eastAsia" w:ascii="黑体" w:hAnsi="黑体" w:eastAsia="黑体"/>
          <w:bCs/>
        </w:rPr>
        <w:t xml:space="preserve">.3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 xml:space="preserve">分蘖期   Rice tillering stage </w:t>
      </w:r>
    </w:p>
    <w:p>
      <w:pPr>
        <w:pStyle w:val="21"/>
        <w:ind w:firstLine="420" w:firstLineChars="200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21"/>
        <w:ind w:firstLine="420" w:firstLineChars="200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是指水稻从移植到幼穗分化的这段时期。</w:t>
      </w:r>
    </w:p>
    <w:p>
      <w:pPr>
        <w:pStyle w:val="21"/>
        <w:ind w:firstLine="420" w:firstLineChars="200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黑体" w:eastAsia="黑体"/>
          <w:bCs/>
          <w:lang w:val="en-US" w:eastAsia="zh-CN"/>
        </w:rPr>
        <w:t>4</w:t>
      </w:r>
      <w:r>
        <w:rPr>
          <w:rFonts w:hint="eastAsia" w:ascii="黑体" w:hAnsi="黑体" w:eastAsia="黑体"/>
          <w:bCs/>
        </w:rPr>
        <w:t xml:space="preserve">.4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拔节期  Rice jointing stage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是指水稻从拔节到抽穗前的这段时间。</w:t>
      </w:r>
    </w:p>
    <w:p>
      <w:pPr>
        <w:pStyle w:val="21"/>
        <w:ind w:firstLine="0" w:firstLineChars="0"/>
        <w:rPr>
          <w:rFonts w:hint="eastAsi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黑体" w:eastAsia="黑体"/>
          <w:bCs/>
          <w:lang w:val="en-US" w:eastAsia="zh-CN"/>
        </w:rPr>
        <w:t>4</w:t>
      </w:r>
      <w:r>
        <w:rPr>
          <w:rFonts w:hint="eastAsia" w:ascii="黑体" w:hAnsi="黑体" w:eastAsia="黑体"/>
          <w:bCs/>
        </w:rPr>
        <w:t xml:space="preserve">.5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幼穗分化期  Young panicle differentiation stage of rice 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是指水稻生长营养生长和生殖生长并进的这段时期。</w:t>
      </w:r>
    </w:p>
    <w:p>
      <w:pPr>
        <w:pStyle w:val="21"/>
        <w:ind w:firstLine="0" w:firstLineChars="0"/>
        <w:rPr>
          <w:rFonts w:hint="eastAsi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黑体" w:eastAsia="黑体"/>
          <w:bCs/>
          <w:lang w:val="en-US" w:eastAsia="zh-CN"/>
        </w:rPr>
        <w:t>4</w:t>
      </w:r>
      <w:r>
        <w:rPr>
          <w:rFonts w:hint="eastAsia" w:ascii="黑体" w:hAnsi="黑体" w:eastAsia="黑体"/>
          <w:bCs/>
        </w:rPr>
        <w:t xml:space="preserve">.6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孕穗期  Booting stage of rice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是指水稻穗分化至抽穗前的时期。</w:t>
      </w:r>
    </w:p>
    <w:p>
      <w:pPr>
        <w:pStyle w:val="21"/>
        <w:ind w:firstLine="0" w:firstLineChars="0"/>
        <w:rPr>
          <w:rFonts w:hint="eastAsi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黑体" w:eastAsia="黑体"/>
          <w:bCs/>
          <w:lang w:val="en-US" w:eastAsia="zh-CN"/>
        </w:rPr>
        <w:t>4</w:t>
      </w:r>
      <w:r>
        <w:rPr>
          <w:rFonts w:hint="eastAsia" w:hAnsi="黑体"/>
          <w:bCs/>
          <w:lang w:val="en-US" w:eastAsia="zh-CN"/>
        </w:rPr>
        <w:t>.</w:t>
      </w:r>
      <w:r>
        <w:rPr>
          <w:rFonts w:hint="eastAsia" w:ascii="黑体" w:hAnsi="黑体" w:eastAsia="黑体"/>
          <w:bCs/>
        </w:rPr>
        <w:t xml:space="preserve">7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抽穗扬花期  Heading and flowering stage of rice</w:t>
      </w:r>
    </w:p>
    <w:p>
      <w:pPr>
        <w:pStyle w:val="21"/>
        <w:ind w:firstLine="420" w:firstLineChars="200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21"/>
        <w:ind w:firstLine="420" w:firstLineChars="200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是指水稻开花授粉后到齐穗期的时期。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4.8  灌浆期  Rice filling stage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是指水稻从扬花结束颖壳闭合到籽粒成熟的这段时间。</w:t>
      </w:r>
    </w:p>
    <w:p>
      <w:pPr>
        <w:pStyle w:val="21"/>
        <w:ind w:left="0" w:leftChars="0" w:firstLine="0" w:firstLineChars="0"/>
        <w:rPr>
          <w:rFonts w:hint="default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 栽培技术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="黑体" w:hAnsi="黑体" w:eastAsia="黑体" w:cs="Times New Roman"/>
          <w:bCs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bCs/>
          <w:sz w:val="21"/>
          <w:szCs w:val="21"/>
          <w:lang w:val="en-US" w:eastAsia="zh-CN" w:bidi="ar-SA"/>
        </w:rPr>
        <w:t>5.1 培育壮秧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5.1.1播种期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根据梅州本地区的气候特点，早稻于3月上旬左右播种，3月下旬插秧；晚稻于7上旬播种，7月中下旬插秧。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5.1.2 浸种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在浸种前1d～2d左右，选择晴好天气晒种3h～4h，中间翻动1-2次。用清水浸种8h～12h，剔除杂质及空秕粒，期间换水2～3次。</w:t>
      </w:r>
    </w:p>
    <w:p>
      <w:pPr>
        <w:pStyle w:val="21"/>
        <w:rPr>
          <w:rFonts w:hint="eastAsia" w:asciiTheme="minorEastAsia" w:hAnsiTheme="minorEastAsia" w:eastAsiaTheme="minorEastAsia" w:cstheme="minorEastAsia"/>
          <w:bCs/>
          <w:sz w:val="21"/>
          <w:lang w:val="en-US" w:eastAsia="zh-CN" w:bidi="ar-S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5.1.3 催芽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早稻播种时气温低，必须进行加温保温催芽。先将谷种在50℃～55℃温水中预热5～10min，再起水沥干，上堆密封保温，保持谷堆温度35℃～38℃，15h～18小时后开始破胸露白，谷种破胸后，翻堆散热，并淋适量温水，保持谷堆温度30℃～35℃，3h～5h后达到抛秧和机插秧播种预期要求，催芽即结束；晚稻播种时气温高，吸足水分的谷种放置室内1～2d便可自然发芽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5.2 育秧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5.2.1选好秧田，准备秧盘</w:t>
      </w:r>
    </w:p>
    <w:p>
      <w:pPr>
        <w:pStyle w:val="21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21"/>
        <w:rPr>
          <w:rFonts w:hint="eastAsia" w:asciiTheme="minorEastAsia" w:hAnsiTheme="minorEastAsia" w:eastAsiaTheme="minorEastAsia" w:cstheme="minorEastAsia"/>
          <w:bCs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选择背风向阳，地力较肥沃，排灌方便，无杂草种子，运秧方便的水稻田作秧田。秧盘数量根据计划抛植科数及每盘穴数而定，目前普遍采用434穴的秧盘，每667</w:t>
      </w:r>
      <w:r>
        <w:rPr>
          <w:rFonts w:hint="eastAsia" w:ascii="方正仿宋_GBK" w:hAnsi="方正仿宋_GBK" w:eastAsia="方正仿宋_GBK" w:cs="方正仿宋_GBK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大田需用秧盘50～55片。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="黑体" w:hAnsi="宋体" w:eastAsia="黑体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="黑体" w:hAnsi="宋体" w:eastAsia="黑体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5.2.2 起好秧厢，摆齐秧盘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秧田翻耕平整后，播种前1d起好秧厢，一般厢宽 1-2m，以纵放3片秧盘的宽度为宜，厢间距离 0.3～0.4m，厢沟深7～10cm。秧厢表层精细整平后，每㎥施复合肥 10～12g。摆秧盘时，秧盘与秧盘要靠紧，秧盘底面要压入苗床表土，防止悬空或有空隙。</w:t>
      </w:r>
    </w:p>
    <w:p>
      <w:pPr>
        <w:pStyle w:val="21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5.2.3 稻田泥浆营养土配制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将秧盘先摆好在秧厢上，在秧厢的工作沟里灌入少量的水，以每667</w:t>
      </w:r>
      <w:r>
        <w:rPr>
          <w:rFonts w:hint="eastAsia" w:ascii="方正仿宋_GBK" w:hAnsi="方正仿宋_GBK" w:eastAsia="方正仿宋_GBK" w:cs="方正仿宋_GBK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大田秧地标准，加入0.4～0.5KG复合肥，或4～5KG生物有机肥，用脚踩溶，用铁耙等工具来回搅溶，除去石砾、草茎等杂质，尽可能达到稀稠适中，“净”、“烂”、“平”。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5.2.4 播种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以手工播种为主，用勺子将秧盘填满泥浆，待泥浆稍沉实后分厢定量，做到细播、匀播、分次播，力争播种均匀，不漏播、不堆积重复。播种后用塑料软扫把将种子压入泥，将盘面的泥浆轻轻清扫干净，以不露谷种为宜，达到孔与孔相离，防止秧苗串根。早稻搭小拱架盖薄膜防寒，晚稻盖遮阳网防雨、防晒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5.3秧田管理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5.3.1温度管理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早稻播种至出苗前，膜内温度控制在35℃以下，温度过高应揭膜通风降温。一叶期温度控制在30℃以下，二叶期开始，要看天气通风炼苗，将膜内温度控制在25℃左右，直至全部揭膜。连作晚稻选用的遮阳网以遮光率70%为宜，一叶一心期前封闭覆盖，二叶期开始两头通风，以后视天气情况，逐步全部揭开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5.3.2水分管理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整个秧苗期，盘土以湿润为主，保持秧沟半沟水。盘土干白时，淋水保持湿润，灌水不能淹没秧盘，以免秧苗串根。移栽前 2d～3d要排干沟内的水，不再灌水或淋水，以利于起秧和抛插秧。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5.3.3施肥</w:t>
      </w:r>
    </w:p>
    <w:p>
      <w:pPr>
        <w:pStyle w:val="21"/>
        <w:rPr>
          <w:rFonts w:hint="eastAsia"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在秧苗二叶一心期，如果发现叶色较黄时，用腐熟淡粪水或加0.2～0.3%复合肥溶液叶面泼施，然后洒清水洗苗，防止烧苗。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5.3.4病虫害防治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早稻育秧要注意长时间低温阴雨寡照造成的烂秧，一般在秧针期用噁霉灵800倍液加金雷400倍液喷施防治。移栽前3d～4d喷好“送嫁药”，预防三化螟、稻瘟病、黑条矮缩病等。可选用50%甲基硫菌灵可湿性粉剂800倍液或20%三环唑可湿性粉剂600～700倍液喷施防治。有杂草时以人工除草为主。</w:t>
      </w:r>
    </w:p>
    <w:p>
      <w:pPr>
        <w:pStyle w:val="21"/>
        <w:rPr>
          <w:rFonts w:hint="eastAsia"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5.4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移栽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5.4.1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施足基肥，精细平整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采用机械旋耕整地方法，要求整田质量要达到平、烂、净，同一田块要达到高低不过寸，薄水不露泥，田泥软硬适宜，移栽时田间表层有泥浆。在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打田时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按每667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施入腐熟土杂肥1000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或优质生物有机肥50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底肥均匀撒施到全田，再利用旋耕机通过旋耕的方式将肥料搅拌到土壤耕层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再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结合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施一次面层肥，每66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7㎥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平方米施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用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碳铵和钙镁磷肥各25公斤。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5.4.2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合理密植，提高移栽质量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移栽密度具体根据稻田地力、施肥管理水平等因素综合确定。一般每667平方米（亩）田块为1.6～1.8万科，中等肥力田块为 1.8～2万科，低肥力田块为 2～2.3万科。选择晴朗无风或微风天气移栽。移栽时田面要保持湿润或水层 2 厘米以下。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田间管理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6.1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水分管理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前期泥皮水抛插秧，薄水促分蘖；够苗及时晒（露）田，多露轻晒，以控制无效分蘖的产生，将每667</w:t>
      </w:r>
      <w:r>
        <w:rPr>
          <w:rFonts w:hint="eastAsia" w:ascii="方正仿宋_GBK" w:hAnsi="方正仿宋_GBK" w:eastAsia="方正仿宋_GBK" w:cs="方正仿宋_GBK"/>
          <w:bCs/>
          <w:lang w:val="en-US" w:eastAsia="zh-Hans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苗峰控制在30万以内。幼穗分化初期回浅水，施肥后保持浅湿交替，以湿为主；后期抽穗扬花灌回浅水，以后保持湿润，收获前7天左右断水，切忌后期过早断水。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6.2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施肥管理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6.2.1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施肥原则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 xml:space="preserve">本田期施肥要求以有机肥为主，有机肥与无机肥相结合，控制氮肥，增施磷钾肥。按每667 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产 400～500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稻谷的目标产量，一般要求施纯N 8～10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、P205 4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、K20 8～10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，N: P205: K20的比例一般为 1:（0.3～0.5）:（0.8～1）。其中有机肥占总施肥量的30%以上，全部作基肥全层施用。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6.2.2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施肥方法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早施重施分蘖肥：栽后5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～6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施回青肥，每667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施尿素5～8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；栽后10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～12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施分蘖肥，每667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平方米（亩）施复合肥8～10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，加氯化钾5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。巧施穗肥：进入幼穗分化1～2期，每667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施复合肥3～5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，加氯化钾8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；进入幼穗分化4～5期，视禾苗长势长相，每667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施复合肥3～5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或不施。补施粒肥：齐穗期和灌浆期分别喷施磷酸二氢钾各一次，每次每667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㎥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用磷酸二氢钾150克兑水50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KG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，叶色偏黄的禾苗加100～200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g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尿素喷施。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 xml:space="preserve">6.3 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病虫草螺害防治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kern w:val="0"/>
          <w:sz w:val="21"/>
          <w:szCs w:val="20"/>
          <w:lang w:val="en-US" w:eastAsia="zh-Hans" w:bidi="ar-SA"/>
        </w:rPr>
      </w:pP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kern w:val="0"/>
          <w:sz w:val="21"/>
          <w:szCs w:val="20"/>
          <w:lang w:val="en-US" w:eastAsia="zh-Hans" w:bidi="ar-SA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1"/>
          <w:szCs w:val="20"/>
          <w:lang w:val="en-US" w:eastAsia="zh-Hans" w:bidi="ar-SA"/>
        </w:rPr>
        <w:t>病虫草螺害防治</w:t>
      </w:r>
      <w:r>
        <w:rPr>
          <w:rFonts w:hint="eastAsia" w:asciiTheme="minorEastAsia" w:hAnsiTheme="minorEastAsia" w:eastAsiaTheme="minorEastAsia" w:cstheme="minorEastAsia"/>
          <w:bCs/>
          <w:kern w:val="0"/>
          <w:sz w:val="21"/>
          <w:szCs w:val="20"/>
          <w:lang w:val="en-US" w:eastAsia="zh-CN" w:bidi="ar-SA"/>
        </w:rPr>
        <w:t>坚持“预防为主、综合防治”的原则，</w:t>
      </w:r>
      <w:r>
        <w:rPr>
          <w:rFonts w:hint="eastAsia" w:asciiTheme="minorEastAsia" w:hAnsiTheme="minorEastAsia" w:eastAsiaTheme="minorEastAsia" w:cstheme="minorEastAsia"/>
          <w:bCs/>
          <w:kern w:val="0"/>
          <w:sz w:val="21"/>
          <w:szCs w:val="20"/>
          <w:lang w:val="en-US" w:eastAsia="zh-Hans" w:bidi="ar-SA"/>
        </w:rPr>
        <w:t>农药使用应符合GB/ 8321的规定。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kern w:val="0"/>
          <w:sz w:val="21"/>
          <w:szCs w:val="20"/>
          <w:lang w:val="en-US" w:eastAsia="zh-CN" w:bidi="ar-SA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6.3.1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农业防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治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选用抗（耐）病虫优质品种，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品种定期轮换，保持品种抗性；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合理密植，多施农家肥，防止偏施氮肥，浅水勤灌，适时露晒田，提高水稻抗逆性，减轻病害发生。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采用合理耕作制度、种养结合、机械或人工除草等农艺措施，减少有害生物的发生。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6.3.2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生物防治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田埂种植芝麻、大豆等显花植物，采用鸭稻共育治虫除草，改善田间生态环境，保护利用自然天敌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蜘蛛、寄生蜂等。使用BT防治水稻螟虫，春雷霉素防治稻瘟病，腊质芽孢杆菌和井冈霉素防治纹枯病；使用茶枯杀灭福寿螺等。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6.3.3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物理防治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田间安装太阳能频振式杀虫灯诱杀成虫，减少虫原传播基数。进水口用滤网阻隔福寿螺进入稻田。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6.3.4化学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防治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" w:firstLineChars="200"/>
        <w:jc w:val="both"/>
        <w:rPr>
          <w:rFonts w:hint="eastAsia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适时防治，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合理选用高效低毒农药进行防治。药剂选用以悬浮剂、水分散粒剂、可湿性粉剂、水剂等环保剂型为主，尽量少选用乳油等不环保的剂型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（常见主要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病虫草螺害防治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详见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附录A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、B）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7 收获和贮存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default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7.1 适时收获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当多数稻穗变黄及95%以上稻梗籽粒转黄或90%以上灿稻籽粒转黄时即可收获，要避免出现割青情况。早稻在6月下旬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开始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收获，晚稻在10月下旬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开始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收获。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7.2  安全贮存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水稻收割前仓库要消毒、除虫和灭鼠，所用药剂应符合国家有关规定，并按说明使用，严禁超量用药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稻谷收割要及时烘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（晒）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干，在避光、低温、干燥的库内贮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存，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严禁与有毒，有害，有腐蚀的物质一起混存。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>8  档案管理</w:t>
      </w: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 xml:space="preserve"> 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Hans"/>
        </w:rPr>
        <w:t>参照LY/T 2289-2018执行</w:t>
      </w: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 xml:space="preserve">。 </w:t>
      </w: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lang w:val="en-US" w:eastAsia="zh-CN"/>
        </w:rPr>
        <w:t xml:space="preserve"> </w:t>
      </w:r>
    </w:p>
    <w:p>
      <w:pPr>
        <w:pStyle w:val="21"/>
        <w:rPr>
          <w:rFonts w:hint="eastAsia"/>
          <w:lang w:val="en-US" w:eastAsia="zh-Hans"/>
        </w:rPr>
      </w:pPr>
    </w:p>
    <w:p>
      <w:pPr>
        <w:pStyle w:val="21"/>
        <w:rPr>
          <w:rFonts w:hint="eastAsia"/>
          <w:lang w:val="en-US" w:eastAsia="zh-Hans"/>
        </w:rPr>
      </w:pPr>
    </w:p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Cs/>
          <w:lang w:val="en-US" w:eastAsia="zh-CN"/>
        </w:rPr>
      </w:pPr>
    </w:p>
    <w:p>
      <w:pPr>
        <w:pStyle w:val="21"/>
        <w:rPr>
          <w:rFonts w:hint="eastAsia"/>
          <w:lang w:val="en-US" w:eastAsia="zh-CN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ind w:firstLine="4200" w:firstLineChars="2000"/>
        <w:jc w:val="both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Hans"/>
        </w:rPr>
        <w:t>附 录 A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Hans"/>
        </w:rPr>
        <w:t>（资料性附录）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CN"/>
        </w:rPr>
        <w:t>水稻</w:t>
      </w:r>
      <w:r>
        <w:rPr>
          <w:rFonts w:hint="eastAsia" w:hAnsi="黑体" w:cs="Times New Roman"/>
          <w:bCs/>
          <w:lang w:val="en-US" w:eastAsia="zh-Hans"/>
        </w:rPr>
        <w:t>常见病害</w:t>
      </w:r>
      <w:r>
        <w:rPr>
          <w:rFonts w:hint="eastAsia" w:hAnsi="黑体" w:cs="Times New Roman"/>
          <w:bCs/>
          <w:lang w:val="en-US" w:eastAsia="zh-CN"/>
        </w:rPr>
        <w:t>及</w:t>
      </w:r>
      <w:r>
        <w:rPr>
          <w:rFonts w:hint="eastAsia" w:hAnsi="黑体" w:cs="Times New Roman"/>
          <w:bCs/>
          <w:lang w:val="en-US" w:eastAsia="zh-Hans"/>
        </w:rPr>
        <w:t>防治方法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77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病害名称</w:t>
            </w: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ind w:firstLine="3150" w:firstLineChars="150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防治方法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稻瘟病</w:t>
            </w: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掌握秧苗期和破口抽穗期关键时期，适时用药。当稻田开始发现稻瘟病发病中心时，用2%春雷霉素500倍液喷施</w:t>
            </w:r>
            <w:r>
              <w:rPr>
                <w:rFonts w:hint="eastAsia" w:hAnsi="黑体" w:cs="Times New Roman"/>
                <w:bCs/>
                <w:lang w:val="en-US" w:eastAsia="zh-CN"/>
              </w:rPr>
              <w:t>，或在发病初期每亩用20%三环唑可湿性粉剂75-100g，或用笨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甲</w:t>
            </w:r>
            <w:r>
              <w:rPr>
                <w:rFonts w:hint="eastAsia" w:hAnsi="黑体" w:cs="Times New Roman"/>
                <w:bCs/>
                <w:lang w:val="en-US" w:eastAsia="zh-CN"/>
              </w:rPr>
              <w:t>嘧菌酯30-50ml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兑水50～60</w:t>
            </w:r>
            <w:r>
              <w:rPr>
                <w:rFonts w:hint="eastAsia" w:hAnsi="黑体" w:cs="Times New Roman"/>
                <w:bCs/>
                <w:lang w:val="en-US" w:eastAsia="zh-CN"/>
              </w:rPr>
              <w:t>kg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喷</w:t>
            </w:r>
            <w:r>
              <w:rPr>
                <w:rFonts w:hint="eastAsia" w:hAnsi="黑体" w:cs="Times New Roman"/>
                <w:bCs/>
                <w:lang w:val="en-US" w:eastAsia="zh-CN"/>
              </w:rPr>
              <w:t>施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。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纹枯病</w:t>
            </w: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以分蘖末期至抽穗期、孕穗期至始穗期为防治适期，在分蘖期丛发病率在15～20%、孕穗期丛发病率在30%以上时，</w:t>
            </w:r>
            <w:r>
              <w:rPr>
                <w:rFonts w:hint="eastAsia" w:hAnsi="黑体" w:cs="Times New Roman"/>
                <w:bCs/>
                <w:lang w:val="en-US" w:eastAsia="zh-CN"/>
              </w:rPr>
              <w:t>每667平方米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用</w:t>
            </w:r>
            <w:r>
              <w:rPr>
                <w:rFonts w:hint="eastAsia" w:hAnsi="黑体" w:cs="Times New Roman"/>
                <w:bCs/>
                <w:lang w:val="en-US" w:eastAsia="zh-CN"/>
              </w:rPr>
              <w:t>10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%井冈霉素</w:t>
            </w:r>
            <w:r>
              <w:rPr>
                <w:rFonts w:hint="eastAsia" w:hAnsi="黑体" w:cs="Times New Roman"/>
                <w:bCs/>
                <w:lang w:val="en-US" w:eastAsia="zh-CN"/>
              </w:rPr>
              <w:t>500g或每亩用30%笨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甲</w:t>
            </w:r>
            <w:r>
              <w:rPr>
                <w:rFonts w:hint="eastAsia" w:hAnsi="黑体" w:cs="Times New Roman"/>
                <w:bCs/>
                <w:lang w:val="en-US" w:eastAsia="zh-CN"/>
              </w:rPr>
              <w:t>丙环唑15-20g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兑水50～60</w:t>
            </w:r>
            <w:r>
              <w:rPr>
                <w:rFonts w:hint="eastAsia" w:hAnsi="黑体" w:cs="Times New Roman"/>
                <w:bCs/>
                <w:lang w:val="en-US" w:eastAsia="zh-CN"/>
              </w:rPr>
              <w:t>kg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喷</w:t>
            </w:r>
            <w:r>
              <w:rPr>
                <w:rFonts w:hint="eastAsia" w:hAnsi="黑体" w:cs="Times New Roman"/>
                <w:bCs/>
                <w:lang w:val="en-US" w:eastAsia="zh-CN"/>
              </w:rPr>
              <w:t>施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。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南方黑条矮缩病</w:t>
            </w: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default" w:hAnsi="黑体" w:cs="Times New Roman"/>
                <w:bCs/>
                <w:lang w:val="en-US" w:eastAsia="zh-CN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以治虫防病为主，清除田基沟边杂草地，切断毒链。抓好晚造秧田及本田稻飞虱防治为主，以秧针期和送嫁药为主，注意防治前作麦田、田边杂草。</w:t>
            </w:r>
            <w:r>
              <w:rPr>
                <w:rFonts w:hint="eastAsia" w:hAnsi="黑体" w:cs="Times New Roman"/>
                <w:bCs/>
                <w:lang w:val="en-US" w:eastAsia="zh-CN"/>
              </w:rPr>
              <w:t>可用10%吡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虫</w:t>
            </w:r>
            <w:r>
              <w:rPr>
                <w:rFonts w:hint="eastAsia" w:hAnsi="黑体" w:cs="Times New Roman"/>
                <w:bCs/>
                <w:lang w:val="en-US" w:eastAsia="zh-CN"/>
              </w:rPr>
              <w:t>啉或25%噻嗪酮可湿性粉剂300-500倍液喷施。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白叶枯病、细菌性条斑病</w:t>
            </w: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防治关键是早发现，早防治。发现病株或发病中心，大风暴雨后的发病田和邻近稻田，受淹和生长嫩绿稻田是防治重点。</w:t>
            </w:r>
            <w:r>
              <w:rPr>
                <w:rFonts w:hint="eastAsia" w:hAnsi="黑体" w:cs="Times New Roman"/>
                <w:bCs/>
                <w:lang w:val="en-US" w:eastAsia="zh-CN"/>
              </w:rPr>
              <w:t>每667平方米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用22%中生菌素80</w:t>
            </w:r>
            <w:r>
              <w:rPr>
                <w:rFonts w:hint="eastAsia" w:hAnsi="黑体" w:cs="Times New Roman"/>
                <w:bCs/>
                <w:lang w:val="en-US" w:eastAsia="zh-CN"/>
              </w:rPr>
              <w:t>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或氯溴异氰尿酸40</w:t>
            </w:r>
            <w:r>
              <w:rPr>
                <w:rFonts w:hint="eastAsia" w:hAnsi="黑体" w:cs="Times New Roman"/>
                <w:bCs/>
                <w:lang w:val="en-US" w:eastAsia="zh-CN"/>
              </w:rPr>
              <w:t>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兑水50～60</w:t>
            </w:r>
            <w:r>
              <w:rPr>
                <w:rFonts w:hint="eastAsia" w:hAnsi="黑体" w:cs="Times New Roman"/>
                <w:bCs/>
                <w:lang w:val="en-US" w:eastAsia="zh-CN"/>
              </w:rPr>
              <w:t>kg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喷雾。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稻曲病</w:t>
            </w: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孕穗后期、破口期为防治适期，最迟不能迟于齐穗期施药，一般可结合防治纹枯病同时进行防治。</w:t>
            </w:r>
            <w:r>
              <w:rPr>
                <w:rFonts w:hint="eastAsia" w:hAnsi="黑体" w:cs="Times New Roman"/>
                <w:bCs/>
                <w:lang w:val="en-US" w:eastAsia="zh-CN"/>
              </w:rPr>
              <w:t>每667平方米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用25%啶氧菌15</w:t>
            </w:r>
            <w:r>
              <w:rPr>
                <w:rFonts w:hint="eastAsia" w:hAnsi="黑体" w:cs="Times New Roman"/>
                <w:bCs/>
                <w:lang w:val="en-US" w:eastAsia="zh-CN"/>
              </w:rPr>
              <w:t>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、25%丙环唑24～30</w:t>
            </w:r>
            <w:r>
              <w:rPr>
                <w:rFonts w:hint="eastAsia" w:hAnsi="黑体" w:cs="Times New Roman"/>
                <w:bCs/>
                <w:lang w:val="en-US" w:eastAsia="zh-CN"/>
              </w:rPr>
              <w:t>ml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喷</w:t>
            </w:r>
            <w:r>
              <w:rPr>
                <w:rFonts w:hint="eastAsia" w:hAnsi="黑体" w:cs="Times New Roman"/>
                <w:bCs/>
                <w:lang w:val="en-US" w:eastAsia="zh-CN"/>
              </w:rPr>
              <w:t>施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CN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草害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CN"/>
              </w:rPr>
            </w:pPr>
          </w:p>
        </w:tc>
        <w:tc>
          <w:tcPr>
            <w:tcW w:w="7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对杂草的防治主要采用农业措施和人工除草相结合的方法，不用化学除草剂，以保证水稻品质和不影响环境。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待稗草等生长出后，采用人工拔草方式除草。</w:t>
            </w:r>
          </w:p>
        </w:tc>
      </w:tr>
    </w:tbl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Hans"/>
        </w:rPr>
        <w:t>附 录 B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Hans"/>
        </w:rPr>
        <w:t>（资料性附录）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jc w:val="center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CN"/>
        </w:rPr>
        <w:t>水稻</w:t>
      </w:r>
      <w:r>
        <w:rPr>
          <w:rFonts w:hint="eastAsia" w:hAnsi="黑体" w:cs="Times New Roman"/>
          <w:bCs/>
          <w:lang w:val="en-US" w:eastAsia="zh-Hans"/>
        </w:rPr>
        <w:t>常见虫</w:t>
      </w:r>
      <w:r>
        <w:rPr>
          <w:rFonts w:hint="eastAsia" w:hAnsi="黑体" w:cs="Times New Roman"/>
          <w:bCs/>
          <w:lang w:val="en-US" w:eastAsia="zh-CN"/>
        </w:rPr>
        <w:t>及</w:t>
      </w:r>
      <w:r>
        <w:rPr>
          <w:rFonts w:hint="eastAsia" w:hAnsi="黑体" w:cs="Times New Roman"/>
          <w:bCs/>
          <w:lang w:val="en-US" w:eastAsia="zh-Hans"/>
        </w:rPr>
        <w:t>害防治方法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6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害虫名称</w:t>
            </w:r>
          </w:p>
        </w:tc>
        <w:tc>
          <w:tcPr>
            <w:tcW w:w="6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ind w:firstLine="2940" w:firstLineChars="140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防治方法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钻蛀性螟虫（二化螟、三化螟等）</w:t>
            </w:r>
          </w:p>
        </w:tc>
        <w:tc>
          <w:tcPr>
            <w:tcW w:w="6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一般以孕穗期和破口抽穗为防治适期，结合本地虫情测报，掌握在蚁螟盛孵期用药，若虫口密度大，盛发期长，则用药两次。</w:t>
            </w:r>
            <w:r>
              <w:rPr>
                <w:rFonts w:hint="eastAsia" w:hAnsi="黑体" w:cs="Times New Roman"/>
                <w:bCs/>
                <w:lang w:val="en-US" w:eastAsia="zh-CN"/>
              </w:rPr>
              <w:t>每667平方米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用20%氯虫苯甲酰胺10</w:t>
            </w:r>
            <w:r>
              <w:rPr>
                <w:rFonts w:hint="eastAsia" w:hAnsi="黑体" w:cs="Times New Roman"/>
                <w:bCs/>
                <w:lang w:val="en-US" w:eastAsia="zh-CN"/>
              </w:rPr>
              <w:t>ml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防治。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稻纵卷叶螟</w:t>
            </w:r>
          </w:p>
        </w:tc>
        <w:tc>
          <w:tcPr>
            <w:tcW w:w="6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当分蘖期百丛有效虫量超过40头，穗期超过20头，幼虫盛孵期或2、3龄幼虫前期，</w:t>
            </w:r>
            <w:r>
              <w:rPr>
                <w:rFonts w:hint="eastAsia" w:hAnsi="黑体" w:cs="Times New Roman"/>
                <w:bCs/>
                <w:lang w:val="en-US" w:eastAsia="zh-CN"/>
              </w:rPr>
              <w:t>每667平方米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用20%氯虫苯甲酰胺10</w:t>
            </w:r>
            <w:r>
              <w:rPr>
                <w:rFonts w:hint="eastAsia" w:hAnsi="黑体" w:cs="Times New Roman"/>
                <w:bCs/>
                <w:lang w:val="en-US" w:eastAsia="zh-CN"/>
              </w:rPr>
              <w:t>ml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，或用5.7%甲维盐防治。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稻飞虱</w:t>
            </w:r>
          </w:p>
        </w:tc>
        <w:tc>
          <w:tcPr>
            <w:tcW w:w="6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一般当百丛稻飞虱虫量达 1500～2000 头时，在低龄若虫盛发期</w:t>
            </w:r>
            <w:r>
              <w:rPr>
                <w:rFonts w:hint="eastAsia" w:hAnsi="黑体" w:cs="Times New Roman"/>
                <w:bCs/>
                <w:lang w:val="en-US" w:eastAsia="zh-CN"/>
              </w:rPr>
              <w:t>每667平方米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用20%吡蚜酮24</w:t>
            </w:r>
            <w:r>
              <w:rPr>
                <w:rFonts w:hint="eastAsia" w:hAnsi="黑体" w:cs="Times New Roman"/>
                <w:bCs/>
                <w:lang w:val="en-US" w:eastAsia="zh-CN"/>
              </w:rPr>
              <w:t>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或10%三氟笨嘧啶喷施。药剂轮流交替使用，以防产生抗药性。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CN"/>
              </w:rPr>
            </w:pPr>
            <w:r>
              <w:rPr>
                <w:rFonts w:hint="eastAsia" w:hAnsi="黑体" w:cs="Times New Roman"/>
                <w:bCs/>
                <w:lang w:val="en-US" w:eastAsia="zh-CN"/>
              </w:rPr>
              <w:t>螺害防治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  <w:tc>
          <w:tcPr>
            <w:tcW w:w="6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  <w:r>
              <w:rPr>
                <w:rFonts w:hint="eastAsia" w:hAnsi="黑体" w:cs="Times New Roman"/>
                <w:bCs/>
                <w:lang w:val="en-US" w:eastAsia="zh-Hans"/>
              </w:rPr>
              <w:t>抛秧前，结合施面层肥每667平方米施茶枯粉10～15</w:t>
            </w:r>
            <w:r>
              <w:rPr>
                <w:rFonts w:hint="eastAsia" w:hAnsi="黑体" w:cs="Times New Roman"/>
                <w:bCs/>
                <w:lang w:val="en-US" w:eastAsia="zh-CN"/>
              </w:rPr>
              <w:t>kg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毒杀福寿螺，抛后5～7</w:t>
            </w:r>
            <w:r>
              <w:rPr>
                <w:rFonts w:hint="eastAsia" w:hAnsi="黑体" w:cs="Times New Roman"/>
                <w:bCs/>
                <w:lang w:val="en-US" w:eastAsia="zh-CN"/>
              </w:rPr>
              <w:t>d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如果稻田福寿螺密度</w:t>
            </w:r>
            <w:r>
              <w:rPr>
                <w:rFonts w:hint="eastAsia" w:hAnsi="黑体" w:cs="Times New Roman"/>
                <w:bCs/>
                <w:lang w:val="en-US" w:eastAsia="zh-CN"/>
              </w:rPr>
              <w:t>大的田块，再用6%密达杀螺剂颗粒500-700g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施多一次，每次施后2～3</w:t>
            </w:r>
            <w:r>
              <w:rPr>
                <w:rFonts w:hint="eastAsia" w:hAnsi="黑体" w:cs="Times New Roman"/>
                <w:bCs/>
                <w:lang w:val="en-US" w:eastAsia="zh-CN"/>
              </w:rPr>
              <w:t>d</w:t>
            </w:r>
            <w:r>
              <w:rPr>
                <w:rFonts w:hint="eastAsia" w:hAnsi="黑体" w:cs="Times New Roman"/>
                <w:bCs/>
                <w:lang w:val="en-US" w:eastAsia="zh-Hans"/>
              </w:rPr>
              <w:t>都不要灌水和排水。</w:t>
            </w:r>
          </w:p>
          <w:p>
            <w:pPr>
              <w:pStyle w:val="4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textAlignment w:val="auto"/>
              <w:rPr>
                <w:rFonts w:hint="eastAsia" w:hAnsi="黑体" w:cs="Times New Roman"/>
                <w:bCs/>
                <w:lang w:val="en-US" w:eastAsia="zh-Hans"/>
              </w:rPr>
            </w:pPr>
          </w:p>
        </w:tc>
      </w:tr>
    </w:tbl>
    <w:p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hAnsi="黑体" w:cs="Times New Roman"/>
          <w:bCs/>
          <w:lang w:val="en-US" w:eastAsia="zh-Hans"/>
        </w:rPr>
      </w:pPr>
      <w:r>
        <w:rPr>
          <w:rFonts w:hint="eastAsia" w:hAnsi="黑体" w:cs="Times New Roman"/>
          <w:bCs/>
          <w:lang w:val="en-US" w:eastAsia="zh-Hans"/>
        </w:rPr>
        <w:t xml:space="preserve"> 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rPr>
          <w:rFonts w:hint="eastAsia" w:hAnsi="黑体" w:cs="Times New Roman"/>
          <w:bCs/>
          <w:lang w:val="en-US" w:eastAsia="zh-Hans"/>
        </w:rPr>
      </w:pPr>
    </w:p>
    <w:p>
      <w:pPr>
        <w:pStyle w:val="41"/>
        <w:numPr>
          <w:ilvl w:val="0"/>
          <w:numId w:val="0"/>
        </w:numPr>
        <w:spacing w:before="156" w:beforeLines="50" w:after="156" w:afterLines="50"/>
        <w:rPr>
          <w:rFonts w:hint="eastAsia"/>
          <w:lang w:val="en-US" w:eastAsia="zh-CN"/>
        </w:rPr>
      </w:pPr>
      <w:r>
        <w:rPr>
          <w:rFonts w:hint="eastAsia" w:hAnsi="黑体" w:cs="Times New Roman"/>
          <w:bCs/>
          <w:lang w:val="en-US" w:eastAsia="zh-CN"/>
        </w:rPr>
        <w:t xml:space="preserve">          </w:t>
      </w:r>
      <w:r>
        <w:rPr>
          <w:rFonts w:hint="eastAsia" w:hAnsi="黑体" w:cs="Times New Roman"/>
          <w:bCs/>
          <w:lang w:val="en-US" w:eastAsia="zh-Hans"/>
        </w:rPr>
        <w:t xml:space="preserve">      </w:t>
      </w:r>
    </w:p>
    <w:p>
      <w:pPr>
        <w:pStyle w:val="41"/>
        <w:numPr>
          <w:ilvl w:val="0"/>
          <w:numId w:val="0"/>
        </w:numPr>
        <w:spacing w:before="156" w:beforeLines="50" w:after="156" w:afterLines="50"/>
        <w:rPr>
          <w:rFonts w:hint="eastAsia" w:ascii="黑体" w:eastAsia="黑体"/>
          <w:szCs w:val="21"/>
        </w:rPr>
      </w:pPr>
    </w:p>
    <w:p>
      <w:pPr>
        <w:pStyle w:val="125"/>
        <w:rPr>
          <w:rFonts w:hint="eastAsia"/>
        </w:rPr>
      </w:pPr>
      <w:r>
        <w:t>_________________________________</w:t>
      </w:r>
    </w:p>
    <w:sectPr>
      <w:headerReference r:id="rId9" w:type="default"/>
      <w:footerReference r:id="rId10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0"/>
    </w:pPr>
    <w:r>
      <w:t>DB44/ 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YjZjMGE2MDgxZTVjOTFmZGJiMGUzMDVmZjNmNzcifQ=="/>
  </w:docVars>
  <w:rsids>
    <w:rsidRoot w:val="00035925"/>
    <w:rsid w:val="00000244"/>
    <w:rsid w:val="0000185F"/>
    <w:rsid w:val="000019C9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378A2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512B4"/>
    <w:rsid w:val="001620A5"/>
    <w:rsid w:val="00164E53"/>
    <w:rsid w:val="0016699D"/>
    <w:rsid w:val="00175159"/>
    <w:rsid w:val="00176208"/>
    <w:rsid w:val="00177C16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5CD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906"/>
    <w:rsid w:val="002E37EC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2727A"/>
    <w:rsid w:val="00431DEB"/>
    <w:rsid w:val="0043500A"/>
    <w:rsid w:val="00441C0C"/>
    <w:rsid w:val="00446B29"/>
    <w:rsid w:val="00453F9A"/>
    <w:rsid w:val="0046658C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C85"/>
    <w:rsid w:val="00632E56"/>
    <w:rsid w:val="00635CBA"/>
    <w:rsid w:val="0064027B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4D14"/>
    <w:rsid w:val="007B1625"/>
    <w:rsid w:val="007B706E"/>
    <w:rsid w:val="007B71EB"/>
    <w:rsid w:val="007C40FC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21628"/>
    <w:rsid w:val="00835DB3"/>
    <w:rsid w:val="0083617B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B1248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2642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3295"/>
    <w:rsid w:val="00A751C7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2914"/>
    <w:rsid w:val="00AE6D15"/>
    <w:rsid w:val="00AE714D"/>
    <w:rsid w:val="00B04182"/>
    <w:rsid w:val="00B07AE3"/>
    <w:rsid w:val="00B11430"/>
    <w:rsid w:val="00B143ED"/>
    <w:rsid w:val="00B353EB"/>
    <w:rsid w:val="00B42F34"/>
    <w:rsid w:val="00B439C4"/>
    <w:rsid w:val="00B4535E"/>
    <w:rsid w:val="00B52A8C"/>
    <w:rsid w:val="00B56AFD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0587"/>
    <w:rsid w:val="00C65BCC"/>
    <w:rsid w:val="00C66970"/>
    <w:rsid w:val="00C704EC"/>
    <w:rsid w:val="00C75C27"/>
    <w:rsid w:val="00C8026B"/>
    <w:rsid w:val="00C8691C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C7970"/>
    <w:rsid w:val="00DD5A29"/>
    <w:rsid w:val="00DD5D9D"/>
    <w:rsid w:val="00DE197D"/>
    <w:rsid w:val="00DE35CB"/>
    <w:rsid w:val="00DF21E9"/>
    <w:rsid w:val="00E00F14"/>
    <w:rsid w:val="00E06386"/>
    <w:rsid w:val="00E231A2"/>
    <w:rsid w:val="00E24EB4"/>
    <w:rsid w:val="00E320ED"/>
    <w:rsid w:val="00E33AFB"/>
    <w:rsid w:val="00E34218"/>
    <w:rsid w:val="00E46282"/>
    <w:rsid w:val="00E5216E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34B99"/>
    <w:rsid w:val="00F52DAB"/>
    <w:rsid w:val="00F543F0"/>
    <w:rsid w:val="00F57933"/>
    <w:rsid w:val="00F71100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D320D"/>
    <w:rsid w:val="00FE23DE"/>
    <w:rsid w:val="08167EB9"/>
    <w:rsid w:val="0EDC7803"/>
    <w:rsid w:val="21031D94"/>
    <w:rsid w:val="2D565BD0"/>
    <w:rsid w:val="33C91EE8"/>
    <w:rsid w:val="38731FFA"/>
    <w:rsid w:val="47B7000E"/>
    <w:rsid w:val="4C981977"/>
    <w:rsid w:val="4D4A0562"/>
    <w:rsid w:val="4FEC1A18"/>
    <w:rsid w:val="51183927"/>
    <w:rsid w:val="53B23B03"/>
    <w:rsid w:val="55A64028"/>
    <w:rsid w:val="5BD70975"/>
    <w:rsid w:val="5BE507AA"/>
    <w:rsid w:val="5BFFCE9F"/>
    <w:rsid w:val="5FF79ED6"/>
    <w:rsid w:val="63EB3CDE"/>
    <w:rsid w:val="65DFB80C"/>
    <w:rsid w:val="7FB42DF0"/>
    <w:rsid w:val="8DFFE4B0"/>
    <w:rsid w:val="BFED0F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semiHidden/>
    <w:qFormat/>
    <w:uiPriority w:val="0"/>
    <w:pPr>
      <w:snapToGrid w:val="0"/>
      <w:jc w:val="left"/>
    </w:pPr>
  </w:style>
  <w:style w:type="paragraph" w:styleId="15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basedOn w:val="31"/>
    <w:semiHidden/>
    <w:qFormat/>
    <w:uiPriority w:val="0"/>
    <w:rPr>
      <w:vertAlign w:val="superscript"/>
    </w:rPr>
  </w:style>
  <w:style w:type="character" w:styleId="33">
    <w:name w:val="page number"/>
    <w:basedOn w:val="31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basedOn w:val="31"/>
    <w:qFormat/>
    <w:uiPriority w:val="0"/>
    <w:rPr>
      <w:color w:val="800080"/>
      <w:u w:val="single"/>
    </w:rPr>
  </w:style>
  <w:style w:type="character" w:styleId="35">
    <w:name w:val="Hyperlink"/>
    <w:basedOn w:val="31"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basedOn w:val="31"/>
    <w:semiHidden/>
    <w:qFormat/>
    <w:uiPriority w:val="0"/>
    <w:rPr>
      <w:vertAlign w:val="superscript"/>
    </w:rPr>
  </w:style>
  <w:style w:type="character" w:customStyle="1" w:styleId="37">
    <w:name w:val="段 Char"/>
    <w:basedOn w:val="31"/>
    <w:link w:val="21"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qFormat/>
    <w:uiPriority w:val="0"/>
    <w:pPr>
      <w:numPr>
        <w:ilvl w:val="3"/>
        <w:numId w:val="2"/>
      </w:numPr>
      <w:outlineLvl w:val="4"/>
    </w:pPr>
  </w:style>
  <w:style w:type="paragraph" w:customStyle="1" w:styleId="48">
    <w:name w:val="示例"/>
    <w:next w:val="49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qFormat/>
    <w:uiPriority w:val="0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21"/>
    <w:qFormat/>
    <w:uiPriority w:val="0"/>
    <w:pPr>
      <w:numPr>
        <w:ilvl w:val="5"/>
        <w:numId w:val="2"/>
      </w:numPr>
      <w:outlineLvl w:val="6"/>
    </w:pPr>
  </w:style>
  <w:style w:type="paragraph" w:customStyle="1" w:styleId="53">
    <w:name w:val="注："/>
    <w:next w:val="21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21"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qFormat/>
    <w:uiPriority w:val="0"/>
    <w:pPr>
      <w:jc w:val="left"/>
    </w:pPr>
    <w:rPr>
      <w:rFonts w:ascii="黑体" w:eastAsia="黑体"/>
    </w:r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basedOn w:val="31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link w:val="133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basedOn w:val="37"/>
    <w:link w:val="86"/>
    <w:qFormat/>
    <w:uiPriority w:val="0"/>
  </w:style>
  <w:style w:type="paragraph" w:customStyle="1" w:styleId="88">
    <w:name w:val="附录公式编号制表符"/>
    <w:basedOn w:val="1"/>
    <w:next w:val="2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page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basedOn w:val="31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page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character" w:customStyle="1" w:styleId="133">
    <w:name w:val="封面标准名称 Char"/>
    <w:link w:val="74"/>
    <w:qFormat/>
    <w:uiPriority w:val="0"/>
    <w:rPr>
      <w:rFonts w:ascii="黑体" w:hAnsi="Times New Roman" w:eastAsia="黑体" w:cs="Times New Roman"/>
      <w:sz w:val="52"/>
      <w:lang w:val="en-US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microsoft.com/office/2006/relationships/keyMapCustomizations" Target="customizations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蝴蝶兰催花技术规程 - 征求意见稿</Template>
  <Company>zle</Company>
  <Pages>10</Pages>
  <Words>4152</Words>
  <Characters>4928</Characters>
  <Lines>41</Lines>
  <Paragraphs>11</Paragraphs>
  <TotalTime>3</TotalTime>
  <ScaleCrop>false</ScaleCrop>
  <LinksUpToDate>false</LinksUpToDate>
  <CharactersWithSpaces>5087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2009-06-20T13:05:00Z</dcterms:created>
  <dc:creator>CNIS</dc:creator>
  <cp:lastModifiedBy>LZW</cp:lastModifiedBy>
  <cp:lastPrinted>2022-11-17T16:10:00Z</cp:lastPrinted>
  <dcterms:modified xsi:type="dcterms:W3CDTF">2022-11-17T08:45:45Z</dcterms:modified>
  <dc:title>标准名称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753BF4E7D8C842AFA010995D7AB4903E</vt:lpwstr>
  </property>
</Properties>
</file>