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24" w:rsidRDefault="00216324" w:rsidP="00216324">
      <w:pPr>
        <w:widowControl/>
        <w:jc w:val="left"/>
        <w:rPr>
          <w:rFonts w:ascii="文星仿宋" w:eastAsia="文星仿宋" w:hAnsi="方正黑体_GBK" w:cs="方正黑体_GBK"/>
          <w:sz w:val="32"/>
          <w:szCs w:val="32"/>
        </w:rPr>
      </w:pPr>
      <w:r>
        <w:rPr>
          <w:rFonts w:ascii="文星仿宋" w:eastAsia="文星仿宋" w:hAnsi="方正黑体_GBK" w:cs="方正黑体_GBK" w:hint="eastAsia"/>
          <w:sz w:val="32"/>
          <w:szCs w:val="32"/>
        </w:rPr>
        <w:t>附件2</w:t>
      </w:r>
    </w:p>
    <w:p w:rsidR="00216324" w:rsidRDefault="00216324" w:rsidP="00216324">
      <w:pPr>
        <w:pStyle w:val="a3"/>
        <w:widowControl/>
        <w:spacing w:before="0" w:beforeAutospacing="0" w:after="0" w:afterAutospacing="0" w:line="560" w:lineRule="exact"/>
        <w:jc w:val="center"/>
        <w:rPr>
          <w:rFonts w:ascii="文星仿宋" w:eastAsia="文星仿宋" w:hAnsi="方正小标宋简体" w:cs="方正小标宋简体"/>
          <w:sz w:val="32"/>
          <w:szCs w:val="32"/>
        </w:rPr>
      </w:pPr>
      <w:bookmarkStart w:id="0" w:name="_GoBack"/>
      <w:r>
        <w:rPr>
          <w:rFonts w:ascii="文星仿宋" w:eastAsia="文星仿宋" w:hAnsi="方正小标宋简体" w:cs="方正小标宋简体" w:hint="eastAsia"/>
          <w:sz w:val="32"/>
          <w:szCs w:val="32"/>
        </w:rPr>
        <w:t>承接梅州市企业三级安全生产标准化定级组织单位</w:t>
      </w:r>
    </w:p>
    <w:p w:rsidR="00216324" w:rsidRDefault="00216324" w:rsidP="00216324">
      <w:pPr>
        <w:pStyle w:val="a3"/>
        <w:widowControl/>
        <w:spacing w:before="0" w:beforeAutospacing="0" w:after="0" w:afterAutospacing="0" w:line="560" w:lineRule="exact"/>
        <w:jc w:val="center"/>
        <w:rPr>
          <w:rFonts w:ascii="文星仿宋" w:eastAsia="文星仿宋" w:hAnsi="方正小标宋简体" w:cs="方正小标宋简体"/>
          <w:sz w:val="32"/>
          <w:szCs w:val="32"/>
        </w:rPr>
      </w:pPr>
      <w:r>
        <w:rPr>
          <w:rFonts w:ascii="文星仿宋" w:eastAsia="文星仿宋" w:hAnsi="方正小标宋简体" w:cs="方正小标宋简体" w:hint="eastAsia"/>
          <w:sz w:val="32"/>
          <w:szCs w:val="32"/>
        </w:rPr>
        <w:t>申请单位评分表</w:t>
      </w:r>
      <w:bookmarkEnd w:id="0"/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1305"/>
        <w:gridCol w:w="1650"/>
        <w:gridCol w:w="1064"/>
        <w:gridCol w:w="2618"/>
        <w:gridCol w:w="2423"/>
      </w:tblGrid>
      <w:tr w:rsidR="00216324" w:rsidTr="000E0A79">
        <w:trPr>
          <w:trHeight w:val="484"/>
        </w:trPr>
        <w:tc>
          <w:tcPr>
            <w:tcW w:w="6637" w:type="dxa"/>
            <w:gridSpan w:val="4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黑体_GBK" w:cs="方正黑体_GBK"/>
                <w:sz w:val="28"/>
                <w:szCs w:val="28"/>
              </w:rPr>
            </w:pPr>
            <w:r>
              <w:rPr>
                <w:rFonts w:ascii="文星仿宋" w:eastAsia="文星仿宋" w:hAnsi="方正黑体_GBK" w:cs="方正黑体_GBK" w:hint="eastAsia"/>
                <w:sz w:val="28"/>
                <w:szCs w:val="28"/>
              </w:rPr>
              <w:t>评审指标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黑体_GBK" w:cs="方正黑体_GBK"/>
                <w:sz w:val="28"/>
                <w:szCs w:val="28"/>
              </w:rPr>
            </w:pPr>
            <w:r>
              <w:rPr>
                <w:rFonts w:ascii="文星仿宋" w:eastAsia="文星仿宋" w:hAnsi="方正黑体_GBK" w:cs="方正黑体_GBK" w:hint="eastAsia"/>
                <w:sz w:val="28"/>
                <w:szCs w:val="28"/>
              </w:rPr>
              <w:t>申请单位名称</w:t>
            </w:r>
          </w:p>
        </w:tc>
      </w:tr>
      <w:tr w:rsidR="00216324" w:rsidTr="000E0A79">
        <w:trPr>
          <w:trHeight w:val="561"/>
        </w:trPr>
        <w:tc>
          <w:tcPr>
            <w:tcW w:w="1305" w:type="dxa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楷体_GBK" w:cs="方正楷体_GBK"/>
                <w:b/>
                <w:bCs/>
                <w:szCs w:val="20"/>
              </w:rPr>
            </w:pPr>
            <w:r>
              <w:rPr>
                <w:rFonts w:ascii="文星仿宋" w:eastAsia="文星仿宋" w:hAnsi="方正楷体_GBK" w:cs="方正楷体_GBK" w:hint="eastAsia"/>
                <w:b/>
                <w:bCs/>
                <w:szCs w:val="20"/>
              </w:rPr>
              <w:t>一级指标</w:t>
            </w: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楷体_GBK" w:cs="方正楷体_GBK"/>
                <w:b/>
                <w:bCs/>
                <w:szCs w:val="20"/>
              </w:rPr>
            </w:pPr>
            <w:r>
              <w:rPr>
                <w:rFonts w:ascii="文星仿宋" w:eastAsia="文星仿宋" w:hAnsi="方正楷体_GBK" w:cs="方正楷体_GBK" w:hint="eastAsia"/>
                <w:b/>
                <w:bCs/>
                <w:szCs w:val="20"/>
              </w:rPr>
              <w:t>二级指标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楷体_GBK" w:cs="方正楷体_GBK"/>
                <w:b/>
                <w:bCs/>
                <w:szCs w:val="20"/>
              </w:rPr>
            </w:pPr>
            <w:r>
              <w:rPr>
                <w:rFonts w:ascii="文星仿宋" w:eastAsia="文星仿宋" w:hAnsi="方正楷体_GBK" w:cs="方正楷体_GBK" w:hint="eastAsia"/>
                <w:b/>
                <w:bCs/>
                <w:szCs w:val="20"/>
              </w:rPr>
              <w:t>满分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楷体_GBK" w:cs="方正楷体_GBK"/>
                <w:b/>
                <w:bCs/>
                <w:szCs w:val="20"/>
              </w:rPr>
            </w:pPr>
            <w:r>
              <w:rPr>
                <w:rFonts w:ascii="文星仿宋" w:eastAsia="文星仿宋" w:hAnsi="方正楷体_GBK" w:cs="方正楷体_GBK" w:hint="eastAsia"/>
                <w:b/>
                <w:bCs/>
                <w:szCs w:val="20"/>
              </w:rPr>
              <w:t>三级指标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jc w:val="center"/>
              <w:rPr>
                <w:rFonts w:ascii="文星仿宋" w:eastAsia="文星仿宋" w:hAnsi="方正楷体_GBK" w:cs="方正楷体_GBK"/>
                <w:b/>
                <w:bCs/>
                <w:szCs w:val="20"/>
              </w:rPr>
            </w:pPr>
          </w:p>
        </w:tc>
      </w:tr>
      <w:tr w:rsidR="00216324" w:rsidTr="000E0A79">
        <w:trPr>
          <w:trHeight w:val="484"/>
        </w:trPr>
        <w:tc>
          <w:tcPr>
            <w:tcW w:w="1305" w:type="dxa"/>
            <w:vMerge w:val="restart"/>
            <w:vAlign w:val="center"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一、组织机构（任意单项</w:t>
            </w:r>
            <w:proofErr w:type="gramStart"/>
            <w:r>
              <w:rPr>
                <w:rFonts w:ascii="文星仿宋" w:eastAsia="文星仿宋" w:hAnsi="方正楷体_GBK" w:cs="方正楷体_GBK" w:hint="eastAsia"/>
                <w:szCs w:val="21"/>
              </w:rPr>
              <w:t>为否即</w:t>
            </w:r>
            <w:proofErr w:type="gramEnd"/>
            <w:r>
              <w:rPr>
                <w:rFonts w:ascii="文星仿宋" w:eastAsia="文星仿宋" w:hAnsi="方正楷体_GBK" w:cs="方正楷体_GBK" w:hint="eastAsia"/>
                <w:szCs w:val="21"/>
              </w:rPr>
              <w:t>视为否决条件，不得通过评审）</w:t>
            </w: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1.依法注册登记社会组织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216324" w:rsidTr="000E0A79">
        <w:trPr>
          <w:trHeight w:val="49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2.独立法人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216324" w:rsidTr="000E0A79">
        <w:trPr>
          <w:trHeight w:val="950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3.法人治理结构健全（办事机构设置）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216324" w:rsidTr="000E0A79">
        <w:trPr>
          <w:trHeight w:val="2166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4.被人民法院列入失信被执行人，重大税收违法案件当事人名单、政府采购严重违法失信行为记录名单及相关行业3年内出现违法违规行为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是/否</w:t>
            </w: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  <w:tr w:rsidR="00216324" w:rsidTr="000E0A79">
        <w:trPr>
          <w:trHeight w:val="484"/>
        </w:trPr>
        <w:tc>
          <w:tcPr>
            <w:tcW w:w="1305" w:type="dxa"/>
            <w:vMerge w:val="restart"/>
            <w:vAlign w:val="center"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二、基本条件（任意单项得分在起点分为下的即视为否决条件，不得通过评审）（54分）</w:t>
            </w:r>
          </w:p>
        </w:tc>
        <w:tc>
          <w:tcPr>
            <w:tcW w:w="1650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5.管理制度健全</w:t>
            </w:r>
          </w:p>
        </w:tc>
        <w:tc>
          <w:tcPr>
            <w:tcW w:w="1064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8（4分为起点）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制定内部管理制度（4分）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48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制定信息公开制度（2分）</w:t>
            </w: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49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制度民主监督制度（2分）</w:t>
            </w: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48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6.财务管理</w:t>
            </w:r>
          </w:p>
        </w:tc>
        <w:tc>
          <w:tcPr>
            <w:tcW w:w="1064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8（4分为起点）</w:t>
            </w: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制定财务核算和资产管理制度（4分）</w:t>
            </w: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49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配有专职财务人员（2分）</w:t>
            </w: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49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依法缴纳税收（1分）</w:t>
            </w: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48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依法缴纳社会保险（1分）</w:t>
            </w:r>
          </w:p>
        </w:tc>
        <w:tc>
          <w:tcPr>
            <w:tcW w:w="2423" w:type="dxa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726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7.办公条件</w:t>
            </w:r>
          </w:p>
        </w:tc>
        <w:tc>
          <w:tcPr>
            <w:tcW w:w="1064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8（4分为起点）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具有承接职能的场所（4分）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764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具有承接职能的设备（4分）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58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8.人员</w:t>
            </w:r>
          </w:p>
        </w:tc>
        <w:tc>
          <w:tcPr>
            <w:tcW w:w="1064" w:type="dxa"/>
            <w:vMerge w:val="restart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14（7分为起点）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配有3名以上（含3名）相关领域专职专家（4分）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920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配有专职工作人员（5分）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920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1064" w:type="dxa"/>
            <w:vMerge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建有相关领域安全生产专家库（5分）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920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9.具有全行业代表性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8（5分为起点）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920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10.实现行业自律管理，具有很高的社会公信度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8（5分为起点）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2034"/>
        </w:trPr>
        <w:tc>
          <w:tcPr>
            <w:tcW w:w="1305" w:type="dxa"/>
            <w:vMerge w:val="restart"/>
            <w:vAlign w:val="center"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三、其他条件（6分）</w:t>
            </w: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11.曾接受政府绩效单位安全生产相关职能转移或购买服务的工作经验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4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提供相关业绩证明材料，每个业绩1分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1823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12.获得捐赠税前扣除资格和非营利组织免税资格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1360"/>
        </w:trPr>
        <w:tc>
          <w:tcPr>
            <w:tcW w:w="1305" w:type="dxa"/>
            <w:vMerge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13.曾获得部、省、市等荣誉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3480"/>
        </w:trPr>
        <w:tc>
          <w:tcPr>
            <w:tcW w:w="1305" w:type="dxa"/>
            <w:vAlign w:val="center"/>
          </w:tcPr>
          <w:p w:rsidR="00216324" w:rsidRDefault="00216324" w:rsidP="000E0A79">
            <w:pPr>
              <w:widowControl/>
              <w:rPr>
                <w:rFonts w:ascii="文星仿宋" w:eastAsia="文星仿宋" w:hAnsi="方正楷体_GBK" w:cs="方正楷体_GBK"/>
                <w:szCs w:val="21"/>
              </w:rPr>
            </w:pPr>
            <w:r>
              <w:rPr>
                <w:rFonts w:ascii="文星仿宋" w:eastAsia="文星仿宋" w:hAnsi="方正楷体_GBK" w:cs="方正楷体_GBK" w:hint="eastAsia"/>
                <w:szCs w:val="21"/>
              </w:rPr>
              <w:t>四、报价（40分）</w:t>
            </w:r>
          </w:p>
        </w:tc>
        <w:tc>
          <w:tcPr>
            <w:tcW w:w="1650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14.综合评分。取所有报价的算术平均值为评标基准价，价格接近基准价优先</w:t>
            </w:r>
          </w:p>
        </w:tc>
        <w:tc>
          <w:tcPr>
            <w:tcW w:w="1064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szCs w:val="21"/>
              </w:rPr>
              <w:t>40</w:t>
            </w:r>
          </w:p>
        </w:tc>
        <w:tc>
          <w:tcPr>
            <w:tcW w:w="2618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  <w:proofErr w:type="gramStart"/>
            <w:r>
              <w:rPr>
                <w:rFonts w:ascii="文星仿宋" w:eastAsia="文星仿宋" w:hAnsi="方正仿宋_GBK" w:cs="方正仿宋_GBK" w:hint="eastAsia"/>
                <w:szCs w:val="21"/>
              </w:rPr>
              <w:t>取所以</w:t>
            </w:r>
            <w:proofErr w:type="gramEnd"/>
            <w:r>
              <w:rPr>
                <w:rFonts w:ascii="文星仿宋" w:eastAsia="文星仿宋" w:hAnsi="方正仿宋_GBK" w:cs="方正仿宋_GBK" w:hint="eastAsia"/>
                <w:szCs w:val="21"/>
              </w:rPr>
              <w:t>报价的算术平均值为评标基准价，价格得分=40×（1-｜评标基准价格-报价｜/评标基准价格）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rPr>
                <w:rFonts w:ascii="文星仿宋" w:eastAsia="文星仿宋" w:hAnsi="方正仿宋_GBK" w:cs="方正仿宋_GBK"/>
                <w:szCs w:val="21"/>
              </w:rPr>
            </w:pPr>
          </w:p>
        </w:tc>
      </w:tr>
      <w:tr w:rsidR="00216324" w:rsidTr="000E0A79">
        <w:trPr>
          <w:trHeight w:val="755"/>
        </w:trPr>
        <w:tc>
          <w:tcPr>
            <w:tcW w:w="6637" w:type="dxa"/>
            <w:gridSpan w:val="4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center"/>
              <w:rPr>
                <w:rFonts w:ascii="文星仿宋" w:eastAsia="文星仿宋" w:hAnsi="方正仿宋_GBK" w:cs="方正仿宋_GBK"/>
                <w:szCs w:val="21"/>
              </w:rPr>
            </w:pPr>
            <w:r>
              <w:rPr>
                <w:rFonts w:ascii="文星仿宋" w:eastAsia="文星仿宋" w:hAnsi="方正仿宋_GBK" w:cs="方正仿宋_GBK" w:hint="eastAsia"/>
                <w:b/>
                <w:bCs/>
                <w:sz w:val="24"/>
              </w:rPr>
              <w:t>合计</w:t>
            </w:r>
          </w:p>
        </w:tc>
        <w:tc>
          <w:tcPr>
            <w:tcW w:w="2423" w:type="dxa"/>
            <w:vAlign w:val="center"/>
          </w:tcPr>
          <w:p w:rsidR="00216324" w:rsidRDefault="00216324" w:rsidP="000E0A79">
            <w:pPr>
              <w:widowControl/>
              <w:spacing w:line="280" w:lineRule="exact"/>
              <w:jc w:val="left"/>
              <w:rPr>
                <w:rFonts w:ascii="文星仿宋" w:eastAsia="文星仿宋" w:hAnsi="方正仿宋_GBK" w:cs="方正仿宋_GBK"/>
                <w:b/>
                <w:bCs/>
                <w:szCs w:val="21"/>
              </w:rPr>
            </w:pPr>
          </w:p>
        </w:tc>
      </w:tr>
    </w:tbl>
    <w:p w:rsidR="0056031A" w:rsidRDefault="00216324"/>
    <w:sectPr w:rsidR="0056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方正仿宋_GBK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auto"/>
    <w:pitch w:val="default"/>
    <w:sig w:usb0="00000001" w:usb1="08000000" w:usb2="00000000" w:usb3="00000000" w:csb0="00040000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24"/>
    <w:rsid w:val="00216324"/>
    <w:rsid w:val="00564189"/>
    <w:rsid w:val="00C82038"/>
    <w:rsid w:val="00E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163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1632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2163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"/>
    <w:uiPriority w:val="99"/>
    <w:semiHidden/>
    <w:unhideWhenUsed/>
    <w:rsid w:val="0021632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216324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1632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1632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163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1632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2163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"/>
    <w:uiPriority w:val="99"/>
    <w:semiHidden/>
    <w:unhideWhenUsed/>
    <w:rsid w:val="0021632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216324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1632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1632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Micorosoft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2022-12-12T09:08:00Z</dcterms:created>
  <dcterms:modified xsi:type="dcterms:W3CDTF">2022-12-12T09:08:00Z</dcterms:modified>
</cp:coreProperties>
</file>