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2929" w:sz="12" w:space="12"/>
          <w:right w:val="none" w:color="auto" w:sz="0" w:space="0"/>
        </w:pBdr>
        <w:spacing w:before="0" w:beforeAutospacing="0" w:after="240" w:afterAutospacing="0" w:line="540" w:lineRule="atLeast"/>
        <w:ind w:left="0" w:right="0"/>
        <w:jc w:val="center"/>
        <w:rPr>
          <w:rFonts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2929" w:sz="12" w:space="12"/>
          <w:right w:val="none" w:color="auto" w:sz="0" w:space="0"/>
        </w:pBdr>
        <w:spacing w:before="0" w:beforeAutospacing="0" w:after="240" w:afterAutospacing="0" w:line="540" w:lineRule="atLeast"/>
        <w:ind w:left="0" w:right="0"/>
        <w:jc w:val="center"/>
        <w:rPr>
          <w:rFonts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2929" w:sz="12" w:space="12"/>
          <w:right w:val="none" w:color="auto" w:sz="0" w:space="0"/>
        </w:pBdr>
        <w:spacing w:before="0" w:beforeAutospacing="0" w:after="240" w:afterAutospacing="0" w:line="540" w:lineRule="atLeast"/>
        <w:ind w:left="0" w:right="0"/>
        <w:jc w:val="center"/>
        <w:rPr>
          <w:rFonts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2929" w:sz="12" w:space="12"/>
          <w:right w:val="none" w:color="auto" w:sz="0" w:space="0"/>
        </w:pBdr>
        <w:spacing w:before="0" w:beforeAutospacing="0" w:after="240" w:afterAutospacing="0" w:line="540" w:lineRule="atLeast"/>
        <w:ind w:left="0" w:right="0"/>
        <w:jc w:val="center"/>
        <w:rPr>
          <w:sz w:val="26"/>
          <w:szCs w:val="26"/>
        </w:rPr>
      </w:pPr>
      <w:bookmarkStart w:id="0" w:name="_GoBack"/>
      <w:bookmarkEnd w:id="0"/>
      <w:r>
        <w:rPr>
          <w:rFonts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  <w:t>梅市府〔2007〕12号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关于扩大梅州大堤堤围防护费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征收范围的通告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梅江区、梅县人民政府，市有关单位：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为加强梅州大堤堤围防护费的征管，确保梅州大堤的建设、管理和维护，保障梅州大堤捍卫范围内人民群众的生命财产安全，根据《中华人民共和国防洪法》、《广东省河道堤防管理条例》等规定，市政府决定扩大梅州大堤堤围防护费征收范围。现就有关事项通告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一、梅州大堤堤围防护费征收范围从原梅州市城市规划控制区内的58平方公里，扩大至现实际规划控制区的168平方公里。</w:t>
      </w: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扩大征收范围后的四址：以江南新中路市人民政府办公大楼为中心，东以佛子高、冷水坑、钓钩岌亭、黄坑林场场部、林屋角、黄坑宫、渡背、西阳大圹肚、南圳坑、大窝等地点的连线为界；南以风雨亭、黄班畲、思茅坪、狗眼圹、长沙纪念碑、大密滩、黄泥咀、余公洞、大山尾、岭上廖屋、管屋、黄群坑、窝里等地点的连线为界；西以高峰寺、甲子排、蕉坑、南口新茶亭、武仙岩寺、虾蟆墩、长滩发电站、郭东坑、长滩火车站、普益亭、明阳寨、老观音等地点的连线为界；北以油坑尾古屋、沈屋、刘屋湾、扎田南山桥（206国道）、江洞坑、双径岭、墩上谢屋、大径里东风三厂（205国道）等地点的连线为界。详细界址以《梅州市城市总体规划（修编）控制区图》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二、凡梅州市城市规划控制区内的中央、省、市、县、区国有企业、集体企业（包括联营企业、乡镇企业）、股份制企业、私营企业、外商投资企业和实行企业化管理的事业单位以及个体工商户，均属梅州大堤堤围防护费的缴费人。</w:t>
      </w: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各缴费人应自觉按有关规定缴纳堤围防护费。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三、梅州大堤堤围防护费的征收办法和标准仍按市政府关于《印发〈梅州大堤堤围防护费征收暂行办法〉的通知》（梅市府〔1999〕6号）和市政府办公室《关于调整梅州大堤堤围防护费征收标准的通知》（梅市府办函〔2001〕40号）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四、梅州大堤堤围防护费仍委托地方税务机关负责代征。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F2F2F"/>
          <w:spacing w:val="0"/>
          <w:sz w:val="36"/>
          <w:szCs w:val="36"/>
        </w:rPr>
        <w:t>五、梅州大堤堤围防护费新征收范围自2007年4月1日起执行。市政府办公室《关于梅州大堤堤围防护费征收范围界定问题的通知》（梅市府办〔1999〕4号）同时废止。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特此通告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right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梅州市人民政府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right"/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26"/>
          <w:szCs w:val="2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F2F2F"/>
          <w:spacing w:val="0"/>
          <w:sz w:val="36"/>
          <w:szCs w:val="36"/>
        </w:rPr>
        <w:t>二〇〇七年四月十日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2Yzg2OTVjZmI5MzIxNjY5MjZmZmI3N2JjNjllNjAifQ=="/>
  </w:docVars>
  <w:rsids>
    <w:rsidRoot w:val="13821260"/>
    <w:rsid w:val="13821260"/>
    <w:rsid w:val="5698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859</Words>
  <Characters>883</Characters>
  <Lines>0</Lines>
  <Paragraphs>0</Paragraphs>
  <TotalTime>0</TotalTime>
  <ScaleCrop>false</ScaleCrop>
  <LinksUpToDate>false</LinksUpToDate>
  <CharactersWithSpaces>883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2022-11-18T07:01:00Z</dcterms:created>
  <dc:creator>Administrator</dc:creator>
  <cp:lastModifiedBy>Administrator</cp:lastModifiedBy>
  <dcterms:modified xsi:type="dcterms:W3CDTF">2022-11-23T00:56:06Z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3DAA850557E9405589FC161A078A8097</vt:lpwstr>
  </property>
</Properties>
</file>