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40" w:beforeAutospacing="0" w:after="300" w:afterAutospacing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2D66A5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2D66A5"/>
          <w:sz w:val="44"/>
          <w:szCs w:val="44"/>
          <w:shd w:val="clear" w:color="auto" w:fill="FFFFFF"/>
        </w:rPr>
        <w:t>梅州市人力资源和社会保障局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D66A5"/>
          <w:sz w:val="44"/>
          <w:szCs w:val="44"/>
          <w:shd w:val="clear" w:color="auto" w:fill="FFFFFF"/>
          <w:lang w:eastAsia="zh-CN"/>
        </w:rPr>
        <w:t>2022</w:t>
      </w:r>
      <w:r>
        <w:rPr>
          <w:rFonts w:ascii="方正小标宋简体" w:hAnsi="方正小标宋简体" w:eastAsia="方正小标宋简体" w:cs="方正小标宋简体"/>
          <w:b w:val="0"/>
          <w:bCs/>
          <w:color w:val="2D66A5"/>
          <w:sz w:val="44"/>
          <w:szCs w:val="44"/>
          <w:shd w:val="clear" w:color="auto" w:fill="FFFFFF"/>
        </w:rPr>
        <w:t>年</w:t>
      </w:r>
    </w:p>
    <w:p>
      <w:pPr>
        <w:pStyle w:val="2"/>
        <w:widowControl/>
        <w:shd w:val="clear" w:color="auto" w:fill="FFFFFF"/>
        <w:spacing w:before="240" w:beforeAutospacing="0" w:after="300" w:afterAutospacing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2D66A5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2D66A5"/>
          <w:sz w:val="44"/>
          <w:szCs w:val="44"/>
          <w:shd w:val="clear" w:color="auto" w:fill="FFFFFF"/>
        </w:rPr>
        <w:t>信息公开工作年度报告</w:t>
      </w:r>
    </w:p>
    <w:p>
      <w:pPr>
        <w:pStyle w:val="6"/>
        <w:widowControl/>
        <w:wordWrap w:val="0"/>
        <w:spacing w:beforeAutospacing="0" w:after="120" w:afterAutospacing="0" w:line="432" w:lineRule="atLeast"/>
        <w:rPr>
          <w:rFonts w:ascii="微软雅黑" w:hAnsi="微软雅黑" w:eastAsia="微软雅黑" w:cs="微软雅黑"/>
          <w:color w:val="424242"/>
          <w:sz w:val="27"/>
          <w:szCs w:val="27"/>
          <w:shd w:val="clear" w:color="auto" w:fill="FFFFFF"/>
        </w:rPr>
      </w:pPr>
    </w:p>
    <w:p>
      <w:pPr>
        <w:pStyle w:val="6"/>
        <w:widowControl/>
        <w:wordWrap w:val="0"/>
        <w:spacing w:beforeAutospacing="0" w:after="120" w:afterAutospacing="0" w:line="432" w:lineRule="atLeast"/>
        <w:ind w:firstLine="590"/>
        <w:rPr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根据《中华人民共和国政府信息公开条例》规定，现公布梅州市人力资源和社会保障局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年政府信息公开工作年度报告。本报告由总体情况、主动公开政府信息情况、收到和处理政府信息公开申请情况、政府信息公开行政复议及行政诉讼情况、存在的主要问题及改进情况、其他需要报告的事项六部分组成。本报告的电子版可在梅州市人力资源和社会保障局门户网站（https://www.meizhou.gov.cn/zwgk/zfjg/srlzyhshbzj/）下载。　　</w:t>
      </w:r>
    </w:p>
    <w:p>
      <w:pPr>
        <w:pStyle w:val="6"/>
        <w:widowControl/>
        <w:numPr>
          <w:ilvl w:val="0"/>
          <w:numId w:val="1"/>
        </w:numPr>
        <w:wordWrap w:val="0"/>
        <w:spacing w:beforeAutospacing="0" w:after="120" w:afterAutospacing="0" w:line="432" w:lineRule="atLeast"/>
        <w:ind w:firstLine="590"/>
        <w:rPr>
          <w:rStyle w:val="9"/>
          <w:rFonts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  <w:t>总体情况</w:t>
      </w:r>
    </w:p>
    <w:p>
      <w:pPr>
        <w:pStyle w:val="6"/>
        <w:widowControl/>
        <w:wordWrap w:val="0"/>
        <w:spacing w:beforeAutospacing="0" w:after="120" w:afterAutospacing="0" w:line="432" w:lineRule="atLeast"/>
        <w:ind w:firstLine="640" w:firstLineChars="200"/>
        <w:rPr>
          <w:rStyle w:val="9"/>
          <w:rFonts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  <w:lang w:eastAsia="zh-CN"/>
        </w:rPr>
        <w:t>2022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年，梅州市人力资源和社会保障局按照市委、市政府关于推进政务公开的工作部署，认真执行《中华人民共和国政府信息公开条例》，围绕统筹疫情防控和经济社会发展以及群众关注关切，聚焦做好“六稳”工作、落实“六保”任务，统筹资源、突出重点，深入开展人社政策解读、宣传，切实回应群众关注关切，取得明显成效。</w:t>
      </w:r>
    </w:p>
    <w:p>
      <w:pPr>
        <w:pStyle w:val="6"/>
        <w:widowControl/>
        <w:wordWrap w:val="0"/>
        <w:spacing w:beforeAutospacing="0" w:after="120" w:afterAutospacing="0" w:line="432" w:lineRule="atLeast"/>
        <w:ind w:firstLine="643" w:firstLineChars="200"/>
        <w:rPr>
          <w:rStyle w:val="9"/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</w:p>
    <w:p>
      <w:pPr>
        <w:pStyle w:val="6"/>
        <w:widowControl/>
        <w:numPr>
          <w:ilvl w:val="0"/>
          <w:numId w:val="2"/>
        </w:numPr>
        <w:wordWrap w:val="0"/>
        <w:spacing w:beforeAutospacing="0" w:after="120" w:afterAutospacing="0" w:line="432" w:lineRule="atLeast"/>
        <w:ind w:firstLine="640" w:firstLineChars="200"/>
        <w:rPr>
          <w:rFonts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主动公开方面。通过人社门户网站、微信公众号等平台公开政府信息，围绕社会公众关心的重点、热点问题，加大对疫情防控、就业、社保、人事人才、劳动关系等领域信息公开。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年度，市人社局网站共发布信息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691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条，其中信息公开目录系统信息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条，政策文件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份，发布事业单位人员招录信息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条，职称考试和评审信息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条，政策名单公示信息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条，12333接听咨询热线共受理来电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70190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起。</w:t>
      </w:r>
    </w:p>
    <w:p>
      <w:pPr>
        <w:pStyle w:val="6"/>
        <w:widowControl/>
        <w:numPr>
          <w:ilvl w:val="0"/>
          <w:numId w:val="2"/>
        </w:numPr>
        <w:wordWrap w:val="0"/>
        <w:spacing w:beforeAutospacing="0" w:after="120" w:afterAutospacing="0" w:line="432" w:lineRule="atLeast"/>
        <w:ind w:firstLine="640" w:firstLineChars="200"/>
        <w:rPr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依申请公开方面。我局按照《政府信息公开条例》《广东省政府信息公开申请办理答复规范》等文件规定，依法依规妥善办理政府信息公开申请。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年我局收到政府信息公开申请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件,准予公开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件。</w:t>
      </w:r>
    </w:p>
    <w:p>
      <w:pPr>
        <w:pStyle w:val="6"/>
        <w:widowControl/>
        <w:numPr>
          <w:ilvl w:val="0"/>
          <w:numId w:val="2"/>
        </w:numPr>
        <w:wordWrap w:val="0"/>
        <w:spacing w:beforeAutospacing="0" w:after="120" w:afterAutospacing="0" w:line="432" w:lineRule="atLeast"/>
        <w:ind w:firstLine="640" w:firstLineChars="200"/>
        <w:rPr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政府信息管理方面。根据职能设置事业单位人事管理、专业技术人员管理、就业创业服务、根治欠薪工作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职业资格考试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等专栏，及时公布人事招聘信息、就业创业政策、行政处理决定书等信息，充分发挥政府信息对人民群众生产、生活和经济社会活动的服务作用。</w:t>
      </w:r>
    </w:p>
    <w:p>
      <w:pPr>
        <w:pStyle w:val="6"/>
        <w:widowControl/>
        <w:wordWrap w:val="0"/>
        <w:spacing w:beforeAutospacing="0" w:after="120" w:afterAutospacing="0" w:line="432" w:lineRule="atLeast"/>
        <w:rPr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　　（四）平台建设方面。充分发挥官方微信公众号、官方网站灵活便捷的优势，做好信息发布、政策解读和办事服务工作，进一步增强公开实效，提升服务水平。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年，我局微信公众号平台发布稿件约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篇，局官方网站共发布政务动态类信息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条。</w:t>
      </w:r>
    </w:p>
    <w:p>
      <w:pPr>
        <w:pStyle w:val="6"/>
        <w:widowControl/>
        <w:wordWrap w:val="0"/>
        <w:spacing w:beforeAutospacing="0" w:after="120" w:afterAutospacing="0" w:line="432" w:lineRule="atLeast"/>
        <w:ind w:firstLine="640"/>
        <w:rPr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（五）解读回应方面。在门户网站、微信公众号做好政策解读工作，全年月均发布政策解读文章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篇，涵盖就业创业、劳动关系、社会保障政策细节解读、补贴领取等范畴；及时做好网民留言答复和沟通解释工作，解决群众的痛点、难点问题。</w:t>
      </w:r>
    </w:p>
    <w:p>
      <w:pPr>
        <w:pStyle w:val="6"/>
        <w:widowControl/>
        <w:wordWrap w:val="0"/>
        <w:spacing w:beforeAutospacing="0" w:after="120" w:afterAutospacing="0" w:line="432" w:lineRule="atLeast"/>
        <w:ind w:firstLine="640" w:firstLineChars="200"/>
        <w:rPr>
          <w:rFonts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（六）监督保障方面。严格落实</w:t>
      </w:r>
      <w:bookmarkStart w:id="0" w:name="_Toc495397711"/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政府信息公开保密审查制度</w:t>
      </w:r>
      <w:bookmarkEnd w:id="0"/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，专人专责加强政务微信、官方网站的日常监管和维护，明确业务科室及信息管理部门职责，源头入手，加强考核，全面加强网上发布信息的规范化和标准化。</w:t>
      </w:r>
    </w:p>
    <w:p>
      <w:pPr>
        <w:pStyle w:val="6"/>
        <w:widowControl/>
        <w:wordWrap w:val="0"/>
        <w:spacing w:beforeAutospacing="0" w:after="120" w:afterAutospacing="0" w:line="432" w:lineRule="atLeast"/>
        <w:rPr>
          <w:rFonts w:ascii="黑体" w:hAnsi="黑体" w:eastAsia="黑体" w:cs="黑体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　　</w:t>
      </w:r>
      <w:r>
        <w:rPr>
          <w:rStyle w:val="9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  <w:t>二、主动公开政府信息情况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shd w:val="clear" w:color="auto" w:fill="FFFFFF"/>
        </w:rPr>
        <w:t>　</w:t>
      </w:r>
    </w:p>
    <w:tbl>
      <w:tblPr>
        <w:tblStyle w:val="7"/>
        <w:tblW w:w="6828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94"/>
        <w:gridCol w:w="1505"/>
        <w:gridCol w:w="1668"/>
        <w:gridCol w:w="2161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ascii="微软雅黑" w:hAnsi="微软雅黑" w:eastAsia="微软雅黑" w:cs="微软雅黑"/>
                <w:color w:val="424242"/>
                <w:sz w:val="27"/>
                <w:szCs w:val="27"/>
              </w:rPr>
              <w:t>第二十条第（一）项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信息内容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本年新制作数量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本年新公开数量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对外公开总数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规章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规范性文件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10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第二十条第（五）项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信息内容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上一年项目数量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本年增/减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行政许可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  <w:lang w:val="en-US" w:eastAsia="zh-CN"/>
              </w:rPr>
              <w:t>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  <w:lang w:val="en-US" w:eastAsia="zh-CN"/>
              </w:rPr>
              <w:t>51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其他对外管理</w:t>
            </w:r>
          </w:p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服务事项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第二十条第（六）项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信息内容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上一年项目数量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本年增/减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处理决定数量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行政处罚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行政强制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第二十条第（八）项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信息内容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上一年项目数量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本年增/减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6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行政事业性收费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tabs>
                <w:tab w:val="center" w:pos="960"/>
              </w:tabs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第二十条第（九）项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信息内容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采购项目数量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采购总金额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政府集中采购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="微软雅黑"/>
                <w:color w:val="42424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  <w:lang w:val="en-US" w:eastAsia="zh-CN"/>
              </w:rPr>
              <w:t>232.47</w:t>
            </w:r>
            <w:r>
              <w:rPr>
                <w:rFonts w:hint="eastAsia" w:ascii="微软雅黑" w:hAnsi="微软雅黑" w:eastAsia="微软雅黑" w:cs="微软雅黑"/>
                <w:color w:val="424242"/>
                <w:sz w:val="27"/>
                <w:szCs w:val="27"/>
              </w:rPr>
              <w:t>万元</w:t>
            </w:r>
          </w:p>
        </w:tc>
      </w:tr>
    </w:tbl>
    <w:p>
      <w:pPr>
        <w:pStyle w:val="6"/>
        <w:widowControl/>
        <w:wordWrap w:val="0"/>
        <w:spacing w:beforeAutospacing="0" w:after="120" w:afterAutospacing="0" w:line="432" w:lineRule="atLeast"/>
        <w:ind w:firstLine="640" w:firstLineChars="200"/>
        <w:rPr>
          <w:rStyle w:val="9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</w:pPr>
      <w:bookmarkStart w:id="1" w:name="_GoBack"/>
      <w:r>
        <w:rPr>
          <w:rStyle w:val="9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  <w:t>三、收到和处理政府信息公开申请情况</w:t>
      </w:r>
    </w:p>
    <w:bookmarkEnd w:id="1"/>
    <w:tbl>
      <w:tblPr>
        <w:tblStyle w:val="7"/>
        <w:tblpPr w:leftFromText="180" w:rightFromText="180" w:vertAnchor="text" w:horzAnchor="page" w:tblpX="1040" w:tblpY="631"/>
        <w:tblOverlap w:val="never"/>
        <w:tblW w:w="10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97"/>
        <w:gridCol w:w="1176"/>
        <w:gridCol w:w="810"/>
        <w:gridCol w:w="1303"/>
        <w:gridCol w:w="1096"/>
        <w:gridCol w:w="1096"/>
        <w:gridCol w:w="1096"/>
        <w:gridCol w:w="109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7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5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6"/>
        <w:widowControl/>
        <w:wordWrap w:val="0"/>
        <w:spacing w:beforeAutospacing="0" w:after="120" w:afterAutospacing="0" w:line="432" w:lineRule="atLeast"/>
        <w:ind w:firstLine="640" w:firstLineChars="200"/>
        <w:rPr>
          <w:rStyle w:val="9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120" w:afterAutospacing="0" w:line="432" w:lineRule="atLeast"/>
        <w:ind w:firstLine="640" w:firstLineChars="200"/>
        <w:jc w:val="both"/>
        <w:rPr>
          <w:rFonts w:ascii="黑体" w:hAnsi="黑体" w:eastAsia="黑体" w:cs="黑体"/>
          <w:color w:val="424242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120" w:afterAutospacing="0" w:line="432" w:lineRule="atLeast"/>
        <w:ind w:firstLine="640" w:firstLineChars="200"/>
        <w:jc w:val="both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840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5"/>
        <w:gridCol w:w="545"/>
        <w:gridCol w:w="545"/>
        <w:gridCol w:w="545"/>
        <w:gridCol w:w="537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70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行政复议</w:t>
            </w:r>
          </w:p>
        </w:tc>
        <w:tc>
          <w:tcPr>
            <w:tcW w:w="56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行政诉讼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结果维持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结果纠正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其他结果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尚未审结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复议后起诉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宋体"/>
                <w:sz w:val="27"/>
                <w:szCs w:val="27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宋体"/>
                <w:sz w:val="27"/>
                <w:szCs w:val="27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宋体"/>
                <w:sz w:val="27"/>
                <w:szCs w:val="27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宋体"/>
                <w:sz w:val="27"/>
                <w:szCs w:val="27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宋体"/>
                <w:sz w:val="27"/>
                <w:szCs w:val="27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结果维持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结果纠正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其他结果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尚未审结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总计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结果维持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结果纠正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其他结果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尚未审结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color w:val="424242"/>
                <w:sz w:val="27"/>
                <w:szCs w:val="27"/>
              </w:rPr>
            </w:pPr>
            <w:r>
              <w:rPr>
                <w:color w:val="424242"/>
                <w:sz w:val="27"/>
                <w:szCs w:val="27"/>
              </w:rPr>
              <w:t>总计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default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center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center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288" w:lineRule="atLeast"/>
              <w:jc w:val="both"/>
              <w:rPr>
                <w:rFonts w:hint="eastAsia" w:eastAsiaTheme="minorEastAsia"/>
                <w:color w:val="424242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424242"/>
                <w:sz w:val="27"/>
                <w:szCs w:val="27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wordWrap w:val="0"/>
        <w:spacing w:beforeAutospacing="0" w:after="120" w:afterAutospacing="0" w:line="432" w:lineRule="atLeast"/>
        <w:rPr>
          <w:rFonts w:ascii="黑体" w:hAnsi="黑体" w:eastAsia="黑体" w:cs="黑体"/>
          <w:color w:val="424242"/>
          <w:sz w:val="32"/>
          <w:szCs w:val="32"/>
          <w:shd w:val="clear" w:color="auto" w:fill="FFFFFF"/>
        </w:rPr>
      </w:pPr>
    </w:p>
    <w:p>
      <w:pPr>
        <w:pStyle w:val="6"/>
        <w:widowControl/>
        <w:wordWrap w:val="0"/>
        <w:spacing w:beforeAutospacing="0" w:after="120" w:afterAutospacing="0" w:line="432" w:lineRule="atLeast"/>
        <w:ind w:firstLine="640" w:firstLineChars="200"/>
        <w:rPr>
          <w:rFonts w:ascii="黑体" w:hAnsi="黑体" w:eastAsia="黑体" w:cs="黑体"/>
          <w:color w:val="42424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</w:rPr>
        <w:t>五、存在的主要问题和改进措施</w:t>
      </w:r>
    </w:p>
    <w:p>
      <w:pPr>
        <w:pStyle w:val="6"/>
        <w:widowControl/>
        <w:wordWrap w:val="0"/>
        <w:spacing w:beforeAutospacing="0" w:after="120" w:afterAutospacing="0" w:line="432" w:lineRule="atLeast"/>
        <w:ind w:firstLine="640" w:firstLineChars="200"/>
        <w:rPr>
          <w:rFonts w:ascii="仿宋_GB2312" w:hAnsi="仿宋_GB2312" w:eastAsia="仿宋_GB2312" w:cs="仿宋_GB2312"/>
          <w:bCs/>
          <w:color w:val="42424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信息公开的社会宣传力度还有待进一步加大。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工作机制还不够完善，主动公开的意识还有待进一步加强，还存在信息发布量较少等问题。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网上信息服务的内容和功能还有待进一步扩展。</w:t>
      </w:r>
    </w:p>
    <w:p>
      <w:pPr>
        <w:pStyle w:val="6"/>
        <w:widowControl/>
        <w:wordWrap w:val="0"/>
        <w:spacing w:beforeAutospacing="0" w:after="120" w:afterAutospacing="0" w:line="432" w:lineRule="atLeast"/>
        <w:rPr>
          <w:rFonts w:ascii="仿宋_GB2312" w:hAnsi="仿宋_GB2312" w:eastAsia="仿宋_GB2312" w:cs="仿宋_GB2312"/>
          <w:bCs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　　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下一步今后改进措施:一是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要进一步加强政府信息公开条例的学习宣传和教育培训，利用多种媒体和宣传渠道发布公开信息，提高信息的知晓率，稳步拓展信息公开的深度和广度，更好地服务于社会；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要鼓励广大干部、群众积极参与信息发布的监督，明确责任落实到人，建立长效的监督管理机制；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424242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加强对门户网站各栏目的更新维护，确保各项公开信息及时、有效，建立健全门户网站内容保障的机制和绩效考核制度，从信息产生源头入手，明确责任，加强考核，规范网上发布信息，进一步发挥人社局门户网站在政府信息公开中的主渠道作用。</w:t>
      </w:r>
    </w:p>
    <w:p>
      <w:pPr>
        <w:pStyle w:val="6"/>
        <w:widowControl/>
        <w:shd w:val="clear" w:color="auto" w:fill="FFFFFF"/>
        <w:spacing w:beforeAutospacing="0" w:after="120" w:afterAutospacing="0" w:line="432" w:lineRule="atLeast"/>
        <w:ind w:firstLine="640" w:firstLineChars="200"/>
        <w:jc w:val="both"/>
        <w:rPr>
          <w:rFonts w:ascii="黑体" w:hAnsi="黑体" w:eastAsia="黑体" w:cs="黑体"/>
          <w:color w:val="424242"/>
          <w:sz w:val="32"/>
          <w:szCs w:val="32"/>
        </w:rPr>
      </w:pPr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</w:rPr>
        <w:t>六、其他需要报告的事项</w:t>
      </w:r>
    </w:p>
    <w:p>
      <w:pPr>
        <w:pStyle w:val="6"/>
        <w:widowControl/>
        <w:shd w:val="clear" w:color="auto" w:fill="FFFFFF"/>
        <w:spacing w:beforeAutospacing="0" w:after="120" w:afterAutospacing="0" w:line="432" w:lineRule="atLeast"/>
        <w:jc w:val="both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24242"/>
          <w:sz w:val="27"/>
          <w:szCs w:val="27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Cs/>
          <w:color w:val="424242"/>
          <w:sz w:val="32"/>
          <w:szCs w:val="32"/>
          <w:shd w:val="clear" w:color="auto" w:fill="FFFFFF"/>
        </w:rPr>
        <w:t>无。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E3F4F"/>
    <w:multiLevelType w:val="singleLevel"/>
    <w:tmpl w:val="A45E3F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E629EC"/>
    <w:multiLevelType w:val="singleLevel"/>
    <w:tmpl w:val="7BE629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DUxODA3OWI4NTY4MWI0Y2NiMzVmYTA0NDNhYWQifQ=="/>
  </w:docVars>
  <w:rsids>
    <w:rsidRoot w:val="002A1858"/>
    <w:rsid w:val="00011724"/>
    <w:rsid w:val="00106AFE"/>
    <w:rsid w:val="00160489"/>
    <w:rsid w:val="001C40E5"/>
    <w:rsid w:val="002A1858"/>
    <w:rsid w:val="00587468"/>
    <w:rsid w:val="00663B39"/>
    <w:rsid w:val="006A5F68"/>
    <w:rsid w:val="006B364A"/>
    <w:rsid w:val="007D3B68"/>
    <w:rsid w:val="007E59CF"/>
    <w:rsid w:val="008537AB"/>
    <w:rsid w:val="008557B9"/>
    <w:rsid w:val="008B72E9"/>
    <w:rsid w:val="00A3369D"/>
    <w:rsid w:val="00AB3EC4"/>
    <w:rsid w:val="00AE7B4E"/>
    <w:rsid w:val="00BD3A5B"/>
    <w:rsid w:val="00C54C40"/>
    <w:rsid w:val="00EE002A"/>
    <w:rsid w:val="00F42232"/>
    <w:rsid w:val="00F70CFD"/>
    <w:rsid w:val="00FE13F2"/>
    <w:rsid w:val="00FE7C59"/>
    <w:rsid w:val="016623BA"/>
    <w:rsid w:val="054E6D92"/>
    <w:rsid w:val="05A42CC4"/>
    <w:rsid w:val="18337A78"/>
    <w:rsid w:val="1FA9D9B1"/>
    <w:rsid w:val="211606DF"/>
    <w:rsid w:val="2AC90EC2"/>
    <w:rsid w:val="300702D3"/>
    <w:rsid w:val="3A7FB62C"/>
    <w:rsid w:val="3FEBF0B2"/>
    <w:rsid w:val="4BCB796C"/>
    <w:rsid w:val="559E0FC4"/>
    <w:rsid w:val="741C05BC"/>
    <w:rsid w:val="BE5F43C6"/>
    <w:rsid w:val="F5FF2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8</Pages>
  <Words>2378</Words>
  <Characters>2499</Characters>
  <Lines>18</Lines>
  <Paragraphs>5</Paragraphs>
  <TotalTime>34</TotalTime>
  <ScaleCrop>false</ScaleCrop>
  <LinksUpToDate>false</LinksUpToDate>
  <CharactersWithSpaces>2510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2021-05-26T17:59:00Z</dcterms:created>
  <dc:creator>Administrator</dc:creator>
  <cp:lastModifiedBy>    l、</cp:lastModifiedBy>
  <cp:lastPrinted>2023-01-18T02:50:54Z</cp:lastPrinted>
  <dcterms:modified xsi:type="dcterms:W3CDTF">2023-01-18T03:23:51Z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DF9BB53C8BAA4F9C88A01697EB983D7A</vt:lpwstr>
  </property>
</Properties>
</file>