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cs="Times New Roman"/>
          <w:b/>
          <w:bCs/>
          <w:sz w:val="44"/>
          <w:szCs w:val="44"/>
        </w:rPr>
      </w:pPr>
      <w:bookmarkStart w:id="0" w:name="_Toc22524"/>
    </w:p>
    <w:p>
      <w:pPr>
        <w:pStyle w:val="2"/>
        <w:rPr>
          <w:rFonts w:cs="Times New Roman"/>
          <w:b/>
          <w:bCs/>
          <w:sz w:val="44"/>
          <w:szCs w:val="44"/>
        </w:rPr>
      </w:pPr>
    </w:p>
    <w:p>
      <w:pPr>
        <w:pStyle w:val="2"/>
        <w:rPr>
          <w:rFonts w:cs="Times New Roman"/>
          <w:b/>
          <w:bCs/>
          <w:sz w:val="44"/>
          <w:szCs w:val="44"/>
        </w:rPr>
      </w:pPr>
    </w:p>
    <w:bookmarkEnd w:id="0"/>
    <w:p>
      <w:pPr>
        <w:spacing w:line="240" w:lineRule="auto"/>
        <w:ind w:firstLine="0" w:firstLineChars="0"/>
        <w:jc w:val="center"/>
        <w:rPr>
          <w:rFonts w:hint="eastAsia" w:ascii="宋体" w:hAnsi="宋体" w:eastAsia="宋体" w:cs="宋体"/>
          <w:b/>
          <w:sz w:val="52"/>
          <w:szCs w:val="52"/>
        </w:rPr>
      </w:pPr>
    </w:p>
    <w:p>
      <w:pPr>
        <w:spacing w:line="240" w:lineRule="auto"/>
        <w:ind w:firstLine="0" w:firstLineChars="0"/>
        <w:jc w:val="center"/>
        <w:rPr>
          <w:rFonts w:hint="eastAsia" w:ascii="宋体" w:hAnsi="宋体" w:eastAsia="宋体" w:cs="宋体"/>
          <w:b/>
          <w:sz w:val="52"/>
          <w:szCs w:val="52"/>
        </w:rPr>
      </w:pPr>
      <w:r>
        <w:rPr>
          <w:rFonts w:hint="eastAsia" w:ascii="宋体" w:hAnsi="宋体" w:eastAsia="宋体" w:cs="宋体"/>
          <w:b/>
          <w:sz w:val="52"/>
          <w:szCs w:val="52"/>
        </w:rPr>
        <w:t>梅州市阿里云创新中心</w:t>
      </w:r>
    </w:p>
    <w:p>
      <w:pPr>
        <w:spacing w:line="240" w:lineRule="auto"/>
        <w:ind w:firstLine="0" w:firstLineChars="0"/>
        <w:jc w:val="center"/>
        <w:rPr>
          <w:rFonts w:hint="eastAsia" w:ascii="宋体" w:hAnsi="宋体" w:eastAsia="宋体" w:cs="宋体"/>
          <w:b/>
          <w:sz w:val="52"/>
          <w:szCs w:val="52"/>
        </w:rPr>
      </w:pPr>
      <w:r>
        <w:rPr>
          <w:rFonts w:hint="eastAsia" w:ascii="宋体" w:hAnsi="宋体" w:eastAsia="宋体" w:cs="宋体"/>
          <w:b/>
          <w:sz w:val="52"/>
          <w:szCs w:val="52"/>
        </w:rPr>
        <w:t>重点项目评价报告</w:t>
      </w:r>
    </w:p>
    <w:p>
      <w:pPr>
        <w:spacing w:line="240" w:lineRule="auto"/>
        <w:ind w:firstLine="0" w:firstLineChars="0"/>
        <w:jc w:val="center"/>
        <w:rPr>
          <w:rFonts w:eastAsia="方正小标宋简体" w:cs="Times New Roman"/>
          <w:b/>
          <w:sz w:val="52"/>
          <w:szCs w:val="52"/>
        </w:rPr>
      </w:pPr>
    </w:p>
    <w:p>
      <w:pPr>
        <w:ind w:firstLine="1148"/>
        <w:jc w:val="center"/>
        <w:rPr>
          <w:rFonts w:cs="Times New Roman"/>
          <w:b/>
          <w:sz w:val="52"/>
          <w:szCs w:val="52"/>
        </w:rPr>
      </w:pPr>
    </w:p>
    <w:p>
      <w:pPr>
        <w:pStyle w:val="2"/>
        <w:rPr>
          <w:rFonts w:cs="Times New Roman"/>
          <w:sz w:val="44"/>
          <w:szCs w:val="44"/>
        </w:rPr>
      </w:pPr>
    </w:p>
    <w:p>
      <w:pPr>
        <w:pStyle w:val="2"/>
        <w:rPr>
          <w:rFonts w:cs="Times New Roman"/>
          <w:sz w:val="44"/>
          <w:szCs w:val="44"/>
        </w:rPr>
      </w:pPr>
    </w:p>
    <w:p>
      <w:pPr>
        <w:pStyle w:val="2"/>
        <w:rPr>
          <w:rFonts w:cs="Times New Roman"/>
          <w:sz w:val="44"/>
          <w:szCs w:val="44"/>
        </w:rPr>
      </w:pPr>
    </w:p>
    <w:p>
      <w:pPr>
        <w:pStyle w:val="2"/>
        <w:rPr>
          <w:rFonts w:cs="Times New Roman"/>
          <w:sz w:val="44"/>
          <w:szCs w:val="44"/>
        </w:rPr>
      </w:pPr>
    </w:p>
    <w:p>
      <w:pPr>
        <w:pStyle w:val="2"/>
        <w:rPr>
          <w:rFonts w:cs="Times New Roman"/>
          <w:sz w:val="44"/>
          <w:szCs w:val="44"/>
        </w:rPr>
      </w:pPr>
    </w:p>
    <w:p>
      <w:pPr>
        <w:pStyle w:val="2"/>
      </w:pPr>
    </w:p>
    <w:p>
      <w:pPr>
        <w:pStyle w:val="2"/>
        <w:rPr>
          <w:rFonts w:hint="eastAsia" w:eastAsia="华文中宋D..."/>
          <w:lang w:eastAsia="zh-CN"/>
        </w:rPr>
      </w:pPr>
    </w:p>
    <w:p>
      <w:pPr>
        <w:ind w:left="1280" w:leftChars="400" w:firstLine="0" w:firstLineChars="0"/>
        <w:jc w:val="both"/>
        <w:rPr>
          <w:rFonts w:hint="eastAsia" w:ascii="宋体" w:hAnsi="宋体" w:eastAsia="宋体" w:cs="宋体"/>
          <w:b/>
          <w:bCs/>
        </w:rPr>
      </w:pPr>
      <w:r>
        <w:rPr>
          <w:rFonts w:hint="eastAsia" w:ascii="宋体" w:hAnsi="宋体" w:eastAsia="宋体" w:cs="宋体"/>
          <w:b/>
          <w:bCs/>
          <w:lang w:eastAsia="zh-CN"/>
        </w:rPr>
        <w:t>评价机构：</w:t>
      </w:r>
      <w:r>
        <w:rPr>
          <w:rFonts w:hint="eastAsia" w:ascii="宋体" w:hAnsi="宋体" w:eastAsia="宋体" w:cs="宋体"/>
          <w:b/>
          <w:bCs/>
        </w:rPr>
        <w:t>深圳佳评绩效评价咨询有限公司</w:t>
      </w:r>
    </w:p>
    <w:p>
      <w:pPr>
        <w:ind w:left="1280" w:leftChars="400" w:firstLine="0" w:firstLineChars="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机构负责人：</w:t>
      </w:r>
    </w:p>
    <w:p>
      <w:pPr>
        <w:pStyle w:val="2"/>
        <w:ind w:leftChars="4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项目负责人：</w:t>
      </w:r>
    </w:p>
    <w:p>
      <w:pPr>
        <w:pStyle w:val="2"/>
        <w:ind w:leftChars="400"/>
        <w:rPr>
          <w:rFonts w:hint="default" w:eastAsia="宋体"/>
          <w:b/>
          <w:bCs/>
          <w:sz w:val="32"/>
          <w:szCs w:val="32"/>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32"/>
          <w:szCs w:val="32"/>
          <w:lang w:eastAsia="zh-CN"/>
        </w:rPr>
        <w:t>评价日期：</w:t>
      </w:r>
      <w:r>
        <w:rPr>
          <w:rFonts w:hint="eastAsia" w:ascii="宋体" w:hAnsi="宋体" w:eastAsia="宋体" w:cs="宋体"/>
          <w:b/>
          <w:bCs/>
          <w:sz w:val="32"/>
          <w:szCs w:val="32"/>
          <w:lang w:val="en-US" w:eastAsia="zh-CN"/>
        </w:rPr>
        <w:t>2022年11月</w:t>
      </w:r>
    </w:p>
    <w:p>
      <w:pPr>
        <w:adjustRightInd w:val="0"/>
        <w:snapToGrid w:val="0"/>
        <w:ind w:left="0" w:firstLine="0" w:firstLineChars="0"/>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目  录</w:t>
      </w:r>
    </w:p>
    <w:sdt>
      <w:sdtPr>
        <w:rPr>
          <w:rFonts w:ascii="宋体" w:hAnsi="宋体" w:eastAsia="宋体" w:cstheme="minorHAnsi"/>
          <w:bCs/>
          <w:caps/>
          <w:sz w:val="21"/>
        </w:rPr>
        <w:id w:val="147461626"/>
        <w:docPartObj>
          <w:docPartGallery w:val="Table of Contents"/>
          <w:docPartUnique/>
        </w:docPartObj>
      </w:sdtPr>
      <w:sdtEndPr>
        <w:rPr>
          <w:rFonts w:ascii="仿宋_GB2312" w:eastAsia="仿宋_GB2312" w:hAnsiTheme="minorHAnsi" w:cstheme="minorHAnsi"/>
          <w:bCs/>
          <w:caps/>
          <w:sz w:val="32"/>
        </w:rPr>
      </w:sdtEndPr>
      <w:sdtContent>
        <w:p>
          <w:pPr>
            <w:spacing w:line="240" w:lineRule="auto"/>
            <w:ind w:left="0" w:firstLine="0" w:firstLineChars="0"/>
            <w:jc w:val="left"/>
            <w:rPr>
              <w:rFonts w:hint="eastAsia" w:ascii="宋体" w:hAnsi="宋体" w:eastAsia="宋体" w:cs="宋体"/>
            </w:rPr>
          </w:pPr>
          <w:r>
            <w:fldChar w:fldCharType="begin"/>
          </w:r>
          <w:r>
            <w:instrText xml:space="preserve">TOC \o "1-3" \h \u </w:instrText>
          </w:r>
          <w: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"_Toc18943" </w:instrText>
          </w:r>
          <w:r>
            <w:rPr>
              <w:rFonts w:hint="eastAsia" w:ascii="宋体" w:hAnsi="宋体" w:eastAsia="宋体" w:cs="宋体"/>
              <w:b/>
              <w:bCs/>
            </w:rPr>
            <w:fldChar w:fldCharType="separate"/>
          </w:r>
          <w:r>
            <w:rPr>
              <w:rFonts w:hint="eastAsia" w:ascii="宋体" w:hAnsi="宋体" w:eastAsia="宋体" w:cs="宋体"/>
              <w:b/>
              <w:bCs/>
              <w:szCs w:val="22"/>
            </w:rPr>
            <w:t xml:space="preserve">摘 </w:t>
          </w:r>
          <w:r>
            <w:rPr>
              <w:rFonts w:hint="eastAsia" w:ascii="宋体" w:hAnsi="宋体" w:eastAsia="宋体" w:cs="宋体"/>
              <w:b/>
              <w:bCs/>
              <w:szCs w:val="22"/>
              <w:lang w:val="en-US" w:eastAsia="zh-CN"/>
            </w:rPr>
            <w:t xml:space="preserve"> </w:t>
          </w:r>
          <w:r>
            <w:rPr>
              <w:rFonts w:hint="eastAsia" w:ascii="宋体" w:hAnsi="宋体" w:eastAsia="宋体" w:cs="宋体"/>
              <w:b/>
              <w:bCs/>
              <w:szCs w:val="22"/>
            </w:rPr>
            <w:t>要</w:t>
          </w:r>
          <w:r>
            <w:rPr>
              <w:rFonts w:hint="eastAsia" w:ascii="宋体" w:hAnsi="宋体" w:eastAsia="宋体" w:cs="宋体"/>
              <w:b/>
              <w:bCs/>
              <w:szCs w:val="22"/>
            </w:rPr>
            <w:fldChar w:fldCharType="end"/>
          </w:r>
          <w:r>
            <w:rPr>
              <w:rFonts w:hint="eastAsia" w:ascii="宋体" w:hAnsi="宋体" w:eastAsia="宋体" w:cs="宋体"/>
              <w:b/>
              <w:bCs/>
              <w:szCs w:val="22"/>
              <w:lang w:val="en-US" w:eastAsia="zh-CN"/>
            </w:rPr>
            <w:t>............................................</w:t>
          </w:r>
          <w:r>
            <w:rPr>
              <w:rFonts w:hint="eastAsia" w:ascii="宋体" w:hAnsi="宋体" w:eastAsia="宋体" w:cs="宋体"/>
              <w:szCs w:val="22"/>
              <w:lang w:val="en-US" w:eastAsia="zh-CN"/>
            </w:rPr>
            <w:t xml:space="preserve"> </w:t>
          </w:r>
          <w:r>
            <w:rPr>
              <w:rFonts w:hint="eastAsia" w:ascii="宋体" w:hAnsi="宋体" w:eastAsia="宋体" w:cs="宋体"/>
              <w:szCs w:val="22"/>
            </w:rPr>
            <w:fldChar w:fldCharType="begin"/>
          </w:r>
          <w:r>
            <w:rPr>
              <w:rFonts w:hint="eastAsia" w:ascii="宋体" w:hAnsi="宋体" w:eastAsia="宋体" w:cs="宋体"/>
              <w:szCs w:val="22"/>
            </w:rPr>
            <w:instrText xml:space="preserve"> = 1 \* ROMAN \* MERGEFORMAT </w:instrText>
          </w:r>
          <w:r>
            <w:rPr>
              <w:rFonts w:hint="eastAsia" w:ascii="宋体" w:hAnsi="宋体" w:eastAsia="宋体" w:cs="宋体"/>
              <w:szCs w:val="22"/>
            </w:rPr>
            <w:fldChar w:fldCharType="separate"/>
          </w:r>
          <w:r>
            <w:t>I</w:t>
          </w:r>
          <w:r>
            <w:rPr>
              <w:rFonts w:hint="eastAsia" w:ascii="宋体" w:hAnsi="宋体" w:eastAsia="宋体" w:cs="宋体"/>
              <w:szCs w:val="22"/>
            </w:rPr>
            <w:fldChar w:fldCharType="end"/>
          </w:r>
        </w:p>
        <w:p>
          <w:pPr>
            <w:pStyle w:val="20"/>
            <w:tabs>
              <w:tab w:val="right" w:leader="dot" w:pos="8363"/>
            </w:tabs>
            <w:spacing w:before="0" w:after="0" w:line="312" w:lineRule="auto"/>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"_Toc15559" </w:instrText>
          </w:r>
          <w:r>
            <w:rPr>
              <w:rFonts w:hint="eastAsia" w:ascii="宋体" w:hAnsi="宋体" w:eastAsia="宋体" w:cs="宋体"/>
            </w:rPr>
            <w:fldChar w:fldCharType="separate"/>
          </w:r>
          <w:r>
            <w:rPr>
              <w:rFonts w:hint="eastAsia" w:ascii="宋体" w:hAnsi="宋体" w:eastAsia="宋体" w:cs="宋体"/>
              <w:b/>
              <w:bCs w:val="0"/>
            </w:rPr>
            <w:t>一、项目概况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_Toc15559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"_Toc14920" </w:instrText>
          </w:r>
          <w:r>
            <w:rPr>
              <w:rFonts w:hint="eastAsia" w:ascii="宋体" w:hAnsi="宋体" w:eastAsia="宋体" w:cs="宋体"/>
            </w:rPr>
            <w:fldChar w:fldCharType="separate"/>
          </w:r>
          <w:r>
            <w:rPr>
              <w:rFonts w:hint="eastAsia" w:ascii="宋体" w:hAnsi="宋体" w:eastAsia="宋体" w:cs="宋体"/>
            </w:rPr>
            <w:t>（一）项目基本情况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"_Toc24148" </w:instrText>
          </w:r>
          <w:r>
            <w:rPr>
              <w:rFonts w:hint="eastAsia" w:ascii="宋体" w:hAnsi="宋体" w:eastAsia="宋体" w:cs="宋体"/>
            </w:rPr>
            <w:fldChar w:fldCharType="separate"/>
          </w:r>
          <w:r>
            <w:rPr>
              <w:rFonts w:hint="eastAsia" w:ascii="宋体" w:hAnsi="宋体" w:eastAsia="宋体" w:cs="宋体"/>
            </w:rPr>
            <w:t>（二）项目绩效目标情况</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p>
        <w:p>
          <w:pPr>
            <w:pStyle w:val="20"/>
            <w:tabs>
              <w:tab w:val="right" w:leader="dot" w:pos="8363"/>
            </w:tabs>
            <w:spacing w:before="0" w:after="0" w:line="312" w:lineRule="auto"/>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"_Toc26771" </w:instrText>
          </w:r>
          <w:r>
            <w:rPr>
              <w:rFonts w:hint="eastAsia" w:ascii="宋体" w:hAnsi="宋体" w:eastAsia="宋体" w:cs="宋体"/>
            </w:rPr>
            <w:fldChar w:fldCharType="separate"/>
          </w:r>
          <w:r>
            <w:rPr>
              <w:rFonts w:hint="eastAsia" w:ascii="宋体" w:hAnsi="宋体" w:eastAsia="宋体" w:cs="宋体"/>
              <w:b/>
              <w:bCs w:val="0"/>
            </w:rPr>
            <w:t>二、评价结论</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p>
        <w:p>
          <w:pPr>
            <w:pStyle w:val="20"/>
            <w:tabs>
              <w:tab w:val="right" w:leader="dot" w:pos="8363"/>
            </w:tabs>
            <w:spacing w:before="0" w:after="0" w:line="312" w:lineRule="auto"/>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"_Toc1278" </w:instrText>
          </w:r>
          <w:r>
            <w:rPr>
              <w:rFonts w:hint="eastAsia" w:ascii="宋体" w:hAnsi="宋体" w:eastAsia="宋体" w:cs="宋体"/>
            </w:rPr>
            <w:fldChar w:fldCharType="separate"/>
          </w:r>
          <w:r>
            <w:rPr>
              <w:rFonts w:hint="eastAsia" w:ascii="宋体" w:hAnsi="宋体" w:eastAsia="宋体" w:cs="宋体"/>
              <w:b/>
              <w:bCs w:val="0"/>
            </w:rPr>
            <w:t>三、项目绩效指标分析</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"_Toc17178" </w:instrText>
          </w:r>
          <w:r>
            <w:rPr>
              <w:rFonts w:hint="eastAsia" w:ascii="宋体" w:hAnsi="宋体" w:eastAsia="宋体" w:cs="宋体"/>
            </w:rPr>
            <w:fldChar w:fldCharType="separate"/>
          </w:r>
          <w:r>
            <w:rPr>
              <w:rFonts w:hint="eastAsia" w:ascii="宋体" w:hAnsi="宋体" w:eastAsia="宋体" w:cs="宋体"/>
            </w:rPr>
            <w:t>（一）决策分析</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"_Toc5884" </w:instrText>
          </w:r>
          <w:r>
            <w:rPr>
              <w:rFonts w:hint="eastAsia" w:ascii="宋体" w:hAnsi="宋体" w:eastAsia="宋体" w:cs="宋体"/>
            </w:rPr>
            <w:fldChar w:fldCharType="separate"/>
          </w:r>
          <w:r>
            <w:rPr>
              <w:rFonts w:hint="eastAsia" w:ascii="宋体" w:hAnsi="宋体" w:eastAsia="宋体" w:cs="宋体"/>
            </w:rPr>
            <w:t>（二）管理分析</w:t>
          </w:r>
          <w:r>
            <w:rPr>
              <w:rFonts w:hint="eastAsia" w:ascii="宋体" w:hAnsi="宋体" w:eastAsia="宋体" w:cs="宋体"/>
            </w:rPr>
            <w:tab/>
          </w:r>
          <w:r>
            <w:rPr>
              <w:rFonts w:hint="eastAsia" w:ascii="宋体" w:hAnsi="宋体" w:eastAsia="宋体" w:cs="宋体"/>
              <w:lang w:val="en-US" w:eastAsia="zh-CN"/>
            </w:rPr>
            <w:t>8</w:t>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"_Toc21695" </w:instrText>
          </w:r>
          <w:r>
            <w:rPr>
              <w:rFonts w:hint="eastAsia" w:ascii="宋体" w:hAnsi="宋体" w:eastAsia="宋体" w:cs="宋体"/>
            </w:rPr>
            <w:fldChar w:fldCharType="separate"/>
          </w:r>
          <w:r>
            <w:rPr>
              <w:rFonts w:hint="eastAsia" w:ascii="宋体" w:hAnsi="宋体" w:eastAsia="宋体" w:cs="宋体"/>
            </w:rPr>
            <w:t>（三）产出分析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_Toc21695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363"/>
            </w:tabs>
            <w:spacing w:line="312" w:lineRule="auto"/>
            <w:ind w:left="0" w:firstLine="640" w:firstLineChars="200"/>
            <w:jc w:val="both"/>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"_Toc1852" </w:instrText>
          </w:r>
          <w:r>
            <w:rPr>
              <w:rFonts w:hint="eastAsia" w:ascii="宋体" w:hAnsi="宋体" w:eastAsia="宋体" w:cs="宋体"/>
            </w:rPr>
            <w:fldChar w:fldCharType="separate"/>
          </w:r>
          <w:r>
            <w:rPr>
              <w:rFonts w:hint="eastAsia" w:ascii="宋体" w:hAnsi="宋体" w:eastAsia="宋体" w:cs="宋体"/>
            </w:rPr>
            <w:t>（四）效益分析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8363"/>
            </w:tabs>
            <w:spacing w:before="0" w:after="0" w:line="312" w:lineRule="auto"/>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"_Toc14590" </w:instrText>
          </w:r>
          <w:r>
            <w:rPr>
              <w:rFonts w:hint="eastAsia" w:ascii="宋体" w:hAnsi="宋体" w:eastAsia="宋体" w:cs="宋体"/>
            </w:rPr>
            <w:fldChar w:fldCharType="separate"/>
          </w:r>
          <w:r>
            <w:rPr>
              <w:rFonts w:hint="eastAsia" w:ascii="宋体" w:hAnsi="宋体" w:eastAsia="宋体" w:cs="宋体"/>
              <w:b/>
              <w:bCs w:val="0"/>
            </w:rPr>
            <w:t>四、主要绩效</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"_Toc11638" </w:instrText>
          </w:r>
          <w:r>
            <w:rPr>
              <w:rFonts w:hint="eastAsia" w:ascii="宋体" w:hAnsi="宋体" w:eastAsia="宋体" w:cs="宋体"/>
            </w:rPr>
            <w:fldChar w:fldCharType="separate"/>
          </w:r>
          <w:r>
            <w:rPr>
              <w:rFonts w:hint="eastAsia" w:ascii="宋体" w:hAnsi="宋体" w:eastAsia="宋体" w:cs="宋体"/>
            </w:rPr>
            <w:t>（一）对创新创业具有一定的宣传作用，营造了创新创业的氛围</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"_Toc13672" </w:instrText>
          </w:r>
          <w:r>
            <w:rPr>
              <w:rFonts w:hint="eastAsia" w:ascii="宋体" w:hAnsi="宋体" w:eastAsia="宋体" w:cs="宋体"/>
            </w:rPr>
            <w:fldChar w:fldCharType="separate"/>
          </w:r>
          <w:r>
            <w:rPr>
              <w:rFonts w:hint="eastAsia" w:ascii="宋体" w:hAnsi="宋体" w:eastAsia="宋体" w:cs="宋体"/>
            </w:rPr>
            <w:t>（二）产生一定的创业潮的社会效应</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0"/>
            <w:tabs>
              <w:tab w:val="right" w:leader="dot" w:pos="8363"/>
            </w:tabs>
            <w:spacing w:before="0" w:after="0" w:line="312" w:lineRule="auto"/>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"_Toc17882" </w:instrText>
          </w:r>
          <w:r>
            <w:rPr>
              <w:rFonts w:hint="eastAsia" w:ascii="宋体" w:hAnsi="宋体" w:eastAsia="宋体" w:cs="宋体"/>
            </w:rPr>
            <w:fldChar w:fldCharType="separate"/>
          </w:r>
          <w:r>
            <w:rPr>
              <w:rFonts w:hint="eastAsia" w:ascii="宋体" w:hAnsi="宋体" w:eastAsia="宋体" w:cs="宋体"/>
              <w:b/>
              <w:bCs w:val="0"/>
            </w:rPr>
            <w:t>五、存在问题</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"_Toc30334" </w:instrText>
          </w:r>
          <w:r>
            <w:rPr>
              <w:rFonts w:hint="eastAsia" w:ascii="宋体" w:hAnsi="宋体" w:eastAsia="宋体" w:cs="宋体"/>
            </w:rPr>
            <w:fldChar w:fldCharType="separate"/>
          </w:r>
          <w:r>
            <w:rPr>
              <w:rFonts w:hint="eastAsia" w:ascii="宋体" w:hAnsi="宋体" w:eastAsia="宋体" w:cs="宋体"/>
            </w:rPr>
            <w:t>（一）原始凭证不齐全</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"_Toc17590" </w:instrText>
          </w:r>
          <w:r>
            <w:rPr>
              <w:rFonts w:hint="eastAsia" w:ascii="宋体" w:hAnsi="宋体" w:eastAsia="宋体" w:cs="宋体"/>
            </w:rPr>
            <w:fldChar w:fldCharType="separate"/>
          </w:r>
          <w:r>
            <w:rPr>
              <w:rFonts w:hint="eastAsia" w:ascii="宋体" w:hAnsi="宋体" w:eastAsia="宋体" w:cs="宋体"/>
            </w:rPr>
            <w:t>（二）未完成引进硕士及以上人才5人的绩效目标</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20"/>
            <w:keepNext w:val="0"/>
            <w:keepLines w:val="0"/>
            <w:pageBreakBefore w:val="0"/>
            <w:widowControl/>
            <w:tabs>
              <w:tab w:val="right" w:leader="dot" w:pos="8363"/>
            </w:tabs>
            <w:kinsoku/>
            <w:wordWrap/>
            <w:overflowPunct/>
            <w:topLinePunct w:val="0"/>
            <w:autoSpaceDE/>
            <w:autoSpaceDN/>
            <w:bidi w:val="0"/>
            <w:adjustRightInd/>
            <w:snapToGrid/>
            <w:spacing w:before="0" w:after="0" w:line="312" w:lineRule="auto"/>
            <w:ind w:firstLine="640" w:firstLineChars="200"/>
            <w:jc w:val="both"/>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"_Toc17590" </w:instrText>
          </w:r>
          <w:r>
            <w:rPr>
              <w:rFonts w:hint="eastAsia" w:ascii="宋体" w:hAnsi="宋体" w:eastAsia="宋体" w:cs="宋体"/>
            </w:rPr>
            <w:fldChar w:fldCharType="separate"/>
          </w:r>
          <w:r>
            <w:rPr>
              <w:rFonts w:hint="eastAsia" w:ascii="宋体" w:hAnsi="宋体" w:eastAsia="宋体" w:cs="宋体"/>
              <w:lang w:val="en-US" w:eastAsia="zh-CN"/>
            </w:rPr>
            <w:t>（三）第二年度150万元的阿里云代金券发放具有滞后性</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0"/>
            <w:tabs>
              <w:tab w:val="right" w:leader="dot" w:pos="8363"/>
            </w:tabs>
            <w:spacing w:before="0" w:after="0" w:line="312" w:lineRule="auto"/>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"_Toc21669" </w:instrText>
          </w:r>
          <w:r>
            <w:rPr>
              <w:rFonts w:hint="eastAsia" w:ascii="宋体" w:hAnsi="宋体" w:eastAsia="宋体" w:cs="宋体"/>
            </w:rPr>
            <w:fldChar w:fldCharType="separate"/>
          </w:r>
          <w:r>
            <w:rPr>
              <w:rFonts w:hint="eastAsia" w:ascii="宋体" w:hAnsi="宋体" w:eastAsia="宋体" w:cs="宋体"/>
              <w:b/>
              <w:bCs w:val="0"/>
            </w:rPr>
            <w:t>六、相关建议</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"_Toc29669" </w:instrText>
          </w:r>
          <w:r>
            <w:rPr>
              <w:rFonts w:hint="eastAsia" w:ascii="宋体" w:hAnsi="宋体" w:eastAsia="宋体" w:cs="宋体"/>
            </w:rPr>
            <w:fldChar w:fldCharType="separate"/>
          </w:r>
          <w:r>
            <w:rPr>
              <w:rFonts w:hint="eastAsia" w:ascii="宋体" w:hAnsi="宋体" w:eastAsia="宋体" w:cs="宋体"/>
            </w:rPr>
            <w:t>（一）</w:t>
          </w:r>
          <w:r>
            <w:rPr>
              <w:rFonts w:hint="eastAsia" w:ascii="宋体" w:hAnsi="宋体" w:eastAsia="宋体" w:cs="宋体"/>
              <w:lang w:eastAsia="zh-CN"/>
            </w:rPr>
            <w:t>规范整理记账凭证</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"_Toc27759" </w:instrText>
          </w:r>
          <w:r>
            <w:rPr>
              <w:rFonts w:hint="eastAsia" w:ascii="宋体" w:hAnsi="宋体" w:eastAsia="宋体" w:cs="宋体"/>
            </w:rPr>
            <w:fldChar w:fldCharType="separate"/>
          </w:r>
          <w:r>
            <w:rPr>
              <w:rFonts w:hint="eastAsia" w:ascii="宋体" w:hAnsi="宋体" w:eastAsia="宋体" w:cs="宋体"/>
            </w:rPr>
            <w:t>（二）加大对硕士及以上人才的吸引力度</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5"/>
            <w:tabs>
              <w:tab w:val="right" w:leader="dot" w:pos="8363"/>
            </w:tabs>
            <w:spacing w:line="312" w:lineRule="auto"/>
            <w:ind w:left="0" w:firstLine="640" w:firstLineChars="200"/>
            <w:jc w:val="both"/>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"_Toc27759"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）及时落实阿里云代金券发放事项</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6</w:t>
          </w:r>
        </w:p>
        <w:p>
          <w:pPr>
            <w:pStyle w:val="20"/>
            <w:tabs>
              <w:tab w:val="right" w:leader="dot" w:pos="8363"/>
            </w:tabs>
            <w:spacing w:before="0" w:after="0" w:line="312" w:lineRule="auto"/>
            <w:jc w:val="both"/>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"_Toc3735" </w:instrText>
          </w:r>
          <w:r>
            <w:rPr>
              <w:rFonts w:hint="eastAsia" w:ascii="宋体" w:hAnsi="宋体" w:eastAsia="宋体" w:cs="宋体"/>
            </w:rPr>
            <w:fldChar w:fldCharType="separate"/>
          </w:r>
          <w:r>
            <w:rPr>
              <w:rFonts w:hint="eastAsia" w:ascii="宋体" w:hAnsi="宋体" w:eastAsia="宋体" w:cs="宋体"/>
              <w:b/>
              <w:bCs w:val="0"/>
            </w:rPr>
            <w:t>附件1：绩效评价工作开展情况</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18</w:t>
          </w:r>
        </w:p>
        <w:p>
          <w:pPr>
            <w:pStyle w:val="20"/>
            <w:tabs>
              <w:tab w:val="right" w:leader="dot" w:pos="8363"/>
            </w:tabs>
            <w:spacing w:before="0" w:after="0" w:line="312" w:lineRule="auto"/>
            <w:jc w:val="both"/>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"_Toc9934" </w:instrText>
          </w:r>
          <w:r>
            <w:rPr>
              <w:rFonts w:hint="eastAsia" w:ascii="宋体" w:hAnsi="宋体" w:eastAsia="宋体" w:cs="宋体"/>
            </w:rPr>
            <w:fldChar w:fldCharType="separate"/>
          </w:r>
          <w:r>
            <w:rPr>
              <w:rFonts w:hint="eastAsia" w:ascii="宋体" w:hAnsi="宋体" w:eastAsia="宋体" w:cs="宋体"/>
              <w:b/>
              <w:bCs w:val="0"/>
            </w:rPr>
            <w:t>附件2：梅州市财政支出项目重点绩效评价指标评分表</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28</w:t>
          </w:r>
        </w:p>
        <w:p>
          <w:pPr>
            <w:pStyle w:val="20"/>
            <w:tabs>
              <w:tab w:val="right" w:leader="dot" w:pos="8363"/>
            </w:tabs>
            <w:spacing w:before="0" w:after="0" w:line="312" w:lineRule="auto"/>
            <w:jc w:val="both"/>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"_Toc29366" </w:instrText>
          </w:r>
          <w:r>
            <w:rPr>
              <w:rFonts w:hint="eastAsia" w:ascii="宋体" w:hAnsi="宋体" w:eastAsia="宋体" w:cs="宋体"/>
            </w:rPr>
            <w:fldChar w:fldCharType="separate"/>
          </w:r>
          <w:r>
            <w:rPr>
              <w:rFonts w:hint="eastAsia" w:ascii="宋体" w:hAnsi="宋体" w:eastAsia="宋体" w:cs="宋体"/>
              <w:b/>
              <w:bCs w:val="0"/>
            </w:rPr>
            <w:t>附件3：公众或服务对象满意度调查结果</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3</w:t>
          </w:r>
        </w:p>
        <w:p>
          <w:pPr>
            <w:pStyle w:val="20"/>
            <w:spacing w:line="26" w:lineRule="atLeast"/>
            <w:jc w:val="both"/>
          </w:pPr>
          <w:r>
            <w:fldChar w:fldCharType="end"/>
          </w:r>
        </w:p>
      </w:sdtContent>
    </w:sdt>
    <w:p>
      <w:pPr>
        <w:pStyle w:val="25"/>
        <w:tabs>
          <w:tab w:val="right" w:leader="dot" w:pos="8353"/>
        </w:tabs>
        <w:spacing w:line="288" w:lineRule="auto"/>
        <w:ind w:left="0" w:firstLine="0" w:firstLineChars="0"/>
        <w:jc w:val="both"/>
        <w:rPr>
          <w:rFonts w:ascii="华文中宋D..." w:hAnsi="Times New Roman" w:eastAsia="华文中宋D..." w:cs="华文中宋D..."/>
          <w:b/>
          <w:color w:val="000000"/>
          <w:sz w:val="24"/>
          <w:szCs w:val="24"/>
        </w:rPr>
      </w:pPr>
      <w:r>
        <w:fldChar w:fldCharType="begin"/>
      </w:r>
      <w:r>
        <w:instrText xml:space="preserve"> TOC \o "1-2" \h \z \u </w:instrText>
      </w:r>
      <w:r>
        <w:fldChar w:fldCharType="separate"/>
      </w:r>
    </w:p>
    <w:p>
      <w:pPr>
        <w:pStyle w:val="2"/>
        <w:jc w:val="both"/>
        <w:rPr>
          <w:b/>
        </w:rPr>
        <w:sectPr>
          <w:headerReference r:id="rId11" w:type="default"/>
          <w:footerReference r:id="rId12" w:type="default"/>
          <w:pgSz w:w="11906" w:h="16838"/>
          <w:pgMar w:top="1440" w:right="1700" w:bottom="1440" w:left="1843" w:header="851" w:footer="992" w:gutter="0"/>
          <w:pgBorders>
            <w:top w:val="none" w:sz="0" w:space="0"/>
            <w:left w:val="none" w:sz="0" w:space="0"/>
            <w:bottom w:val="none" w:sz="0" w:space="0"/>
            <w:right w:val="none" w:sz="0" w:space="0"/>
          </w:pgBorders>
          <w:cols w:space="425" w:num="1"/>
          <w:docGrid w:type="lines" w:linePitch="435" w:charSpace="0"/>
        </w:sectPr>
      </w:pPr>
    </w:p>
    <w:p>
      <w:pPr>
        <w:adjustRightInd w:val="0"/>
        <w:snapToGrid w:val="0"/>
        <w:ind w:left="0" w:firstLine="0" w:firstLineChars="0"/>
        <w:jc w:val="center"/>
        <w:outlineLvl w:val="0"/>
        <w:rPr>
          <w:rFonts w:hint="eastAsia" w:ascii="仿宋" w:hAnsi="仿宋" w:eastAsia="仿宋" w:cs="仿宋"/>
          <w:sz w:val="44"/>
          <w:szCs w:val="44"/>
        </w:rPr>
      </w:pPr>
      <w:bookmarkStart w:id="1" w:name="_Toc18943"/>
      <w:r>
        <w:rPr>
          <w:rFonts w:cs="Times New Roman"/>
        </w:rPr>
        <w:fldChar w:fldCharType="end"/>
      </w:r>
      <w:bookmarkStart w:id="2" w:name="_Toc99814039"/>
      <w:bookmarkStart w:id="3" w:name="_Toc21297"/>
      <w:bookmarkStart w:id="4" w:name="_Toc99813890"/>
      <w:bookmarkStart w:id="5" w:name="_Toc99814312"/>
      <w:r>
        <w:rPr>
          <w:rFonts w:hint="eastAsia" w:asciiTheme="majorEastAsia" w:hAnsiTheme="majorEastAsia" w:eastAsiaTheme="majorEastAsia" w:cstheme="majorEastAsia"/>
          <w:b/>
          <w:bCs/>
          <w:sz w:val="44"/>
          <w:szCs w:val="44"/>
        </w:rPr>
        <w:t>摘  要</w:t>
      </w:r>
      <w:bookmarkEnd w:id="1"/>
      <w:bookmarkEnd w:id="2"/>
      <w:bookmarkEnd w:id="3"/>
      <w:bookmarkEnd w:id="4"/>
      <w:bookmarkEnd w:id="5"/>
    </w:p>
    <w:p>
      <w:pPr>
        <w:keepNext w:val="0"/>
        <w:keepLines w:val="0"/>
        <w:pageBreakBefore w:val="0"/>
        <w:widowControl/>
        <w:kinsoku/>
        <w:wordWrap/>
        <w:overflowPunct/>
        <w:topLinePunct w:val="0"/>
        <w:autoSpaceDE/>
        <w:autoSpaceDN/>
        <w:bidi w:val="0"/>
        <w:adjustRightInd w:val="0"/>
        <w:snapToGrid w:val="0"/>
        <w:ind w:left="0" w:firstLine="640" w:firstLineChars="200"/>
        <w:jc w:val="both"/>
        <w:textAlignment w:val="auto"/>
        <w:rPr>
          <w:rFonts w:hint="eastAsia" w:ascii="宋体" w:hAnsi="宋体" w:eastAsia="宋体" w:cs="宋体"/>
        </w:rPr>
      </w:pPr>
      <w:r>
        <w:rPr>
          <w:rFonts w:hint="eastAsia" w:ascii="宋体" w:hAnsi="宋体" w:eastAsia="宋体" w:cs="宋体"/>
        </w:rPr>
        <w:t>为贯彻落实党的十九大关于全面实施绩效管理的精神,根据《梅州市财政局关于做好202</w:t>
      </w:r>
      <w:r>
        <w:rPr>
          <w:rFonts w:hint="eastAsia" w:ascii="宋体" w:hAnsi="宋体" w:eastAsia="宋体" w:cs="宋体"/>
          <w:lang w:val="en-US" w:eastAsia="zh-CN"/>
        </w:rPr>
        <w:t>2</w:t>
      </w:r>
      <w:r>
        <w:rPr>
          <w:rFonts w:hint="eastAsia" w:ascii="宋体" w:hAnsi="宋体" w:eastAsia="宋体" w:cs="宋体"/>
        </w:rPr>
        <w:t>年市级财政重点绩效评价工作的通知》（</w:t>
      </w:r>
      <w:bookmarkStart w:id="6" w:name="_Hlk54172886"/>
      <w:r>
        <w:rPr>
          <w:rFonts w:hint="eastAsia" w:ascii="宋体" w:hAnsi="宋体" w:eastAsia="宋体" w:cs="宋体"/>
        </w:rPr>
        <w:t>梅市财评〔202</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号</w:t>
      </w:r>
      <w:bookmarkEnd w:id="6"/>
      <w:r>
        <w:rPr>
          <w:rFonts w:hint="eastAsia" w:ascii="宋体" w:hAnsi="宋体" w:eastAsia="宋体" w:cs="宋体"/>
        </w:rPr>
        <w:t>）的要求，梅州市财政局（以下简称为“市财政局”）委托深圳佳评绩效评价咨询有限公司（以下简称“我方”）开展202</w:t>
      </w:r>
      <w:r>
        <w:rPr>
          <w:rFonts w:hint="eastAsia" w:ascii="宋体" w:hAnsi="宋体" w:eastAsia="宋体" w:cs="宋体"/>
          <w:lang w:val="en-US" w:eastAsia="zh-CN"/>
        </w:rPr>
        <w:t>2</w:t>
      </w:r>
      <w:r>
        <w:rPr>
          <w:rFonts w:hint="eastAsia" w:ascii="宋体" w:hAnsi="宋体" w:eastAsia="宋体" w:cs="宋体"/>
        </w:rPr>
        <w:t>年度市</w:t>
      </w:r>
      <w:r>
        <w:rPr>
          <w:rFonts w:hint="eastAsia" w:ascii="宋体" w:hAnsi="宋体" w:eastAsia="宋体" w:cs="宋体"/>
          <w:lang w:eastAsia="zh-CN"/>
        </w:rPr>
        <w:t>级财政</w:t>
      </w:r>
      <w:r>
        <w:rPr>
          <w:rFonts w:hint="eastAsia" w:ascii="宋体" w:hAnsi="宋体" w:eastAsia="宋体" w:cs="宋体"/>
        </w:rPr>
        <w:t>重点项目绩效评价工作。</w:t>
      </w:r>
    </w:p>
    <w:p>
      <w:pPr>
        <w:keepNext w:val="0"/>
        <w:keepLines w:val="0"/>
        <w:pageBreakBefore w:val="0"/>
        <w:widowControl/>
        <w:kinsoku/>
        <w:wordWrap/>
        <w:overflowPunct/>
        <w:topLinePunct w:val="0"/>
        <w:autoSpaceDE/>
        <w:autoSpaceDN/>
        <w:bidi w:val="0"/>
        <w:adjustRightInd w:val="0"/>
        <w:snapToGrid w:val="0"/>
        <w:ind w:left="0" w:firstLine="640" w:firstLineChars="200"/>
        <w:jc w:val="both"/>
        <w:textAlignment w:val="auto"/>
        <w:rPr>
          <w:rFonts w:hint="eastAsia" w:ascii="宋体" w:hAnsi="宋体" w:eastAsia="宋体" w:cs="宋体"/>
        </w:rPr>
      </w:pPr>
      <w:r>
        <w:rPr>
          <w:rFonts w:hint="eastAsia" w:ascii="宋体" w:hAnsi="宋体" w:eastAsia="宋体" w:cs="宋体"/>
        </w:rPr>
        <w:t>本次对梅州市工业和信息化局（以下简称“市</w:t>
      </w:r>
      <w:r>
        <w:rPr>
          <w:rFonts w:hint="eastAsia" w:ascii="宋体" w:hAnsi="宋体" w:eastAsia="宋体" w:cs="宋体"/>
          <w:lang w:eastAsia="zh-CN"/>
        </w:rPr>
        <w:t>工信</w:t>
      </w:r>
      <w:r>
        <w:rPr>
          <w:rFonts w:hint="eastAsia" w:ascii="宋体" w:hAnsi="宋体" w:eastAsia="宋体" w:cs="宋体"/>
        </w:rPr>
        <w:t>局”）</w:t>
      </w:r>
      <w:r>
        <w:rPr>
          <w:rFonts w:hint="eastAsia" w:ascii="宋体" w:hAnsi="宋体" w:eastAsia="宋体" w:cs="宋体"/>
          <w:lang w:eastAsia="zh-CN"/>
        </w:rPr>
        <w:t>负责实施的“</w:t>
      </w:r>
      <w:r>
        <w:rPr>
          <w:rFonts w:hint="eastAsia" w:ascii="宋体" w:hAnsi="宋体" w:eastAsia="宋体" w:cs="宋体"/>
        </w:rPr>
        <w:t>梅州市阿里云创新中心</w:t>
      </w:r>
      <w:r>
        <w:rPr>
          <w:rFonts w:hint="eastAsia" w:ascii="宋体" w:hAnsi="宋体" w:eastAsia="宋体" w:cs="宋体"/>
          <w:lang w:eastAsia="zh-CN"/>
        </w:rPr>
        <w:t>”重点项目</w:t>
      </w:r>
      <w:r>
        <w:rPr>
          <w:rFonts w:hint="eastAsia" w:ascii="宋体" w:hAnsi="宋体" w:eastAsia="宋体" w:cs="宋体"/>
        </w:rPr>
        <w:t>进行绩效评价，预算总金额为</w:t>
      </w:r>
      <w:r>
        <w:rPr>
          <w:rFonts w:hint="eastAsia" w:ascii="宋体" w:hAnsi="宋体" w:eastAsia="宋体" w:cs="宋体"/>
          <w:lang w:val="en-US" w:eastAsia="zh-CN"/>
        </w:rPr>
        <w:t>175</w:t>
      </w:r>
      <w:r>
        <w:rPr>
          <w:rFonts w:hint="eastAsia" w:ascii="宋体" w:hAnsi="宋体" w:eastAsia="宋体" w:cs="宋体"/>
        </w:rPr>
        <w:t>万元，本次绩效评价范围内的实际支出金额为</w:t>
      </w:r>
      <w:r>
        <w:rPr>
          <w:rFonts w:hint="eastAsia" w:ascii="宋体" w:hAnsi="宋体" w:eastAsia="宋体" w:cs="宋体"/>
          <w:lang w:val="en-US" w:eastAsia="zh-CN"/>
        </w:rPr>
        <w:t>175</w:t>
      </w:r>
      <w:r>
        <w:rPr>
          <w:rFonts w:hint="eastAsia" w:ascii="宋体" w:hAnsi="宋体" w:eastAsia="宋体" w:cs="宋体"/>
        </w:rPr>
        <w:t>万元。本项目评价基准日为</w:t>
      </w: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w:t>
      </w:r>
      <w:r>
        <w:rPr>
          <w:rFonts w:hint="eastAsia" w:ascii="宋体" w:hAnsi="宋体" w:eastAsia="宋体" w:cs="宋体"/>
          <w:color w:val="auto"/>
          <w:lang w:val="en-US" w:eastAsia="zh-CN"/>
        </w:rPr>
        <w:t>5</w:t>
      </w:r>
      <w:r>
        <w:rPr>
          <w:rFonts w:hint="eastAsia" w:ascii="宋体" w:hAnsi="宋体" w:eastAsia="宋体" w:cs="宋体"/>
          <w:color w:val="auto"/>
        </w:rPr>
        <w:t>月</w:t>
      </w:r>
      <w:r>
        <w:rPr>
          <w:rFonts w:hint="eastAsia" w:ascii="宋体" w:hAnsi="宋体" w:eastAsia="宋体" w:cs="宋体"/>
          <w:color w:val="auto"/>
          <w:lang w:val="en-US" w:eastAsia="zh-CN"/>
        </w:rPr>
        <w:t>7</w:t>
      </w:r>
      <w:r>
        <w:rPr>
          <w:rFonts w:hint="eastAsia" w:ascii="宋体" w:hAnsi="宋体" w:eastAsia="宋体" w:cs="宋体"/>
          <w:color w:val="auto"/>
        </w:rPr>
        <w:t>日</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val="0"/>
        <w:snapToGrid w:val="0"/>
        <w:ind w:left="0" w:firstLine="640" w:firstLineChars="200"/>
        <w:jc w:val="both"/>
        <w:textAlignment w:val="auto"/>
        <w:rPr>
          <w:rFonts w:hint="eastAsia" w:ascii="宋体" w:hAnsi="宋体" w:eastAsia="宋体" w:cs="宋体"/>
        </w:rPr>
      </w:pPr>
      <w:r>
        <w:rPr>
          <w:rFonts w:hint="eastAsia" w:ascii="宋体" w:hAnsi="宋体" w:eastAsia="宋体" w:cs="宋体"/>
        </w:rPr>
        <w:t>根据市财政局要求以及合同约定，我方遵循“客观、公正、科学、规范”的原则，组织</w:t>
      </w:r>
      <w:r>
        <w:rPr>
          <w:rFonts w:hint="eastAsia" w:ascii="宋体" w:hAnsi="宋体" w:eastAsia="宋体" w:cs="宋体"/>
          <w:lang w:val="en-US" w:eastAsia="zh-CN"/>
        </w:rPr>
        <w:t>5</w:t>
      </w:r>
      <w:r>
        <w:rPr>
          <w:rFonts w:hint="eastAsia" w:ascii="宋体" w:hAnsi="宋体" w:eastAsia="宋体" w:cs="宋体"/>
        </w:rPr>
        <w:t>名</w:t>
      </w:r>
      <w:r>
        <w:rPr>
          <w:rFonts w:hint="eastAsia" w:ascii="宋体" w:hAnsi="宋体" w:eastAsia="宋体" w:cs="宋体"/>
          <w:lang w:eastAsia="zh-CN"/>
        </w:rPr>
        <w:t>成员</w:t>
      </w:r>
      <w:r>
        <w:rPr>
          <w:rFonts w:hint="eastAsia" w:ascii="宋体" w:hAnsi="宋体" w:eastAsia="宋体" w:cs="宋体"/>
        </w:rPr>
        <w:t>成立</w:t>
      </w:r>
      <w:r>
        <w:rPr>
          <w:rFonts w:hint="eastAsia" w:ascii="宋体" w:hAnsi="宋体" w:eastAsia="宋体" w:cs="宋体"/>
          <w:lang w:eastAsia="zh-CN"/>
        </w:rPr>
        <w:t>评价</w:t>
      </w:r>
      <w:r>
        <w:rPr>
          <w:rFonts w:hint="eastAsia" w:ascii="宋体" w:hAnsi="宋体" w:eastAsia="宋体" w:cs="宋体"/>
        </w:rPr>
        <w:t>组，对项目的决策、管理、产出、效益等方面进行综合评价。本次财政资金支出项目绩效评价等级分为优、良、中、差四个等级，我方对项目单位报送的自评资料及相关佐证材料进行整理后，通过书面评价、现场评价等程序形成</w:t>
      </w:r>
      <w:r>
        <w:rPr>
          <w:rFonts w:hint="eastAsia" w:ascii="宋体" w:hAnsi="宋体" w:eastAsia="宋体" w:cs="宋体"/>
          <w:lang w:eastAsia="zh-CN"/>
        </w:rPr>
        <w:t>评价</w:t>
      </w:r>
      <w:r>
        <w:rPr>
          <w:rFonts w:hint="eastAsia" w:ascii="宋体" w:hAnsi="宋体" w:eastAsia="宋体" w:cs="宋体"/>
        </w:rPr>
        <w:t>组意见和绩效评价报告。项目单位对所报送的自评资料及相关佐证材料的合法性、真实性、完整性负责。</w:t>
      </w:r>
    </w:p>
    <w:p>
      <w:pPr>
        <w:keepNext w:val="0"/>
        <w:keepLines w:val="0"/>
        <w:pageBreakBefore w:val="0"/>
        <w:widowControl/>
        <w:kinsoku/>
        <w:wordWrap/>
        <w:overflowPunct/>
        <w:topLinePunct w:val="0"/>
        <w:autoSpaceDE/>
        <w:autoSpaceDN/>
        <w:bidi w:val="0"/>
        <w:adjustRightInd w:val="0"/>
        <w:snapToGrid w:val="0"/>
        <w:ind w:left="0" w:firstLine="640" w:firstLineChars="200"/>
        <w:jc w:val="both"/>
        <w:textAlignment w:val="auto"/>
        <w:rPr>
          <w:rFonts w:hint="eastAsia" w:ascii="宋体" w:hAnsi="宋体" w:eastAsia="宋体" w:cs="宋体"/>
          <w:b/>
          <w:color w:val="auto"/>
          <w:highlight w:val="none"/>
        </w:rPr>
      </w:pPr>
      <w:r>
        <w:rPr>
          <w:rFonts w:hint="eastAsia" w:ascii="宋体" w:hAnsi="宋体" w:eastAsia="宋体" w:cs="宋体"/>
        </w:rPr>
        <w:t>结合</w:t>
      </w:r>
      <w:r>
        <w:rPr>
          <w:rFonts w:hint="eastAsia" w:ascii="宋体" w:hAnsi="宋体" w:eastAsia="宋体" w:cs="宋体"/>
          <w:lang w:eastAsia="zh-CN"/>
        </w:rPr>
        <w:t>评价</w:t>
      </w:r>
      <w:r>
        <w:rPr>
          <w:rFonts w:hint="eastAsia" w:ascii="宋体" w:hAnsi="宋体" w:eastAsia="宋体" w:cs="宋体"/>
        </w:rPr>
        <w:t>组书面评价意见与现场评价情况，本项目绩效评价综</w:t>
      </w:r>
      <w:r>
        <w:rPr>
          <w:rFonts w:hint="eastAsia" w:ascii="宋体" w:hAnsi="宋体" w:eastAsia="宋体" w:cs="宋体"/>
          <w:highlight w:val="none"/>
        </w:rPr>
        <w:t>合得分</w:t>
      </w:r>
      <w:r>
        <w:rPr>
          <w:rFonts w:hint="eastAsia" w:ascii="宋体" w:hAnsi="宋体" w:eastAsia="宋体" w:cs="宋体"/>
          <w:color w:val="auto"/>
          <w:highlight w:val="none"/>
        </w:rPr>
        <w:t>为</w:t>
      </w:r>
      <w:r>
        <w:rPr>
          <w:rFonts w:hint="eastAsia" w:ascii="宋体" w:hAnsi="宋体" w:eastAsia="宋体" w:cs="宋体"/>
          <w:color w:val="auto"/>
          <w:highlight w:val="none"/>
          <w:lang w:val="en-US" w:eastAsia="zh-CN"/>
        </w:rPr>
        <w:t>91.6</w:t>
      </w:r>
      <w:r>
        <w:rPr>
          <w:rFonts w:hint="eastAsia" w:ascii="宋体" w:hAnsi="宋体" w:eastAsia="宋体" w:cs="宋体"/>
          <w:color w:val="auto"/>
          <w:highlight w:val="none"/>
        </w:rPr>
        <w:t>分，等级为</w:t>
      </w:r>
      <w:r>
        <w:rPr>
          <w:rFonts w:hint="eastAsia" w:ascii="宋体" w:hAnsi="宋体" w:eastAsia="宋体" w:cs="宋体"/>
          <w:color w:val="auto"/>
          <w:highlight w:val="none"/>
          <w:lang w:eastAsia="zh-CN"/>
        </w:rPr>
        <w:t>优</w:t>
      </w:r>
      <w:r>
        <w:rPr>
          <w:rFonts w:hint="eastAsia" w:ascii="宋体" w:hAnsi="宋体" w:eastAsia="宋体" w:cs="宋体"/>
          <w:color w:val="auto"/>
          <w:highlight w:val="none"/>
        </w:rPr>
        <w:t>。本项</w:t>
      </w:r>
      <w:r>
        <w:rPr>
          <w:rFonts w:hint="eastAsia" w:ascii="宋体" w:hAnsi="宋体" w:eastAsia="宋体" w:cs="宋体"/>
          <w:color w:val="auto"/>
        </w:rPr>
        <w:t>目在实施的过程中</w:t>
      </w:r>
      <w:r>
        <w:rPr>
          <w:rFonts w:hint="eastAsia" w:ascii="宋体" w:hAnsi="宋体" w:eastAsia="宋体" w:cs="宋体"/>
          <w:color w:val="auto"/>
          <w:highlight w:val="none"/>
        </w:rPr>
        <w:t>存在如下问题：</w:t>
      </w:r>
      <w:bookmarkStart w:id="7" w:name="_Hlk88852805"/>
      <w:r>
        <w:rPr>
          <w:rFonts w:hint="eastAsia" w:ascii="宋体" w:hAnsi="宋体" w:eastAsia="宋体" w:cs="宋体"/>
          <w:b/>
          <w:color w:val="auto"/>
          <w:highlight w:val="none"/>
        </w:rPr>
        <w:t>一是原始凭证不齐全；二</w:t>
      </w:r>
      <w:r>
        <w:rPr>
          <w:rFonts w:hint="eastAsia" w:ascii="宋体" w:hAnsi="宋体" w:eastAsia="宋体" w:cs="宋体"/>
          <w:b/>
          <w:color w:val="auto"/>
          <w:highlight w:val="none"/>
          <w:lang w:eastAsia="zh-CN"/>
        </w:rPr>
        <w:t>是</w:t>
      </w:r>
      <w:r>
        <w:rPr>
          <w:rFonts w:hint="eastAsia" w:ascii="宋体" w:hAnsi="宋体" w:eastAsia="宋体" w:cs="宋体"/>
          <w:b/>
          <w:color w:val="auto"/>
          <w:highlight w:val="none"/>
          <w:lang w:val="en-US" w:eastAsia="zh-CN"/>
        </w:rPr>
        <w:t>未完成引进硕士及以上人才5人的绩效目标；三是第二年度150万元的阿里云代金券发放具有滞后性</w:t>
      </w:r>
      <w:r>
        <w:rPr>
          <w:rFonts w:hint="eastAsia" w:ascii="宋体" w:hAnsi="宋体" w:eastAsia="宋体" w:cs="宋体"/>
          <w:b/>
          <w:color w:val="auto"/>
          <w:highlight w:val="none"/>
        </w:rPr>
        <w:t>。</w:t>
      </w:r>
    </w:p>
    <w:p>
      <w:pPr>
        <w:keepNext w:val="0"/>
        <w:keepLines w:val="0"/>
        <w:pageBreakBefore w:val="0"/>
        <w:widowControl/>
        <w:kinsoku/>
        <w:wordWrap/>
        <w:overflowPunct/>
        <w:topLinePunct w:val="0"/>
        <w:autoSpaceDE/>
        <w:autoSpaceDN/>
        <w:bidi w:val="0"/>
        <w:adjustRightInd w:val="0"/>
        <w:snapToGrid w:val="0"/>
        <w:ind w:left="0" w:firstLine="640" w:firstLineChars="200"/>
        <w:jc w:val="both"/>
        <w:textAlignment w:val="auto"/>
        <w:rPr>
          <w:rFonts w:hint="eastAsia" w:ascii="仿宋" w:hAnsi="仿宋" w:eastAsia="仿宋" w:cs="仿宋"/>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700" w:bottom="1440" w:left="1843" w:header="851" w:footer="992" w:gutter="0"/>
          <w:pgBorders>
            <w:top w:val="none" w:sz="0" w:space="0"/>
            <w:left w:val="none" w:sz="0" w:space="0"/>
            <w:bottom w:val="none" w:sz="0" w:space="0"/>
            <w:right w:val="none" w:sz="0" w:space="0"/>
          </w:pgBorders>
          <w:pgNumType w:fmt="upperRoman" w:start="1"/>
          <w:cols w:space="425" w:num="1"/>
          <w:docGrid w:type="lines" w:linePitch="435" w:charSpace="0"/>
        </w:sectPr>
      </w:pPr>
      <w:r>
        <w:rPr>
          <w:rFonts w:hint="eastAsia" w:ascii="宋体" w:hAnsi="宋体" w:eastAsia="宋体" w:cs="宋体"/>
          <w:color w:val="auto"/>
          <w:highlight w:val="none"/>
        </w:rPr>
        <w:t>针对问题，我方建议：</w:t>
      </w:r>
      <w:r>
        <w:rPr>
          <w:rFonts w:hint="eastAsia" w:ascii="宋体" w:hAnsi="宋体" w:eastAsia="宋体" w:cs="宋体"/>
          <w:b/>
          <w:color w:val="auto"/>
          <w:highlight w:val="none"/>
        </w:rPr>
        <w:t>一是规范整理记账凭证；二是</w:t>
      </w:r>
      <w:r>
        <w:rPr>
          <w:rFonts w:hint="eastAsia" w:ascii="宋体" w:hAnsi="宋体" w:eastAsia="宋体" w:cs="宋体"/>
          <w:b/>
          <w:color w:val="auto"/>
          <w:highlight w:val="none"/>
          <w:lang w:eastAsia="zh-CN"/>
        </w:rPr>
        <w:t>加大对硕士及以上人才的吸引力度；三是及时落实阿里云代金券发放事项</w:t>
      </w:r>
      <w:r>
        <w:rPr>
          <w:rFonts w:hint="eastAsia" w:ascii="宋体" w:hAnsi="宋体" w:eastAsia="宋体" w:cs="宋体"/>
          <w:b/>
          <w:bCs/>
          <w:color w:val="auto"/>
          <w:highlight w:val="none"/>
        </w:rPr>
        <w:t>。</w:t>
      </w:r>
      <w:bookmarkEnd w:id="7"/>
    </w:p>
    <w:p>
      <w:pPr>
        <w:keepLines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梅州市阿里云创新中心</w:t>
      </w:r>
    </w:p>
    <w:p>
      <w:pPr>
        <w:keepLines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sz w:val="44"/>
          <w:szCs w:val="44"/>
        </w:rPr>
      </w:pPr>
      <w:bookmarkStart w:id="8" w:name="_Toc946"/>
      <w:r>
        <w:rPr>
          <w:rFonts w:hint="eastAsia" w:ascii="宋体" w:hAnsi="宋体" w:eastAsia="宋体" w:cs="宋体"/>
          <w:b/>
          <w:sz w:val="44"/>
          <w:szCs w:val="44"/>
        </w:rPr>
        <w:t>重点项目评价报告</w:t>
      </w:r>
      <w:bookmarkEnd w:id="8"/>
    </w:p>
    <w:p>
      <w:pPr>
        <w:keepNext w:val="0"/>
        <w:keepLines w:val="0"/>
        <w:pageBreakBefore w:val="0"/>
        <w:widowControl/>
        <w:kinsoku/>
        <w:wordWrap/>
        <w:overflowPunct/>
        <w:topLinePunct w:val="0"/>
        <w:autoSpaceDE/>
        <w:autoSpaceDN/>
        <w:bidi w:val="0"/>
        <w:adjustRightInd w:val="0"/>
        <w:snapToGrid w:val="0"/>
        <w:spacing w:before="240"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为全面检验财政资金使用绩效，考核资金预期绩效目标的实现程度、资金支出效率和使用效果，进一步提高财政支出的管理水平，根据《梅州市财政局关于做好202</w:t>
      </w:r>
      <w:r>
        <w:rPr>
          <w:rFonts w:hint="eastAsia" w:ascii="宋体" w:hAnsi="宋体" w:eastAsia="宋体" w:cs="宋体"/>
          <w:lang w:val="en-US" w:eastAsia="zh-CN"/>
        </w:rPr>
        <w:t>2</w:t>
      </w:r>
      <w:r>
        <w:rPr>
          <w:rFonts w:hint="eastAsia" w:ascii="宋体" w:hAnsi="宋体" w:eastAsia="宋体" w:cs="宋体"/>
        </w:rPr>
        <w:t>年市级财政重点绩效评价工作的通知》（梅市财评〔202</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号）等有关规定，市财政局委托我方组织形成评价组，对市</w:t>
      </w:r>
      <w:r>
        <w:rPr>
          <w:rFonts w:hint="eastAsia" w:ascii="宋体" w:hAnsi="宋体" w:eastAsia="宋体" w:cs="宋体"/>
          <w:lang w:eastAsia="zh-CN"/>
        </w:rPr>
        <w:t>工信</w:t>
      </w:r>
      <w:r>
        <w:rPr>
          <w:rFonts w:hint="eastAsia" w:ascii="宋体" w:hAnsi="宋体" w:eastAsia="宋体" w:cs="宋体"/>
        </w:rPr>
        <w:t>局</w:t>
      </w:r>
      <w:r>
        <w:rPr>
          <w:rFonts w:hint="eastAsia" w:ascii="宋体" w:hAnsi="宋体" w:eastAsia="宋体" w:cs="宋体"/>
          <w:lang w:eastAsia="zh-CN"/>
        </w:rPr>
        <w:t>负责</w:t>
      </w:r>
      <w:r>
        <w:rPr>
          <w:rFonts w:hint="eastAsia" w:ascii="宋体" w:hAnsi="宋体" w:eastAsia="宋体" w:cs="宋体"/>
        </w:rPr>
        <w:t>实施的</w:t>
      </w:r>
      <w:r>
        <w:rPr>
          <w:rFonts w:hint="eastAsia" w:ascii="宋体" w:hAnsi="宋体" w:eastAsia="宋体" w:cs="宋体"/>
          <w:lang w:eastAsia="zh-CN"/>
        </w:rPr>
        <w:t>“</w:t>
      </w:r>
      <w:r>
        <w:rPr>
          <w:rFonts w:hint="eastAsia" w:ascii="宋体" w:hAnsi="宋体" w:eastAsia="宋体" w:cs="宋体"/>
        </w:rPr>
        <w:t>梅州市阿里云创新中心</w:t>
      </w:r>
      <w:r>
        <w:rPr>
          <w:rFonts w:hint="eastAsia" w:ascii="宋体" w:hAnsi="宋体" w:eastAsia="宋体" w:cs="宋体"/>
          <w:lang w:eastAsia="zh-CN"/>
        </w:rPr>
        <w:t>”重点</w:t>
      </w:r>
      <w:r>
        <w:rPr>
          <w:rFonts w:hint="eastAsia" w:ascii="宋体" w:hAnsi="宋体" w:eastAsia="宋体" w:cs="宋体"/>
        </w:rPr>
        <w:t>项目开展绩效评价。本评价报告是在审阅市</w:t>
      </w:r>
      <w:r>
        <w:rPr>
          <w:rFonts w:hint="eastAsia" w:ascii="宋体" w:hAnsi="宋体" w:eastAsia="宋体" w:cs="宋体"/>
          <w:lang w:eastAsia="zh-CN"/>
        </w:rPr>
        <w:t>工信</w:t>
      </w:r>
      <w:r>
        <w:rPr>
          <w:rFonts w:hint="eastAsia" w:ascii="宋体" w:hAnsi="宋体" w:eastAsia="宋体" w:cs="宋体"/>
        </w:rPr>
        <w:t>局提交的相关佐证材料，组织</w:t>
      </w:r>
      <w:r>
        <w:rPr>
          <w:rFonts w:hint="eastAsia" w:ascii="宋体" w:hAnsi="宋体" w:eastAsia="宋体" w:cs="宋体"/>
          <w:lang w:eastAsia="zh-CN"/>
        </w:rPr>
        <w:t>评价</w:t>
      </w:r>
      <w:r>
        <w:rPr>
          <w:rFonts w:hint="eastAsia" w:ascii="宋体" w:hAnsi="宋体" w:eastAsia="宋体" w:cs="宋体"/>
        </w:rPr>
        <w:t>组进行书面评审、现场评价等相关工作，以及与市</w:t>
      </w:r>
      <w:r>
        <w:rPr>
          <w:rFonts w:hint="eastAsia" w:ascii="宋体" w:hAnsi="宋体" w:eastAsia="宋体" w:cs="宋体"/>
          <w:lang w:eastAsia="zh-CN"/>
        </w:rPr>
        <w:t>工信</w:t>
      </w:r>
      <w:r>
        <w:rPr>
          <w:rFonts w:hint="eastAsia" w:ascii="宋体" w:hAnsi="宋体" w:eastAsia="宋体" w:cs="宋体"/>
        </w:rPr>
        <w:t>局反复沟通基础上形成的。市</w:t>
      </w:r>
      <w:r>
        <w:rPr>
          <w:rFonts w:hint="eastAsia" w:ascii="宋体" w:hAnsi="宋体" w:eastAsia="宋体" w:cs="宋体"/>
          <w:lang w:eastAsia="zh-CN"/>
        </w:rPr>
        <w:t>工信</w:t>
      </w:r>
      <w:r>
        <w:rPr>
          <w:rFonts w:hint="eastAsia" w:ascii="宋体" w:hAnsi="宋体" w:eastAsia="宋体" w:cs="宋体"/>
        </w:rPr>
        <w:t>局对所提供的相关佐证材料的真实性、完整性、准确性和合法性负责。</w:t>
      </w:r>
    </w:p>
    <w:p>
      <w:pPr>
        <w:pStyle w:val="3"/>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bookmarkStart w:id="9" w:name="_Toc15559"/>
      <w:bookmarkStart w:id="10" w:name="_Toc99552749"/>
      <w:bookmarkStart w:id="11" w:name="_Toc99814040"/>
      <w:bookmarkStart w:id="12" w:name="_Toc99813891"/>
      <w:bookmarkStart w:id="13" w:name="_Toc99814313"/>
      <w:bookmarkStart w:id="14" w:name="_Toc28817"/>
      <w:r>
        <w:rPr>
          <w:rFonts w:hint="eastAsia" w:ascii="宋体" w:hAnsi="宋体" w:eastAsia="宋体" w:cs="宋体"/>
        </w:rPr>
        <w:t>一、项目概况</w:t>
      </w:r>
      <w:bookmarkEnd w:id="9"/>
      <w:bookmarkEnd w:id="10"/>
      <w:bookmarkEnd w:id="11"/>
      <w:bookmarkEnd w:id="12"/>
      <w:bookmarkEnd w:id="13"/>
      <w:bookmarkEnd w:id="14"/>
    </w:p>
    <w:p>
      <w:pPr>
        <w:pStyle w:val="5"/>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bookmarkStart w:id="15" w:name="_Toc99552750"/>
      <w:bookmarkStart w:id="16" w:name="_Toc99814041"/>
      <w:bookmarkStart w:id="17" w:name="_Toc99814314"/>
      <w:bookmarkStart w:id="18" w:name="_Toc14920"/>
      <w:bookmarkStart w:id="19" w:name="_Toc6477"/>
      <w:bookmarkStart w:id="20" w:name="_Toc99813892"/>
      <w:r>
        <w:rPr>
          <w:rFonts w:hint="eastAsia" w:ascii="宋体" w:hAnsi="宋体" w:eastAsia="宋体" w:cs="宋体"/>
        </w:rPr>
        <w:t>（一）项目基本情况</w:t>
      </w:r>
      <w:bookmarkEnd w:id="15"/>
      <w:bookmarkEnd w:id="16"/>
      <w:bookmarkEnd w:id="17"/>
      <w:bookmarkEnd w:id="18"/>
      <w:bookmarkEnd w:id="19"/>
      <w:bookmarkEnd w:id="20"/>
    </w:p>
    <w:p>
      <w:pPr>
        <w:pStyle w:val="6"/>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both"/>
        <w:textAlignment w:val="auto"/>
        <w:rPr>
          <w:rFonts w:hint="eastAsia" w:ascii="宋体" w:hAnsi="宋体" w:eastAsia="宋体" w:cs="宋体"/>
        </w:rPr>
      </w:pPr>
      <w:bookmarkStart w:id="21" w:name="_Toc8938"/>
      <w:bookmarkStart w:id="22" w:name="_Toc99813893"/>
      <w:bookmarkStart w:id="23" w:name="_Toc99552751"/>
      <w:bookmarkStart w:id="24" w:name="_Toc99814042"/>
      <w:r>
        <w:rPr>
          <w:rFonts w:hint="eastAsia" w:ascii="宋体" w:hAnsi="宋体" w:eastAsia="宋体" w:cs="宋体"/>
        </w:rPr>
        <w:t>1.项目背景</w:t>
      </w:r>
      <w:bookmarkEnd w:id="21"/>
      <w:bookmarkEnd w:id="22"/>
      <w:bookmarkEnd w:id="23"/>
      <w:bookmarkEnd w:id="24"/>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2019年3月份，阿里云创业孵化事业部（以</w:t>
      </w:r>
      <w:r>
        <w:rPr>
          <w:rFonts w:hint="eastAsia" w:ascii="宋体" w:hAnsi="宋体" w:eastAsia="宋体" w:cs="宋体"/>
          <w:lang w:eastAsia="zh-CN"/>
        </w:rPr>
        <w:t>下</w:t>
      </w:r>
      <w:r>
        <w:rPr>
          <w:rFonts w:hint="eastAsia" w:ascii="宋体" w:hAnsi="宋体" w:eastAsia="宋体" w:cs="宋体"/>
        </w:rPr>
        <w:t>简称</w:t>
      </w:r>
      <w:r>
        <w:rPr>
          <w:rFonts w:hint="eastAsia" w:ascii="宋体" w:hAnsi="宋体" w:eastAsia="宋体" w:cs="宋体"/>
          <w:lang w:eastAsia="zh-CN"/>
        </w:rPr>
        <w:t>“</w:t>
      </w:r>
      <w:r>
        <w:rPr>
          <w:rFonts w:hint="eastAsia" w:ascii="宋体" w:hAnsi="宋体" w:eastAsia="宋体" w:cs="宋体"/>
        </w:rPr>
        <w:t>阿里云</w:t>
      </w:r>
      <w:r>
        <w:rPr>
          <w:rFonts w:hint="eastAsia" w:ascii="宋体" w:hAnsi="宋体" w:eastAsia="宋体" w:cs="宋体"/>
          <w:lang w:eastAsia="zh-CN"/>
        </w:rPr>
        <w:t>”</w:t>
      </w:r>
      <w:r>
        <w:rPr>
          <w:rFonts w:hint="eastAsia" w:ascii="宋体" w:hAnsi="宋体" w:eastAsia="宋体" w:cs="宋体"/>
        </w:rPr>
        <w:t>）、华南区域总经理王芳一行到</w:t>
      </w:r>
      <w:r>
        <w:rPr>
          <w:rFonts w:hint="eastAsia" w:ascii="宋体" w:hAnsi="宋体" w:eastAsia="宋体" w:cs="宋体"/>
          <w:lang w:eastAsia="zh-CN"/>
        </w:rPr>
        <w:t>梅州</w:t>
      </w:r>
      <w:r>
        <w:rPr>
          <w:rFonts w:hint="eastAsia" w:ascii="宋体" w:hAnsi="宋体" w:eastAsia="宋体" w:cs="宋体"/>
        </w:rPr>
        <w:t>市进行考察调研，并就阿里云创新中心项目落地梅州事宜，与</w:t>
      </w:r>
      <w:r>
        <w:rPr>
          <w:rFonts w:hint="eastAsia" w:ascii="宋体" w:hAnsi="宋体" w:eastAsia="宋体" w:cs="宋体"/>
          <w:lang w:eastAsia="zh-CN"/>
        </w:rPr>
        <w:t>梅州市人民政府（以下简称“市政府”）张</w:t>
      </w:r>
      <w:r>
        <w:rPr>
          <w:rFonts w:hint="eastAsia" w:ascii="宋体" w:hAnsi="宋体" w:eastAsia="宋体" w:cs="宋体"/>
        </w:rPr>
        <w:t>爱军市长、</w:t>
      </w:r>
      <w:r>
        <w:rPr>
          <w:rFonts w:hint="eastAsia" w:ascii="宋体" w:hAnsi="宋体" w:eastAsia="宋体" w:cs="宋体"/>
          <w:lang w:eastAsia="zh-CN"/>
        </w:rPr>
        <w:t>吴</w:t>
      </w:r>
      <w:r>
        <w:rPr>
          <w:rFonts w:hint="eastAsia" w:ascii="宋体" w:hAnsi="宋体" w:eastAsia="宋体" w:cs="宋体"/>
        </w:rPr>
        <w:t>泽桐副市长等领导进行了座谈交流。按照市政府</w:t>
      </w:r>
      <w:r>
        <w:rPr>
          <w:rFonts w:hint="eastAsia" w:ascii="宋体" w:hAnsi="宋体" w:eastAsia="宋体" w:cs="宋体"/>
          <w:lang w:eastAsia="zh-CN"/>
        </w:rPr>
        <w:t>张</w:t>
      </w:r>
      <w:r>
        <w:rPr>
          <w:rFonts w:hint="eastAsia" w:ascii="宋体" w:hAnsi="宋体" w:eastAsia="宋体" w:cs="宋体"/>
        </w:rPr>
        <w:t>爱军市长、</w:t>
      </w:r>
      <w:r>
        <w:rPr>
          <w:rFonts w:hint="eastAsia" w:ascii="宋体" w:hAnsi="宋体" w:eastAsia="宋体" w:cs="宋体"/>
          <w:lang w:eastAsia="zh-CN"/>
        </w:rPr>
        <w:t>吴</w:t>
      </w:r>
      <w:r>
        <w:rPr>
          <w:rFonts w:hint="eastAsia" w:ascii="宋体" w:hAnsi="宋体" w:eastAsia="宋体" w:cs="宋体"/>
        </w:rPr>
        <w:t>泽桐副市长关于由市工信局牵头、加强与阿里云对接，大力争取阿里云落户梅州等有关指示要求，</w:t>
      </w:r>
      <w:r>
        <w:rPr>
          <w:rFonts w:hint="eastAsia" w:ascii="宋体" w:hAnsi="宋体" w:eastAsia="宋体" w:cs="宋体"/>
          <w:lang w:eastAsia="zh-CN"/>
        </w:rPr>
        <w:t>市工信局</w:t>
      </w:r>
      <w:r>
        <w:rPr>
          <w:rFonts w:hint="eastAsia" w:ascii="宋体" w:hAnsi="宋体" w:eastAsia="宋体" w:cs="宋体"/>
        </w:rPr>
        <w:t>与阿里云及相关企业对接、商讨，围绕项目落户所需的场地等问题与市有关单位沟通咨询，并将跟进情况向市政府报告。根据《市政府工作会议决定事项通知书》（梅市府办会函〔2019〕221号）等要求，经</w:t>
      </w:r>
      <w:r>
        <w:rPr>
          <w:rFonts w:hint="eastAsia" w:ascii="宋体" w:hAnsi="宋体" w:eastAsia="宋体" w:cs="宋体"/>
          <w:lang w:eastAsia="zh-CN"/>
        </w:rPr>
        <w:t>市工信</w:t>
      </w:r>
      <w:r>
        <w:rPr>
          <w:rFonts w:hint="eastAsia" w:ascii="宋体" w:hAnsi="宋体" w:eastAsia="宋体" w:cs="宋体"/>
        </w:rPr>
        <w:t>局与阿里云等企业沟通商讨，拟定了《阿里云创新中心项目合作协议（征求意见稿）》，并征求各县（市、区）人民政府、市有关单位等27个单位意见，经汇总整理，于2019年9月10日呈报市政府审定。市政府于2019年10月29日与阿里云等企业签订了合作协议。该项目实际于2020年5月8日正式投入运营。</w:t>
      </w:r>
    </w:p>
    <w:p>
      <w:pPr>
        <w:pStyle w:val="6"/>
        <w:keepNext w:val="0"/>
        <w:keepLines w:val="0"/>
        <w:pageBreakBefore w:val="0"/>
        <w:widowControl/>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rPr>
      </w:pPr>
      <w:bookmarkStart w:id="25" w:name="_Toc99814043"/>
      <w:bookmarkStart w:id="26" w:name="_Toc99813894"/>
      <w:bookmarkStart w:id="27" w:name="_Toc99552752"/>
      <w:bookmarkStart w:id="28" w:name="_Toc23941"/>
      <w:r>
        <w:rPr>
          <w:rFonts w:hint="eastAsia" w:ascii="宋体" w:hAnsi="宋体" w:eastAsia="宋体" w:cs="宋体"/>
        </w:rPr>
        <w:t>2.项目</w:t>
      </w:r>
      <w:r>
        <w:rPr>
          <w:rFonts w:hint="eastAsia" w:ascii="宋体" w:hAnsi="宋体" w:eastAsia="宋体" w:cs="宋体"/>
          <w:lang w:eastAsia="zh-CN"/>
        </w:rPr>
        <w:t>建设</w:t>
      </w:r>
      <w:r>
        <w:rPr>
          <w:rFonts w:hint="eastAsia" w:ascii="宋体" w:hAnsi="宋体" w:eastAsia="宋体" w:cs="宋体"/>
        </w:rPr>
        <w:t>内容</w:t>
      </w:r>
      <w:bookmarkEnd w:id="25"/>
      <w:bookmarkEnd w:id="26"/>
      <w:bookmarkEnd w:id="27"/>
      <w:bookmarkEnd w:id="28"/>
    </w:p>
    <w:p>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hint="eastAsia" w:ascii="宋体" w:hAnsi="宋体" w:eastAsia="宋体" w:cs="宋体"/>
          <w:lang w:eastAsia="zh-CN"/>
        </w:rPr>
      </w:pPr>
      <w:r>
        <w:rPr>
          <w:rFonts w:hint="eastAsia" w:ascii="宋体" w:hAnsi="宋体" w:eastAsia="宋体" w:cs="宋体"/>
        </w:rPr>
        <w:t>根据《梅州市人民政府</w:t>
      </w:r>
      <w:r>
        <w:rPr>
          <w:rFonts w:hint="eastAsia" w:ascii="宋体" w:hAnsi="宋体" w:eastAsia="宋体" w:cs="宋体"/>
          <w:lang w:eastAsia="zh-CN"/>
        </w:rPr>
        <w:t>（甲方）、</w:t>
      </w:r>
      <w:r>
        <w:rPr>
          <w:rFonts w:hint="eastAsia" w:ascii="宋体" w:hAnsi="宋体" w:eastAsia="宋体" w:cs="宋体"/>
        </w:rPr>
        <w:t>阿里云计算有限公司</w:t>
      </w:r>
      <w:r>
        <w:rPr>
          <w:rFonts w:hint="eastAsia" w:ascii="宋体" w:hAnsi="宋体" w:eastAsia="宋体" w:cs="宋体"/>
          <w:lang w:eastAsia="zh-CN"/>
        </w:rPr>
        <w:t>（乙方）、</w:t>
      </w:r>
      <w:r>
        <w:rPr>
          <w:rFonts w:hint="eastAsia" w:ascii="宋体" w:hAnsi="宋体" w:eastAsia="宋体" w:cs="宋体"/>
        </w:rPr>
        <w:t>广东客天下旅游产业园有限公司</w:t>
      </w:r>
      <w:r>
        <w:rPr>
          <w:rFonts w:hint="eastAsia" w:ascii="宋体" w:hAnsi="宋体" w:eastAsia="宋体" w:cs="宋体"/>
          <w:lang w:eastAsia="zh-CN"/>
        </w:rPr>
        <w:t>（丙方）、</w:t>
      </w:r>
      <w:r>
        <w:rPr>
          <w:rFonts w:hint="eastAsia" w:ascii="宋体" w:hAnsi="宋体" w:eastAsia="宋体" w:cs="宋体"/>
        </w:rPr>
        <w:t>星火工场（梅州）创业投资有限公司</w:t>
      </w:r>
      <w:r>
        <w:rPr>
          <w:rFonts w:hint="eastAsia" w:ascii="宋体" w:hAnsi="宋体" w:eastAsia="宋体" w:cs="宋体"/>
          <w:lang w:eastAsia="zh-CN"/>
        </w:rPr>
        <w:t>（丁方）、</w:t>
      </w:r>
      <w:r>
        <w:rPr>
          <w:rFonts w:hint="eastAsia" w:ascii="宋体" w:hAnsi="宋体" w:eastAsia="宋体" w:cs="宋体"/>
        </w:rPr>
        <w:t>星火工场（深圳）创业投资有限公司</w:t>
      </w:r>
      <w:r>
        <w:rPr>
          <w:rFonts w:hint="eastAsia" w:ascii="宋体" w:hAnsi="宋体" w:eastAsia="宋体" w:cs="宋体"/>
          <w:lang w:eastAsia="zh-CN"/>
        </w:rPr>
        <w:t>（戊方）</w:t>
      </w:r>
      <w:r>
        <w:rPr>
          <w:rFonts w:hint="eastAsia" w:ascii="宋体" w:hAnsi="宋体" w:eastAsia="宋体" w:cs="宋体"/>
        </w:rPr>
        <w:t>合作协议》（以下简称“《合作协议》”）确定梅州市阿里云创新中心项目</w:t>
      </w:r>
      <w:r>
        <w:rPr>
          <w:rFonts w:hint="eastAsia" w:ascii="宋体" w:hAnsi="宋体" w:eastAsia="宋体" w:cs="宋体"/>
          <w:lang w:eastAsia="zh-CN"/>
        </w:rPr>
        <w:t>建设内容。</w:t>
      </w:r>
    </w:p>
    <w:p>
      <w:pPr>
        <w:pStyle w:val="2"/>
        <w:keepNext w:val="0"/>
        <w:keepLines w:val="0"/>
        <w:pageBreakBefore w:val="0"/>
        <w:kinsoku/>
        <w:wordWrap/>
        <w:overflowPunct/>
        <w:topLinePunct w:val="0"/>
        <w:bidi w:val="0"/>
        <w:snapToGrid/>
        <w:spacing w:line="360" w:lineRule="auto"/>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星火工场（梅州）创业投资有限公司接受阿里云计算有限公司委托负责阿里云项目的运营管理。</w:t>
      </w:r>
    </w:p>
    <w:p>
      <w:pPr>
        <w:keepNext w:val="0"/>
        <w:keepLines w:val="0"/>
        <w:pageBreakBefore w:val="0"/>
        <w:widowControl/>
        <w:kinsoku/>
        <w:wordWrap/>
        <w:overflowPunct/>
        <w:topLinePunct w:val="0"/>
        <w:autoSpaceDE/>
        <w:autoSpaceDN/>
        <w:bidi w:val="0"/>
        <w:snapToGrid/>
        <w:spacing w:line="360" w:lineRule="auto"/>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项目建设内容包括但不限于5G创新平台、企业办公区、路演中心、企业服务区、多功能休闲区、创业咖啡厅等，整合发挥乙方在云计算及阿里巴巴集团多方面的资源，共同推进互联网、5G等相关产业在梅州聚集发展，将阿里云项目打造成广东省生态发展区旗舰型的示范项目。</w:t>
      </w:r>
    </w:p>
    <w:p>
      <w:pPr>
        <w:keepNext w:val="0"/>
        <w:keepLines w:val="0"/>
        <w:pageBreakBefore w:val="0"/>
        <w:widowControl/>
        <w:kinsoku/>
        <w:wordWrap/>
        <w:overflowPunct/>
        <w:topLinePunct w:val="0"/>
        <w:autoSpaceDE/>
        <w:autoSpaceDN/>
        <w:bidi w:val="0"/>
        <w:spacing w:line="360" w:lineRule="auto"/>
        <w:ind w:firstLine="640" w:firstLineChars="200"/>
        <w:jc w:val="both"/>
        <w:textAlignment w:val="auto"/>
        <w:rPr>
          <w:rFonts w:hint="eastAsia" w:ascii="宋体" w:hAnsi="宋体" w:eastAsia="宋体" w:cs="宋体"/>
        </w:rPr>
      </w:pPr>
      <w:r>
        <w:rPr>
          <w:rFonts w:hint="eastAsia" w:ascii="宋体" w:hAnsi="宋体" w:eastAsia="宋体" w:cs="宋体"/>
          <w:color w:val="auto"/>
          <w:sz w:val="32"/>
          <w:szCs w:val="32"/>
        </w:rPr>
        <w:t>阿里云项目重点扶持行业包括：互联网、5G、大数据、云计算、智能制造、工业软件、人工智能、供应链服务、移动互联网、电子商务、信息安全、现代服务业、科技创新等领域。</w:t>
      </w:r>
      <w:r>
        <w:rPr>
          <w:rFonts w:hint="eastAsia" w:ascii="宋体" w:hAnsi="宋体" w:eastAsia="宋体" w:cs="宋体"/>
        </w:rPr>
        <w:t>项目具体实施以及监督等工作的组织和管理由市工信局负责。</w:t>
      </w:r>
    </w:p>
    <w:p>
      <w:pPr>
        <w:pStyle w:val="6"/>
        <w:keepNext w:val="0"/>
        <w:keepLines w:val="0"/>
        <w:pageBreakBefore w:val="0"/>
        <w:widowControl/>
        <w:kinsoku/>
        <w:wordWrap/>
        <w:overflowPunct/>
        <w:topLinePunct w:val="0"/>
        <w:autoSpaceDE/>
        <w:autoSpaceDN/>
        <w:bidi w:val="0"/>
        <w:spacing w:line="360" w:lineRule="auto"/>
        <w:ind w:firstLine="643" w:firstLineChars="200"/>
        <w:jc w:val="left"/>
        <w:textAlignment w:val="auto"/>
        <w:rPr>
          <w:rFonts w:hint="eastAsia" w:ascii="宋体" w:hAnsi="宋体" w:eastAsia="宋体" w:cs="宋体"/>
        </w:rPr>
      </w:pPr>
      <w:bookmarkStart w:id="29" w:name="_Toc18530"/>
      <w:bookmarkStart w:id="30" w:name="_Toc99813895"/>
      <w:bookmarkStart w:id="31" w:name="_Toc99814044"/>
      <w:bookmarkStart w:id="32" w:name="_Toc99552753"/>
      <w:r>
        <w:rPr>
          <w:rFonts w:hint="eastAsia" w:ascii="宋体" w:hAnsi="宋体" w:eastAsia="宋体" w:cs="宋体"/>
        </w:rPr>
        <w:t>3.项目资金概况</w:t>
      </w:r>
      <w:bookmarkEnd w:id="29"/>
      <w:bookmarkEnd w:id="30"/>
      <w:bookmarkEnd w:id="31"/>
      <w:bookmarkEnd w:id="32"/>
    </w:p>
    <w:p>
      <w:pPr>
        <w:keepNext w:val="0"/>
        <w:keepLines w:val="0"/>
        <w:pageBreakBefore w:val="0"/>
        <w:widowControl/>
        <w:kinsoku/>
        <w:wordWrap/>
        <w:overflowPunct/>
        <w:topLinePunct w:val="0"/>
        <w:autoSpaceDE/>
        <w:autoSpaceDN/>
        <w:bidi w:val="0"/>
        <w:adjustRightInd w:val="0"/>
        <w:snapToGrid w:val="0"/>
        <w:spacing w:line="360" w:lineRule="auto"/>
        <w:ind w:left="0" w:firstLine="643" w:firstLineChars="200"/>
        <w:jc w:val="left"/>
        <w:textAlignment w:val="auto"/>
        <w:rPr>
          <w:rFonts w:hint="eastAsia" w:ascii="宋体" w:hAnsi="宋体" w:eastAsia="宋体" w:cs="宋体"/>
          <w:b/>
          <w:bCs/>
        </w:rPr>
      </w:pPr>
      <w:r>
        <w:rPr>
          <w:rFonts w:hint="eastAsia" w:ascii="宋体" w:hAnsi="宋体" w:eastAsia="宋体" w:cs="宋体"/>
          <w:b/>
          <w:bCs/>
        </w:rPr>
        <w:t>（1）资金安排情况</w:t>
      </w:r>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本项目资金来源为</w:t>
      </w:r>
      <w:r>
        <w:rPr>
          <w:rFonts w:hint="eastAsia" w:ascii="宋体" w:hAnsi="宋体" w:eastAsia="宋体" w:cs="宋体"/>
          <w:lang w:eastAsia="zh-CN"/>
        </w:rPr>
        <w:t>市级财政拨款</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资金安排情况：根据</w:t>
      </w:r>
      <w:r>
        <w:rPr>
          <w:rFonts w:hint="eastAsia" w:ascii="宋体" w:hAnsi="宋体" w:eastAsia="宋体" w:cs="宋体"/>
          <w:lang w:eastAsia="zh-CN"/>
        </w:rPr>
        <w:t>《合作</w:t>
      </w:r>
      <w:r>
        <w:rPr>
          <w:rFonts w:hint="eastAsia" w:ascii="宋体" w:hAnsi="宋体" w:eastAsia="宋体" w:cs="宋体"/>
        </w:rPr>
        <w:t>协议</w:t>
      </w:r>
      <w:r>
        <w:rPr>
          <w:rFonts w:hint="eastAsia" w:ascii="宋体" w:hAnsi="宋体" w:eastAsia="宋体" w:cs="宋体"/>
          <w:lang w:eastAsia="zh-CN"/>
        </w:rPr>
        <w:t>》</w:t>
      </w:r>
      <w:r>
        <w:rPr>
          <w:rFonts w:hint="eastAsia" w:ascii="宋体" w:hAnsi="宋体" w:eastAsia="宋体" w:cs="宋体"/>
        </w:rPr>
        <w:t>约定，第二笔补贴款共人民币175万元（其中：向阿里云计算有限公司支付第二笔创客补贴150万元、向星火工场（梅州）创业投资有限公司支付第二笔运营补贴25万元），支付时间为项目正式运营（该项目实际于2020年5月8日正式投入运营）满一年后30个工作日内。</w:t>
      </w:r>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b/>
        </w:rPr>
      </w:pPr>
      <w:r>
        <w:rPr>
          <w:rFonts w:hint="eastAsia" w:ascii="宋体" w:hAnsi="宋体" w:eastAsia="宋体" w:cs="宋体"/>
        </w:rPr>
        <w:t>我方根据项目单位提交的</w:t>
      </w:r>
      <w:r>
        <w:rPr>
          <w:rFonts w:hint="eastAsia" w:ascii="宋体" w:hAnsi="宋体" w:eastAsia="宋体" w:cs="宋体"/>
          <w:lang w:eastAsia="zh-CN"/>
        </w:rPr>
        <w:t>梅州市阿里云创新中心重点</w:t>
      </w:r>
      <w:r>
        <w:rPr>
          <w:rFonts w:hint="eastAsia" w:ascii="宋体" w:hAnsi="宋体" w:eastAsia="宋体" w:cs="宋体"/>
        </w:rPr>
        <w:t>项目材料合计得出，截至绩效评价基准日，</w:t>
      </w:r>
      <w:r>
        <w:rPr>
          <w:rFonts w:hint="eastAsia" w:ascii="宋体" w:hAnsi="宋体" w:eastAsia="宋体" w:cs="宋体"/>
          <w:lang w:eastAsia="zh-CN"/>
        </w:rPr>
        <w:t>该项目</w:t>
      </w:r>
      <w:r>
        <w:rPr>
          <w:rFonts w:hint="eastAsia" w:ascii="宋体" w:hAnsi="宋体" w:eastAsia="宋体" w:cs="宋体"/>
        </w:rPr>
        <w:t>实际到位资金合计</w:t>
      </w:r>
      <w:r>
        <w:rPr>
          <w:rFonts w:hint="eastAsia" w:ascii="宋体" w:hAnsi="宋体" w:eastAsia="宋体" w:cs="宋体"/>
          <w:lang w:val="en-US" w:eastAsia="zh-CN"/>
        </w:rPr>
        <w:t>175</w:t>
      </w:r>
      <w:r>
        <w:rPr>
          <w:rFonts w:hint="eastAsia" w:ascii="宋体" w:hAnsi="宋体" w:eastAsia="宋体" w:cs="宋体"/>
        </w:rPr>
        <w:t>万元。</w:t>
      </w:r>
    </w:p>
    <w:p>
      <w:pPr>
        <w:keepNext w:val="0"/>
        <w:keepLines/>
        <w:pageBreakBefore w:val="0"/>
        <w:widowControl/>
        <w:numPr>
          <w:ilvl w:val="0"/>
          <w:numId w:val="1"/>
        </w:numPr>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宋体" w:hAnsi="宋体" w:eastAsia="宋体" w:cs="宋体"/>
          <w:lang w:eastAsia="zh-CN"/>
        </w:rPr>
      </w:pPr>
      <w:r>
        <w:rPr>
          <w:rFonts w:hint="eastAsia" w:ascii="宋体" w:hAnsi="宋体" w:eastAsia="宋体" w:cs="宋体"/>
          <w:b/>
        </w:rPr>
        <w:t>资金使用情况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lang w:eastAsia="zh-CN"/>
        </w:rPr>
      </w:pPr>
      <w:r>
        <w:rPr>
          <w:rFonts w:hint="eastAsia" w:ascii="宋体" w:hAnsi="宋体" w:eastAsia="宋体" w:cs="宋体"/>
        </w:rPr>
        <w:t>截至20</w:t>
      </w:r>
      <w:r>
        <w:rPr>
          <w:rFonts w:hint="eastAsia" w:ascii="宋体" w:hAnsi="宋体" w:eastAsia="宋体" w:cs="宋体"/>
          <w:lang w:val="en-US" w:eastAsia="zh-CN"/>
        </w:rPr>
        <w:t>21</w:t>
      </w:r>
      <w:r>
        <w:rPr>
          <w:rFonts w:hint="eastAsia" w:ascii="宋体" w:hAnsi="宋体" w:eastAsia="宋体" w:cs="宋体"/>
        </w:rPr>
        <w:t>年</w:t>
      </w:r>
      <w:r>
        <w:rPr>
          <w:rFonts w:hint="eastAsia" w:ascii="宋体" w:hAnsi="宋体" w:eastAsia="宋体" w:cs="宋体"/>
          <w:lang w:val="en-US" w:eastAsia="zh-CN"/>
        </w:rPr>
        <w:t>12</w:t>
      </w:r>
      <w:r>
        <w:rPr>
          <w:rFonts w:hint="eastAsia" w:ascii="宋体" w:hAnsi="宋体" w:eastAsia="宋体" w:cs="宋体"/>
        </w:rPr>
        <w:t>月</w:t>
      </w:r>
      <w:r>
        <w:rPr>
          <w:rFonts w:hint="eastAsia" w:ascii="宋体" w:hAnsi="宋体" w:eastAsia="宋体" w:cs="宋体"/>
          <w:lang w:val="en-US" w:eastAsia="zh-CN"/>
        </w:rPr>
        <w:t>31</w:t>
      </w:r>
      <w:r>
        <w:rPr>
          <w:rFonts w:hint="eastAsia" w:ascii="宋体" w:hAnsi="宋体" w:eastAsia="宋体" w:cs="宋体"/>
        </w:rPr>
        <w:t>日，根据项目单位提交的项目支出明细，</w:t>
      </w:r>
      <w:r>
        <w:rPr>
          <w:rFonts w:hint="eastAsia" w:ascii="宋体" w:hAnsi="宋体" w:eastAsia="宋体" w:cs="宋体"/>
          <w:lang w:eastAsia="zh-CN"/>
        </w:rPr>
        <w:t>市财政局</w:t>
      </w:r>
      <w:r>
        <w:rPr>
          <w:rFonts w:hint="eastAsia" w:ascii="宋体" w:hAnsi="宋体" w:eastAsia="宋体" w:cs="宋体"/>
        </w:rPr>
        <w:t>直接支付</w:t>
      </w:r>
      <w:r>
        <w:rPr>
          <w:rFonts w:hint="eastAsia" w:ascii="宋体" w:hAnsi="宋体" w:eastAsia="宋体" w:cs="宋体"/>
          <w:lang w:eastAsia="zh-CN"/>
        </w:rPr>
        <w:t>梅州市</w:t>
      </w:r>
      <w:r>
        <w:rPr>
          <w:rFonts w:hint="eastAsia" w:ascii="宋体" w:hAnsi="宋体" w:eastAsia="宋体" w:cs="宋体"/>
        </w:rPr>
        <w:t>阿里云创新中心</w:t>
      </w:r>
      <w:r>
        <w:rPr>
          <w:rFonts w:hint="eastAsia" w:ascii="宋体" w:hAnsi="宋体" w:eastAsia="宋体" w:cs="宋体"/>
          <w:lang w:eastAsia="zh-CN"/>
        </w:rPr>
        <w:t>重点</w:t>
      </w:r>
      <w:r>
        <w:rPr>
          <w:rFonts w:hint="eastAsia" w:ascii="宋体" w:hAnsi="宋体" w:eastAsia="宋体" w:cs="宋体"/>
        </w:rPr>
        <w:t>项目补贴资金</w:t>
      </w:r>
      <w:r>
        <w:rPr>
          <w:rFonts w:hint="eastAsia" w:ascii="宋体" w:hAnsi="宋体" w:eastAsia="宋体" w:cs="宋体"/>
          <w:lang w:val="en-US" w:eastAsia="zh-CN"/>
        </w:rPr>
        <w:t>175万元，</w:t>
      </w:r>
      <w:r>
        <w:rPr>
          <w:rFonts w:hint="eastAsia" w:ascii="宋体" w:hAnsi="宋体" w:eastAsia="宋体" w:cs="宋体"/>
        </w:rPr>
        <w:t>支出率</w:t>
      </w:r>
      <w:r>
        <w:rPr>
          <w:rFonts w:hint="eastAsia" w:ascii="宋体" w:hAnsi="宋体" w:eastAsia="宋体" w:cs="宋体"/>
          <w:lang w:val="en-US" w:eastAsia="zh-CN"/>
        </w:rPr>
        <w:t>100</w:t>
      </w:r>
      <w:r>
        <w:rPr>
          <w:rFonts w:hint="eastAsia" w:ascii="宋体" w:hAnsi="宋体" w:eastAsia="宋体" w:cs="宋体"/>
        </w:rPr>
        <w:t>%</w:t>
      </w:r>
      <w:r>
        <w:rPr>
          <w:rFonts w:hint="eastAsia" w:ascii="宋体" w:hAnsi="宋体" w:eastAsia="宋体" w:cs="宋体"/>
          <w:lang w:eastAsia="zh-CN"/>
        </w:rPr>
        <w:t>。</w:t>
      </w:r>
      <w:bookmarkStart w:id="33" w:name="_Toc99814045"/>
      <w:bookmarkStart w:id="34" w:name="_Toc99813896"/>
      <w:bookmarkStart w:id="35" w:name="_Toc24148"/>
      <w:bookmarkStart w:id="36" w:name="_Toc99552754"/>
      <w:bookmarkStart w:id="37" w:name="_Toc99814315"/>
      <w:bookmarkStart w:id="38" w:name="_Toc32638"/>
    </w:p>
    <w:bookmarkEnd w:id="33"/>
    <w:bookmarkEnd w:id="34"/>
    <w:bookmarkEnd w:id="35"/>
    <w:bookmarkEnd w:id="36"/>
    <w:bookmarkEnd w:id="37"/>
    <w:bookmarkEnd w:id="38"/>
    <w:p>
      <w:pPr>
        <w:pStyle w:val="5"/>
        <w:keepNext w:val="0"/>
        <w:keepLines w:val="0"/>
        <w:pageBreakBefore w:val="0"/>
        <w:widowControl/>
        <w:numPr>
          <w:ilvl w:val="0"/>
          <w:numId w:val="2"/>
        </w:numPr>
        <w:kinsoku/>
        <w:wordWrap/>
        <w:overflowPunct/>
        <w:topLinePunct w:val="0"/>
        <w:autoSpaceDE/>
        <w:autoSpaceDN/>
        <w:bidi w:val="0"/>
        <w:spacing w:line="360" w:lineRule="auto"/>
        <w:ind w:firstLine="321" w:firstLineChars="100"/>
        <w:jc w:val="both"/>
        <w:textAlignment w:val="auto"/>
        <w:rPr>
          <w:rFonts w:hint="eastAsia" w:ascii="宋体" w:hAnsi="宋体" w:eastAsia="宋体" w:cs="宋体"/>
        </w:rPr>
      </w:pPr>
      <w:bookmarkStart w:id="39" w:name="_Toc99814046"/>
      <w:bookmarkStart w:id="40" w:name="_Toc6455"/>
      <w:bookmarkStart w:id="41" w:name="_Toc99813897"/>
      <w:bookmarkStart w:id="42" w:name="_Toc99814316"/>
      <w:bookmarkStart w:id="43" w:name="_Toc99552755"/>
      <w:bookmarkStart w:id="44" w:name="_Toc24683"/>
      <w:r>
        <w:rPr>
          <w:rFonts w:hint="eastAsia" w:ascii="宋体" w:hAnsi="宋体" w:eastAsia="宋体" w:cs="宋体"/>
        </w:rPr>
        <w:t>项目绩效目标情况</w:t>
      </w:r>
      <w:bookmarkEnd w:id="39"/>
      <w:bookmarkEnd w:id="40"/>
      <w:bookmarkEnd w:id="41"/>
      <w:bookmarkEnd w:id="42"/>
      <w:bookmarkEnd w:id="43"/>
      <w:bookmarkEnd w:id="44"/>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我方根据市</w:t>
      </w:r>
      <w:r>
        <w:rPr>
          <w:rFonts w:hint="eastAsia" w:ascii="宋体" w:hAnsi="宋体" w:eastAsia="宋体" w:cs="宋体"/>
          <w:lang w:eastAsia="zh-CN"/>
        </w:rPr>
        <w:t>工信</w:t>
      </w:r>
      <w:r>
        <w:rPr>
          <w:rFonts w:hint="eastAsia" w:ascii="宋体" w:hAnsi="宋体" w:eastAsia="宋体" w:cs="宋体"/>
        </w:rPr>
        <w:t>局提供的</w:t>
      </w:r>
      <w:r>
        <w:rPr>
          <w:rFonts w:hint="eastAsia" w:ascii="宋体" w:hAnsi="宋体" w:eastAsia="宋体" w:cs="宋体"/>
          <w:lang w:eastAsia="zh-CN"/>
        </w:rPr>
        <w:t>《合作</w:t>
      </w:r>
      <w:r>
        <w:rPr>
          <w:rFonts w:hint="eastAsia" w:ascii="宋体" w:hAnsi="宋体" w:eastAsia="宋体" w:cs="宋体"/>
        </w:rPr>
        <w:t>协议</w:t>
      </w:r>
      <w:r>
        <w:rPr>
          <w:rFonts w:hint="eastAsia" w:ascii="宋体" w:hAnsi="宋体" w:eastAsia="宋体" w:cs="宋体"/>
          <w:lang w:eastAsia="zh-CN"/>
        </w:rPr>
        <w:t>》</w:t>
      </w:r>
      <w:r>
        <w:rPr>
          <w:rFonts w:hint="eastAsia" w:ascii="宋体" w:hAnsi="宋体" w:eastAsia="宋体" w:cs="宋体"/>
        </w:rPr>
        <w:t>、《项目绩效自评信息指标评分表》以及现场调研结果，</w:t>
      </w:r>
      <w:r>
        <w:rPr>
          <w:rFonts w:hint="eastAsia" w:ascii="宋体" w:hAnsi="宋体" w:eastAsia="宋体" w:cs="宋体"/>
          <w:lang w:eastAsia="zh-CN"/>
        </w:rPr>
        <w:t>梳理出</w:t>
      </w:r>
      <w:r>
        <w:rPr>
          <w:rFonts w:hint="eastAsia" w:ascii="宋体" w:hAnsi="宋体" w:eastAsia="宋体" w:cs="宋体"/>
        </w:rPr>
        <w:t>本次绩效评价目标为：</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default" w:eastAsia="宋体"/>
          <w:sz w:val="32"/>
          <w:szCs w:val="32"/>
          <w:lang w:val="en-US" w:eastAsia="zh-CN"/>
        </w:rPr>
      </w:pPr>
      <w:r>
        <w:rPr>
          <w:rFonts w:hint="eastAsia" w:eastAsia="宋体"/>
          <w:sz w:val="32"/>
          <w:szCs w:val="32"/>
          <w:lang w:eastAsia="zh-CN"/>
        </w:rPr>
        <w:t>一是项目正式运营满一年后市政府给予阿里云计算有限公司</w:t>
      </w:r>
      <w:r>
        <w:rPr>
          <w:rFonts w:hint="eastAsia" w:eastAsia="宋体"/>
          <w:sz w:val="32"/>
          <w:szCs w:val="32"/>
          <w:lang w:val="en-US" w:eastAsia="zh-CN"/>
        </w:rPr>
        <w:t>150万元的阿里云创客补贴，</w:t>
      </w:r>
      <w:r>
        <w:rPr>
          <w:rFonts w:hint="eastAsia" w:eastAsia="宋体"/>
          <w:sz w:val="32"/>
          <w:szCs w:val="32"/>
          <w:lang w:eastAsia="zh-CN"/>
        </w:rPr>
        <w:t>阿里云计算有限公司通过阿里云资源代金券形式，将该补贴优先用于支持注册地和纳税在梅州市的入驻阿里云项目的企业，也可用于支持梅州市未入驻阿里云项目但符合重点扶持行业的企业，每家企业每年获得阿里云创客补贴代金券不超过人民币</w:t>
      </w:r>
      <w:r>
        <w:rPr>
          <w:rFonts w:hint="eastAsia" w:eastAsia="宋体"/>
          <w:sz w:val="32"/>
          <w:szCs w:val="32"/>
          <w:lang w:val="en-US" w:eastAsia="zh-CN"/>
        </w:rPr>
        <w:t>20万元。</w:t>
      </w:r>
    </w:p>
    <w:p>
      <w:pPr>
        <w:keepNext w:val="0"/>
        <w:keepLines w:val="0"/>
        <w:pageBreakBefore w:val="0"/>
        <w:widowControl/>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二是</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1 \* GB2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rPr>
        <w:t>⑴</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项目正式运营第二年（2021年5月8日-2022年5月7日），线下（实地）入驻阿里云项目的优质科技企业（指注册在阿里云项目，并且符合阿里云项目重点扶持行业）达到7家；线上（虚拟）入驻（指在阿里云项目注册而未在阿里云项目实际办公）企业达到7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2 \* GB2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rPr>
        <w:t>⑵</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项目正式运营第二年（2021年5月8日-2022年5月7日），所有入驻阿里云项目企业（包括线下、线上）知识产权（包括但不限于商标、专利、软件著作权登记）达到5个或进入审查环节的发明专利1个。</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3 \* GB2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rPr>
        <w:t>⑶</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协议履行期内，线下入驻阿里云项目企业引进硕士及以上学位的创新创业人才（引进创新创业人才以企业缴纳社保记录为准）5人。</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4 \* GB2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rPr>
        <w:t>⑷</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协议履行期内，</w:t>
      </w:r>
      <w:r>
        <w:rPr>
          <w:rFonts w:hint="eastAsia" w:ascii="宋体" w:hAnsi="宋体" w:eastAsia="宋体" w:cs="宋体"/>
          <w:sz w:val="32"/>
          <w:szCs w:val="32"/>
          <w:lang w:eastAsia="zh-CN"/>
        </w:rPr>
        <w:t>星火工场（梅州）创业投资有限公司</w:t>
      </w:r>
      <w:r>
        <w:rPr>
          <w:rFonts w:hint="eastAsia" w:ascii="宋体" w:hAnsi="宋体" w:eastAsia="宋体" w:cs="宋体"/>
          <w:highlight w:val="none"/>
          <w:lang w:val="en-US" w:eastAsia="zh-CN"/>
        </w:rPr>
        <w:t>组织</w:t>
      </w:r>
      <w:r>
        <w:rPr>
          <w:rFonts w:hint="eastAsia" w:ascii="宋体" w:hAnsi="宋体" w:eastAsia="宋体" w:cs="宋体"/>
          <w:sz w:val="32"/>
          <w:szCs w:val="32"/>
          <w:lang w:eastAsia="zh-CN"/>
        </w:rPr>
        <w:t>阿里云计算有限公司</w:t>
      </w:r>
      <w:r>
        <w:rPr>
          <w:rFonts w:hint="eastAsia" w:ascii="宋体" w:hAnsi="宋体" w:eastAsia="宋体" w:cs="宋体"/>
          <w:highlight w:val="none"/>
          <w:lang w:val="en-US" w:eastAsia="zh-CN"/>
        </w:rPr>
        <w:t>资源开展3场相关创业活动（培训、论坛、路演等）。包括但不限于阿里云创业扶持平台上开发移动互联网产品的专有知识、专业工具、云计算资源、资金扶持对接、创业指导与培训、创投活动、市场推广、行业信息等支持。</w:t>
      </w:r>
      <w:bookmarkStart w:id="45" w:name="_Toc99814049"/>
      <w:bookmarkStart w:id="46" w:name="_Toc99813900"/>
      <w:bookmarkStart w:id="47" w:name="_Toc26771"/>
      <w:bookmarkStart w:id="48" w:name="_Toc99814317"/>
      <w:bookmarkStart w:id="49" w:name="_Toc99552758"/>
      <w:bookmarkStart w:id="50" w:name="_Toc9494"/>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rPr>
      </w:pPr>
      <w:r>
        <w:rPr>
          <w:rFonts w:hint="eastAsia" w:ascii="宋体" w:hAnsi="宋体" w:eastAsia="宋体" w:cs="宋体"/>
          <w:b/>
          <w:bCs w:val="0"/>
        </w:rPr>
        <w:t>二、评价结论</w:t>
      </w:r>
      <w:bookmarkEnd w:id="45"/>
      <w:bookmarkEnd w:id="46"/>
      <w:bookmarkEnd w:id="47"/>
      <w:bookmarkEnd w:id="48"/>
      <w:bookmarkEnd w:id="49"/>
      <w:bookmarkEnd w:id="50"/>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通过对</w:t>
      </w:r>
      <w:r>
        <w:rPr>
          <w:rFonts w:hint="eastAsia" w:ascii="宋体" w:hAnsi="宋体" w:eastAsia="宋体" w:cs="宋体"/>
          <w:lang w:eastAsia="zh-CN"/>
        </w:rPr>
        <w:t>市工信局</w:t>
      </w:r>
      <w:r>
        <w:rPr>
          <w:rFonts w:hint="eastAsia" w:ascii="宋体" w:hAnsi="宋体" w:eastAsia="宋体" w:cs="宋体"/>
        </w:rPr>
        <w:t>提供的相关材料进行审核分析，并查“梅州市阿里云创新中心</w:t>
      </w:r>
      <w:r>
        <w:rPr>
          <w:rFonts w:hint="eastAsia" w:ascii="宋体" w:hAnsi="宋体" w:eastAsia="宋体" w:cs="宋体"/>
          <w:lang w:val="en-US" w:eastAsia="zh-CN"/>
        </w:rPr>
        <w:t>”重点项目实施</w:t>
      </w:r>
      <w:r>
        <w:rPr>
          <w:rFonts w:hint="eastAsia" w:ascii="宋体" w:hAnsi="宋体" w:eastAsia="宋体" w:cs="宋体"/>
        </w:rPr>
        <w:t>情况，结合决策、管理、产出、效益等4个维度</w:t>
      </w:r>
      <w:r>
        <w:rPr>
          <w:rFonts w:hint="eastAsia" w:ascii="宋体" w:hAnsi="宋体" w:eastAsia="宋体" w:cs="宋体"/>
          <w:lang w:eastAsia="zh-CN"/>
        </w:rPr>
        <w:t>对本项目</w:t>
      </w:r>
      <w:r>
        <w:rPr>
          <w:rFonts w:hint="eastAsia" w:ascii="宋体" w:hAnsi="宋体" w:eastAsia="宋体" w:cs="宋体"/>
        </w:rPr>
        <w:t>进行了综合评价分析。</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highlight w:val="none"/>
          <w:lang w:eastAsia="zh-CN"/>
        </w:rPr>
      </w:pPr>
      <w:r>
        <w:rPr>
          <w:rFonts w:hint="eastAsia" w:ascii="宋体" w:hAnsi="宋体" w:eastAsia="宋体" w:cs="宋体"/>
          <w:lang w:val="en-US" w:eastAsia="zh-CN"/>
        </w:rPr>
        <w:t>2021</w:t>
      </w:r>
      <w:r>
        <w:rPr>
          <w:rFonts w:hint="eastAsia" w:ascii="宋体" w:hAnsi="宋体" w:eastAsia="宋体" w:cs="宋体"/>
        </w:rPr>
        <w:t>年度，市财政局安排</w:t>
      </w:r>
      <w:r>
        <w:rPr>
          <w:rFonts w:hint="eastAsia" w:ascii="宋体" w:hAnsi="宋体" w:eastAsia="宋体" w:cs="宋体"/>
          <w:lang w:val="en-US" w:eastAsia="zh-CN"/>
        </w:rPr>
        <w:t>175</w:t>
      </w:r>
      <w:r>
        <w:rPr>
          <w:rFonts w:hint="eastAsia" w:ascii="宋体" w:hAnsi="宋体" w:eastAsia="宋体" w:cs="宋体"/>
        </w:rPr>
        <w:t>万元专项资金用于“梅州市阿里云创新中心</w:t>
      </w:r>
      <w:r>
        <w:rPr>
          <w:rFonts w:hint="eastAsia" w:ascii="宋体" w:hAnsi="宋体" w:eastAsia="宋体" w:cs="宋体"/>
          <w:lang w:val="en-US" w:eastAsia="zh-CN"/>
        </w:rPr>
        <w:t>”重点项目</w:t>
      </w:r>
      <w:r>
        <w:rPr>
          <w:rFonts w:hint="eastAsia" w:ascii="宋体" w:hAnsi="宋体" w:eastAsia="宋体" w:cs="宋体"/>
        </w:rPr>
        <w:t>。项目交由</w:t>
      </w:r>
      <w:r>
        <w:rPr>
          <w:rFonts w:hint="eastAsia" w:ascii="宋体" w:hAnsi="宋体" w:eastAsia="宋体" w:cs="宋体"/>
          <w:lang w:eastAsia="zh-CN"/>
        </w:rPr>
        <w:t>市工信局</w:t>
      </w:r>
      <w:r>
        <w:rPr>
          <w:rFonts w:hint="eastAsia" w:ascii="宋体" w:hAnsi="宋体" w:eastAsia="宋体" w:cs="宋体"/>
        </w:rPr>
        <w:t>负责实施，于2020年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日起</w:t>
      </w:r>
      <w:r>
        <w:rPr>
          <w:rFonts w:hint="eastAsia" w:ascii="宋体" w:hAnsi="宋体" w:eastAsia="宋体" w:cs="宋体"/>
          <w:lang w:eastAsia="zh-CN"/>
        </w:rPr>
        <w:t>正式投入运营</w:t>
      </w:r>
      <w:r>
        <w:rPr>
          <w:rFonts w:hint="eastAsia" w:ascii="宋体" w:hAnsi="宋体" w:eastAsia="宋体" w:cs="宋体"/>
        </w:rPr>
        <w:t>。项目在</w:t>
      </w:r>
      <w:r>
        <w:rPr>
          <w:rFonts w:hint="eastAsia" w:ascii="宋体" w:hAnsi="宋体" w:eastAsia="宋体" w:cs="宋体"/>
          <w:lang w:eastAsia="zh-CN"/>
        </w:rPr>
        <w:t>实施</w:t>
      </w:r>
      <w:r>
        <w:rPr>
          <w:rFonts w:hint="eastAsia" w:ascii="宋体" w:hAnsi="宋体" w:eastAsia="宋体" w:cs="宋体"/>
        </w:rPr>
        <w:t>和管理过程中取得了一定的经验，</w:t>
      </w:r>
      <w:r>
        <w:rPr>
          <w:rFonts w:hint="eastAsia" w:ascii="宋体" w:hAnsi="宋体" w:eastAsia="宋体" w:cs="宋体"/>
          <w:lang w:eastAsia="zh-CN"/>
        </w:rPr>
        <w:t>基本完成</w:t>
      </w:r>
      <w:r>
        <w:rPr>
          <w:rFonts w:hint="eastAsia" w:ascii="宋体" w:hAnsi="宋体" w:eastAsia="宋体" w:cs="宋体"/>
          <w:highlight w:val="none"/>
          <w:lang w:eastAsia="zh-CN"/>
        </w:rPr>
        <w:t>《合作协议》中</w:t>
      </w:r>
      <w:r>
        <w:rPr>
          <w:rFonts w:hint="eastAsia" w:ascii="宋体" w:hAnsi="宋体" w:eastAsia="宋体" w:cs="宋体"/>
          <w:highlight w:val="none"/>
        </w:rPr>
        <w:t>的</w:t>
      </w:r>
      <w:r>
        <w:rPr>
          <w:rFonts w:hint="eastAsia" w:ascii="宋体" w:hAnsi="宋体" w:eastAsia="宋体" w:cs="宋体"/>
          <w:highlight w:val="none"/>
          <w:lang w:eastAsia="zh-CN"/>
        </w:rPr>
        <w:t>绩效目标。其中，在</w:t>
      </w:r>
      <w:r>
        <w:rPr>
          <w:rFonts w:hint="eastAsia" w:ascii="宋体" w:hAnsi="宋体" w:eastAsia="宋体" w:cs="宋体"/>
          <w:highlight w:val="none"/>
          <w:lang w:val="en-US" w:eastAsia="zh-CN"/>
        </w:rPr>
        <w:t>协议履行期内，线下入驻阿里云项目企业引进硕士及以上学位的创新创业人才（引进创新创业人才以企业缴纳社保记录为准）5人，这一目标未完成</w:t>
      </w:r>
      <w:r>
        <w:rPr>
          <w:rFonts w:hint="eastAsia" w:ascii="宋体" w:hAnsi="宋体" w:eastAsia="宋体" w:cs="宋体"/>
          <w:highlight w:val="none"/>
          <w:lang w:eastAsia="zh-CN"/>
        </w:rPr>
        <w:t>。项目的实施对创新创业具有一定的宣传作用，营造创新创业的氛围，具有一定的创业潮效应。</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仿宋" w:hAnsi="仿宋" w:eastAsia="仿宋" w:cs="仿宋"/>
          <w:sz w:val="28"/>
          <w:szCs w:val="28"/>
        </w:rPr>
      </w:pPr>
      <w:r>
        <w:rPr>
          <w:rFonts w:hint="eastAsia" w:ascii="宋体" w:hAnsi="宋体" w:eastAsia="宋体" w:cs="宋体"/>
        </w:rPr>
        <w:t>本次评价结果分为四个等级：优[90分～100分]，良[80分～90分)，中[60分～80分)，差(60分以下)。结合书面评审与现场评价情况，对照既定评价指标体系的各项指标及其评分细则，综合评价“梅州市阿里云创新</w:t>
      </w:r>
      <w:r>
        <w:rPr>
          <w:rFonts w:hint="eastAsia" w:ascii="宋体" w:hAnsi="宋体" w:eastAsia="宋体" w:cs="宋体"/>
          <w:lang w:eastAsia="zh-CN"/>
        </w:rPr>
        <w:t>中心</w:t>
      </w:r>
      <w:r>
        <w:rPr>
          <w:rFonts w:hint="eastAsia" w:ascii="宋体" w:hAnsi="宋体" w:eastAsia="宋体" w:cs="宋体"/>
        </w:rPr>
        <w:t>”</w:t>
      </w:r>
      <w:r>
        <w:rPr>
          <w:rFonts w:hint="eastAsia" w:ascii="宋体" w:hAnsi="宋体" w:eastAsia="宋体" w:cs="宋体"/>
          <w:lang w:eastAsia="zh-CN"/>
        </w:rPr>
        <w:t>重点</w:t>
      </w:r>
      <w:r>
        <w:rPr>
          <w:rFonts w:hint="eastAsia" w:ascii="宋体" w:hAnsi="宋体" w:eastAsia="宋体" w:cs="宋体"/>
        </w:rPr>
        <w:t>项目绩效评</w:t>
      </w:r>
      <w:r>
        <w:rPr>
          <w:rFonts w:hint="eastAsia" w:ascii="宋体" w:hAnsi="宋体" w:eastAsia="宋体" w:cs="宋体"/>
          <w:highlight w:val="none"/>
        </w:rPr>
        <w:t>价得分</w:t>
      </w:r>
      <w:r>
        <w:rPr>
          <w:rFonts w:hint="eastAsia" w:ascii="宋体" w:hAnsi="宋体" w:eastAsia="宋体" w:cs="宋体"/>
          <w:color w:val="auto"/>
          <w:highlight w:val="none"/>
        </w:rPr>
        <w:t>为</w:t>
      </w:r>
      <w:r>
        <w:rPr>
          <w:rFonts w:hint="eastAsia" w:ascii="宋体" w:hAnsi="宋体" w:eastAsia="宋体" w:cs="宋体"/>
          <w:color w:val="auto"/>
          <w:highlight w:val="none"/>
          <w:lang w:val="en-US" w:eastAsia="zh-CN"/>
        </w:rPr>
        <w:t>91.6</w:t>
      </w:r>
      <w:r>
        <w:rPr>
          <w:rFonts w:hint="eastAsia" w:ascii="宋体" w:hAnsi="宋体" w:eastAsia="宋体" w:cs="宋体"/>
          <w:color w:val="auto"/>
          <w:highlight w:val="none"/>
        </w:rPr>
        <w:t>分</w:t>
      </w:r>
      <w:r>
        <w:rPr>
          <w:rFonts w:hint="eastAsia" w:ascii="宋体" w:hAnsi="宋体" w:eastAsia="宋体" w:cs="宋体"/>
          <w:highlight w:val="none"/>
        </w:rPr>
        <w:t>，</w:t>
      </w:r>
      <w:r>
        <w:rPr>
          <w:rFonts w:hint="eastAsia" w:ascii="宋体" w:hAnsi="宋体" w:eastAsia="宋体" w:cs="宋体"/>
          <w:sz w:val="32"/>
          <w:szCs w:val="32"/>
          <w:highlight w:val="none"/>
        </w:rPr>
        <w:t>评定等级为“</w:t>
      </w:r>
      <w:r>
        <w:rPr>
          <w:rFonts w:hint="eastAsia" w:ascii="宋体" w:hAnsi="宋体" w:eastAsia="宋体" w:cs="宋体"/>
          <w:sz w:val="32"/>
          <w:szCs w:val="32"/>
          <w:highlight w:val="none"/>
          <w:lang w:eastAsia="zh-CN"/>
        </w:rPr>
        <w:t>优</w:t>
      </w:r>
      <w:r>
        <w:rPr>
          <w:rFonts w:hint="eastAsia" w:ascii="宋体" w:hAnsi="宋体" w:eastAsia="宋体" w:cs="宋体"/>
          <w:sz w:val="32"/>
          <w:szCs w:val="32"/>
          <w:highlight w:val="none"/>
        </w:rPr>
        <w:t>”。</w:t>
      </w:r>
      <w:r>
        <w:rPr>
          <w:rFonts w:hint="eastAsia" w:ascii="宋体" w:hAnsi="宋体" w:eastAsia="宋体" w:cs="宋体"/>
          <w:highlight w:val="none"/>
        </w:rPr>
        <w:t>得分情况</w:t>
      </w:r>
      <w:r>
        <w:rPr>
          <w:rFonts w:hint="eastAsia" w:ascii="宋体" w:hAnsi="宋体" w:eastAsia="宋体" w:cs="宋体"/>
        </w:rPr>
        <w:t>如下表：</w:t>
      </w:r>
    </w:p>
    <w:p>
      <w:pPr>
        <w:pStyle w:val="27"/>
        <w:keepLines w:val="0"/>
        <w:pageBreakBefore w:val="0"/>
        <w:kinsoku/>
        <w:wordWrap/>
        <w:overflowPunct/>
        <w:topLinePunct w:val="0"/>
        <w:bidi w:val="0"/>
        <w:snapToGrid/>
        <w:spacing w:line="360" w:lineRule="auto"/>
        <w:ind w:left="0" w:firstLine="560"/>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表</w:t>
      </w:r>
      <w:r>
        <w:rPr>
          <w:rFonts w:hint="eastAsia" w:ascii="黑体" w:hAnsi="黑体" w:eastAsia="黑体" w:cs="黑体"/>
          <w:color w:val="auto"/>
          <w:sz w:val="28"/>
          <w:szCs w:val="28"/>
          <w:highlight w:val="none"/>
          <w:lang w:val="en-US" w:eastAsia="zh-CN"/>
        </w:rPr>
        <w:t>1</w:t>
      </w:r>
      <w:r>
        <w:rPr>
          <w:rFonts w:hint="eastAsia" w:ascii="黑体" w:hAnsi="黑体" w:eastAsia="黑体" w:cs="黑体"/>
          <w:color w:val="auto"/>
          <w:sz w:val="28"/>
          <w:szCs w:val="28"/>
          <w:highlight w:val="none"/>
        </w:rPr>
        <w:t xml:space="preserve"> “梅州市阿里云创新中心项目”绩效评分综合得分</w:t>
      </w:r>
    </w:p>
    <w:tbl>
      <w:tblPr>
        <w:tblStyle w:val="29"/>
        <w:tblW w:w="4998"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191"/>
        <w:gridCol w:w="1869"/>
        <w:gridCol w:w="2052"/>
        <w:gridCol w:w="222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blHeader/>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评价维度</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1" w:firstLineChars="42"/>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 w:firstLineChars="4"/>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评价得分</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 w:firstLineChars="4"/>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决策</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0" w:firstLineChars="42"/>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15</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15</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管理</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0" w:firstLineChars="42"/>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25</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22</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产出</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0" w:firstLineChars="42"/>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30</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28.6</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95.33%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效益</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0" w:firstLineChars="42"/>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30</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26</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9" w:firstLineChars="4"/>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86.67%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综合评价</w:t>
            </w:r>
          </w:p>
        </w:tc>
        <w:tc>
          <w:tcPr>
            <w:tcW w:w="112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1" w:firstLineChars="42"/>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100</w:t>
            </w:r>
          </w:p>
        </w:tc>
        <w:tc>
          <w:tcPr>
            <w:tcW w:w="1231"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 w:firstLineChars="4"/>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91.6</w:t>
            </w:r>
          </w:p>
        </w:tc>
        <w:tc>
          <w:tcPr>
            <w:tcW w:w="1333" w:type="pct"/>
            <w:shd w:val="clear" w:color="auto" w:fill="auto"/>
            <w:tcMar>
              <w:top w:w="12" w:type="dxa"/>
              <w:left w:w="12" w:type="dxa"/>
              <w:right w:w="12" w:type="dxa"/>
            </w:tcMar>
            <w:vAlign w:val="center"/>
          </w:tcPr>
          <w:p>
            <w:pPr>
              <w:keepLines w:val="0"/>
              <w:pageBreakBefore w:val="0"/>
              <w:kinsoku/>
              <w:wordWrap/>
              <w:overflowPunct/>
              <w:topLinePunct w:val="0"/>
              <w:bidi w:val="0"/>
              <w:adjustRightInd w:val="0"/>
              <w:snapToGrid w:val="0"/>
              <w:spacing w:line="360" w:lineRule="auto"/>
              <w:ind w:left="0" w:firstLine="10" w:firstLineChars="4"/>
              <w:jc w:val="center"/>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91.6%</w:t>
            </w:r>
          </w:p>
        </w:tc>
      </w:tr>
    </w:tbl>
    <w:p>
      <w:pPr>
        <w:pStyle w:val="3"/>
        <w:keepNext w:val="0"/>
        <w:keepLines w:val="0"/>
        <w:pageBreakBefore w:val="0"/>
        <w:widowControl/>
        <w:kinsoku/>
        <w:wordWrap/>
        <w:overflowPunct/>
        <w:topLinePunct w:val="0"/>
        <w:autoSpaceDE/>
        <w:autoSpaceDN/>
        <w:bidi w:val="0"/>
        <w:adjustRightInd w:val="0"/>
        <w:snapToGrid w:val="0"/>
        <w:spacing w:beforeLines="100" w:line="360" w:lineRule="auto"/>
        <w:jc w:val="both"/>
        <w:textAlignment w:val="auto"/>
        <w:rPr>
          <w:rFonts w:hint="eastAsia" w:ascii="宋体" w:hAnsi="宋体" w:eastAsia="宋体" w:cs="宋体"/>
          <w:highlight w:val="none"/>
        </w:rPr>
      </w:pPr>
      <w:bookmarkStart w:id="51" w:name="_Toc1278"/>
      <w:bookmarkStart w:id="52" w:name="_Toc99813901"/>
      <w:bookmarkStart w:id="53" w:name="_Toc31475"/>
      <w:bookmarkStart w:id="54" w:name="_Toc99552759"/>
      <w:bookmarkStart w:id="55" w:name="_Toc99814050"/>
      <w:bookmarkStart w:id="56" w:name="_Toc99814318"/>
      <w:r>
        <w:rPr>
          <w:rFonts w:hint="eastAsia" w:ascii="宋体" w:hAnsi="宋体" w:eastAsia="宋体" w:cs="宋体"/>
          <w:highlight w:val="none"/>
        </w:rPr>
        <w:t>三、项目绩效指标分析</w:t>
      </w:r>
      <w:bookmarkEnd w:id="51"/>
      <w:bookmarkEnd w:id="52"/>
      <w:bookmarkEnd w:id="53"/>
      <w:bookmarkEnd w:id="54"/>
      <w:bookmarkEnd w:id="55"/>
      <w:bookmarkEnd w:id="56"/>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在本次评价中，一级指标分别为决策（</w:t>
      </w:r>
      <w:r>
        <w:rPr>
          <w:rFonts w:hint="eastAsia" w:ascii="宋体" w:hAnsi="宋体" w:eastAsia="宋体" w:cs="宋体"/>
          <w:lang w:val="en-US" w:eastAsia="zh-CN"/>
        </w:rPr>
        <w:t>15</w:t>
      </w:r>
      <w:r>
        <w:rPr>
          <w:rFonts w:hint="eastAsia" w:ascii="宋体" w:hAnsi="宋体" w:eastAsia="宋体" w:cs="宋体"/>
        </w:rPr>
        <w:t>分）、管理（</w:t>
      </w:r>
      <w:r>
        <w:rPr>
          <w:rFonts w:hint="eastAsia" w:ascii="宋体" w:hAnsi="宋体" w:eastAsia="宋体" w:cs="宋体"/>
          <w:lang w:val="en-US" w:eastAsia="zh-CN"/>
        </w:rPr>
        <w:t>25</w:t>
      </w:r>
      <w:r>
        <w:rPr>
          <w:rFonts w:hint="eastAsia" w:ascii="宋体" w:hAnsi="宋体" w:eastAsia="宋体" w:cs="宋体"/>
        </w:rPr>
        <w:t>分）、产出（30分）和效益（30分）。</w:t>
      </w:r>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rPr>
      </w:pPr>
      <w:bookmarkStart w:id="57" w:name="_Toc99813902"/>
      <w:bookmarkStart w:id="58" w:name="_Toc99814319"/>
      <w:bookmarkStart w:id="59" w:name="_Toc17178"/>
      <w:bookmarkStart w:id="60" w:name="_Toc16178"/>
      <w:bookmarkStart w:id="61" w:name="_Toc99814051"/>
      <w:bookmarkStart w:id="62" w:name="_Toc99552760"/>
      <w:r>
        <w:rPr>
          <w:rFonts w:hint="eastAsia" w:ascii="宋体" w:hAnsi="宋体" w:eastAsia="宋体" w:cs="宋体"/>
        </w:rPr>
        <w:t>（一）决策分析</w:t>
      </w:r>
      <w:bookmarkEnd w:id="57"/>
      <w:bookmarkEnd w:id="58"/>
      <w:bookmarkEnd w:id="59"/>
      <w:bookmarkEnd w:id="60"/>
      <w:bookmarkEnd w:id="61"/>
      <w:bookmarkEnd w:id="62"/>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该指标分值</w:t>
      </w:r>
      <w:r>
        <w:rPr>
          <w:rFonts w:hint="eastAsia" w:ascii="宋体" w:hAnsi="宋体" w:eastAsia="宋体" w:cs="宋体"/>
          <w:lang w:val="en-US" w:eastAsia="zh-CN"/>
        </w:rPr>
        <w:t>15</w:t>
      </w:r>
      <w:r>
        <w:rPr>
          <w:rFonts w:hint="eastAsia" w:ascii="宋体" w:hAnsi="宋体" w:eastAsia="宋体" w:cs="宋体"/>
        </w:rPr>
        <w:t>分，下设项目立项、资金落实两个二级指标。</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63" w:name="_Toc15390"/>
      <w:r>
        <w:rPr>
          <w:rFonts w:hint="eastAsia" w:ascii="宋体" w:hAnsi="宋体" w:eastAsia="宋体" w:cs="宋体"/>
          <w:b/>
        </w:rPr>
        <w:t>1.项目立项。</w:t>
      </w:r>
      <w:r>
        <w:rPr>
          <w:rFonts w:hint="eastAsia" w:ascii="宋体" w:hAnsi="宋体" w:eastAsia="宋体" w:cs="宋体"/>
        </w:rPr>
        <w:t>（分值12分，得分</w:t>
      </w:r>
      <w:r>
        <w:rPr>
          <w:rFonts w:hint="eastAsia" w:ascii="宋体" w:hAnsi="宋体" w:eastAsia="宋体" w:cs="宋体"/>
          <w:lang w:val="en-US" w:eastAsia="zh-CN"/>
        </w:rPr>
        <w:t>12</w:t>
      </w:r>
      <w:r>
        <w:rPr>
          <w:rFonts w:hint="eastAsia" w:ascii="宋体" w:hAnsi="宋体" w:eastAsia="宋体" w:cs="宋体"/>
        </w:rPr>
        <w:t>分）</w:t>
      </w:r>
      <w:bookmarkEnd w:id="63"/>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bookmarkStart w:id="64" w:name="_Toc486320100"/>
      <w:bookmarkStart w:id="65" w:name="_Toc486334654"/>
      <w:r>
        <w:rPr>
          <w:rFonts w:hint="eastAsia" w:ascii="宋体" w:hAnsi="宋体" w:eastAsia="宋体" w:cs="宋体"/>
        </w:rPr>
        <w:t>项目立项主要考评论证决策、目标设置、保障措施。</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bCs/>
        </w:rPr>
        <w:t>（1）论证</w:t>
      </w:r>
      <w:bookmarkEnd w:id="64"/>
      <w:bookmarkEnd w:id="65"/>
      <w:r>
        <w:rPr>
          <w:rFonts w:hint="eastAsia" w:ascii="宋体" w:hAnsi="宋体" w:eastAsia="宋体" w:cs="宋体"/>
          <w:b/>
          <w:bCs/>
        </w:rPr>
        <w:t>决策。</w:t>
      </w:r>
      <w:r>
        <w:rPr>
          <w:rFonts w:hint="eastAsia" w:ascii="宋体" w:hAnsi="宋体" w:eastAsia="宋体" w:cs="宋体"/>
        </w:rPr>
        <w:t>（分值4分，得分4分）</w:t>
      </w:r>
    </w:p>
    <w:p>
      <w:pPr>
        <w:keepLines w:val="0"/>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论证充分性</w:t>
      </w:r>
      <w:r>
        <w:rPr>
          <w:rFonts w:hint="eastAsia" w:ascii="宋体" w:hAnsi="宋体" w:eastAsia="宋体" w:cs="宋体"/>
        </w:rPr>
        <w:t>（分值4分，得分4分）根据市工信局提供的《市政府工作会议决定事项通知书》（梅市府办会函〔2019〕221号），该项目是按照《梅州市人民政府（甲方）、阿里云计算有限公司（乙方）、广东客天下旅游产业园有限公司（丙方）、星火工场（梅州）创业投资有限公司（丁方）、星火工场（深圳）创业投资有限公司（戊方）合作协议》（以下简称“《合作协议》”）文件执行，项目论证较充分。</w:t>
      </w:r>
    </w:p>
    <w:p>
      <w:pPr>
        <w:keepLines w:val="0"/>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bCs/>
        </w:rPr>
        <w:t>（2）目标设置。</w:t>
      </w:r>
      <w:r>
        <w:rPr>
          <w:rFonts w:hint="eastAsia" w:ascii="宋体" w:hAnsi="宋体" w:eastAsia="宋体" w:cs="宋体"/>
        </w:rPr>
        <w:t>（分值6分，得分</w:t>
      </w:r>
      <w:r>
        <w:rPr>
          <w:rFonts w:hint="eastAsia" w:ascii="宋体" w:hAnsi="宋体" w:eastAsia="宋体" w:cs="宋体"/>
          <w:lang w:val="en-US" w:eastAsia="zh-CN"/>
        </w:rPr>
        <w:t>6</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完整性</w:t>
      </w:r>
      <w:r>
        <w:rPr>
          <w:rFonts w:hint="eastAsia" w:ascii="宋体" w:hAnsi="宋体" w:eastAsia="宋体" w:cs="宋体"/>
        </w:rPr>
        <w:t>（分值2分，得分</w:t>
      </w:r>
      <w:r>
        <w:rPr>
          <w:rFonts w:hint="eastAsia" w:ascii="宋体" w:hAnsi="宋体" w:eastAsia="宋体" w:cs="宋体"/>
          <w:lang w:val="en-US" w:eastAsia="zh-CN"/>
        </w:rPr>
        <w:t>2</w:t>
      </w:r>
      <w:r>
        <w:rPr>
          <w:rFonts w:hint="eastAsia" w:ascii="宋体" w:hAnsi="宋体" w:eastAsia="宋体" w:cs="宋体"/>
        </w:rPr>
        <w:t>分）根据市工信局提供的《合作协议》与《项目绩效自评信息指标评分表》，市工信局按照资金的使用性质设置了预期总目标和2021年的阶段性目标，设置了相应的产出数量、质量、时效指标以及预期达到的效果性指标。</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合理性</w:t>
      </w:r>
      <w:r>
        <w:rPr>
          <w:rFonts w:hint="eastAsia" w:ascii="宋体" w:hAnsi="宋体" w:eastAsia="宋体" w:cs="宋体"/>
        </w:rPr>
        <w:t>（分值2分，得分</w:t>
      </w:r>
      <w:r>
        <w:rPr>
          <w:rFonts w:hint="eastAsia" w:ascii="宋体" w:hAnsi="宋体" w:eastAsia="宋体" w:cs="宋体"/>
          <w:lang w:val="en-US" w:eastAsia="zh-CN"/>
        </w:rPr>
        <w:t>2</w:t>
      </w:r>
      <w:r>
        <w:rPr>
          <w:rFonts w:hint="eastAsia" w:ascii="宋体" w:hAnsi="宋体" w:eastAsia="宋体" w:cs="宋体"/>
        </w:rPr>
        <w:t>分）根据市工信局提供的《合作协议》、《项目绩效自评信息指标评分表》与财务明细账，市工信局设置的绩效目标与项目属性特点相关，与支出内容相关。</w:t>
      </w:r>
    </w:p>
    <w:p>
      <w:pPr>
        <w:keepLines w:val="0"/>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可衡量性</w:t>
      </w:r>
      <w:r>
        <w:rPr>
          <w:rFonts w:hint="eastAsia" w:ascii="宋体" w:hAnsi="宋体" w:eastAsia="宋体" w:cs="宋体"/>
        </w:rPr>
        <w:t>（分值2分，得分</w:t>
      </w:r>
      <w:r>
        <w:rPr>
          <w:rFonts w:hint="eastAsia" w:ascii="宋体" w:hAnsi="宋体" w:eastAsia="宋体" w:cs="宋体"/>
          <w:lang w:val="en-US" w:eastAsia="zh-CN"/>
        </w:rPr>
        <w:t>2</w:t>
      </w:r>
      <w:r>
        <w:rPr>
          <w:rFonts w:hint="eastAsia" w:ascii="宋体" w:hAnsi="宋体" w:eastAsia="宋体" w:cs="宋体"/>
        </w:rPr>
        <w:t>分）根据市工信局提供的《合作协议》和《项目绩效自评信息指标评分表》，市工信局设置的预期总目标和2021年的阶段性目标可量化衡量，设置了相应的产出和效果性指标。</w:t>
      </w:r>
    </w:p>
    <w:p>
      <w:pPr>
        <w:keepLines w:val="0"/>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（3）保障措施。</w:t>
      </w:r>
      <w:r>
        <w:rPr>
          <w:rFonts w:hint="eastAsia" w:ascii="宋体" w:hAnsi="宋体" w:eastAsia="宋体" w:cs="宋体"/>
        </w:rPr>
        <w:t>（分值2分，得分</w:t>
      </w:r>
      <w:r>
        <w:rPr>
          <w:rFonts w:hint="eastAsia" w:ascii="宋体" w:hAnsi="宋体" w:eastAsia="宋体" w:cs="宋体"/>
          <w:lang w:val="en-US" w:eastAsia="zh-CN"/>
        </w:rPr>
        <w:t>2</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lang w:eastAsia="zh-CN"/>
        </w:rPr>
      </w:pPr>
      <w:r>
        <w:rPr>
          <w:rFonts w:hint="eastAsia" w:ascii="宋体" w:hAnsi="宋体" w:eastAsia="宋体" w:cs="宋体"/>
          <w:b/>
        </w:rPr>
        <w:t>制度完整性</w:t>
      </w:r>
      <w:r>
        <w:rPr>
          <w:rFonts w:hint="eastAsia" w:ascii="宋体" w:hAnsi="宋体" w:eastAsia="宋体" w:cs="宋体"/>
        </w:rPr>
        <w:t>（分值1分，得分1分）</w:t>
      </w:r>
      <w:r>
        <w:rPr>
          <w:rFonts w:hint="eastAsia" w:ascii="宋体" w:hAnsi="宋体" w:eastAsia="宋体" w:cs="宋体"/>
          <w:lang w:eastAsia="zh-CN"/>
        </w:rPr>
        <w:t>根据市工信局提供的《合作协议》及《梅州市工业和信息化局财政专项资金项目管理规定（2021年修订）》可知制度较完整，项目具备条件实施。</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b/>
        </w:rPr>
      </w:pPr>
      <w:r>
        <w:rPr>
          <w:rFonts w:hint="eastAsia" w:ascii="宋体" w:hAnsi="宋体" w:eastAsia="宋体" w:cs="宋体"/>
          <w:b/>
        </w:rPr>
        <w:t>计划安排合理性。</w:t>
      </w:r>
      <w:r>
        <w:rPr>
          <w:rFonts w:hint="eastAsia" w:ascii="宋体" w:hAnsi="宋体" w:eastAsia="宋体" w:cs="宋体"/>
        </w:rPr>
        <w:t>（分值1分，得分</w:t>
      </w:r>
      <w:r>
        <w:rPr>
          <w:rFonts w:hint="eastAsia" w:ascii="宋体" w:hAnsi="宋体" w:eastAsia="宋体" w:cs="宋体"/>
          <w:lang w:val="en-US" w:eastAsia="zh-CN"/>
        </w:rPr>
        <w:t>1</w:t>
      </w:r>
      <w:r>
        <w:rPr>
          <w:rFonts w:hint="eastAsia" w:ascii="宋体" w:hAnsi="宋体" w:eastAsia="宋体" w:cs="宋体"/>
        </w:rPr>
        <w:t>分）</w:t>
      </w:r>
      <w:bookmarkStart w:id="66" w:name="_Toc11957"/>
      <w:r>
        <w:rPr>
          <w:rFonts w:hint="eastAsia" w:ascii="宋体" w:hAnsi="宋体" w:eastAsia="宋体" w:cs="宋体"/>
        </w:rPr>
        <w:t>项目按照《合作协议》的约定执行，计划安排合理。</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r>
        <w:rPr>
          <w:rFonts w:hint="eastAsia" w:ascii="宋体" w:hAnsi="宋体" w:eastAsia="宋体" w:cs="宋体"/>
          <w:b/>
        </w:rPr>
        <w:t>2.资金落实。</w:t>
      </w:r>
      <w:r>
        <w:rPr>
          <w:rFonts w:hint="eastAsia" w:ascii="宋体" w:hAnsi="宋体" w:eastAsia="宋体" w:cs="宋体"/>
        </w:rPr>
        <w:t>（分值</w:t>
      </w:r>
      <w:r>
        <w:rPr>
          <w:rFonts w:hint="eastAsia" w:ascii="宋体" w:hAnsi="宋体" w:eastAsia="宋体" w:cs="宋体"/>
          <w:lang w:val="en-US" w:eastAsia="zh-CN"/>
        </w:rPr>
        <w:t>3</w:t>
      </w:r>
      <w:r>
        <w:rPr>
          <w:rFonts w:hint="eastAsia" w:ascii="宋体" w:hAnsi="宋体" w:eastAsia="宋体" w:cs="宋体"/>
        </w:rPr>
        <w:t>分，得分</w:t>
      </w:r>
      <w:r>
        <w:rPr>
          <w:rFonts w:hint="eastAsia" w:ascii="宋体" w:hAnsi="宋体" w:eastAsia="宋体" w:cs="宋体"/>
          <w:lang w:val="en-US" w:eastAsia="zh-CN"/>
        </w:rPr>
        <w:t>3</w:t>
      </w:r>
      <w:r>
        <w:rPr>
          <w:rFonts w:hint="eastAsia" w:ascii="宋体" w:hAnsi="宋体" w:eastAsia="宋体" w:cs="宋体"/>
        </w:rPr>
        <w:t>分）</w:t>
      </w:r>
      <w:bookmarkEnd w:id="66"/>
      <w:bookmarkStart w:id="67" w:name="_Toc8087"/>
    </w:p>
    <w:p>
      <w:pPr>
        <w:pStyle w:val="38"/>
        <w:keepLines w:val="0"/>
        <w:pageBreakBefore w:val="0"/>
        <w:kinsoku/>
        <w:wordWrap/>
        <w:overflowPunct/>
        <w:topLinePunct w:val="0"/>
        <w:bidi w:val="0"/>
        <w:adjustRightInd w:val="0"/>
        <w:snapToGrid w:val="0"/>
        <w:spacing w:line="360" w:lineRule="auto"/>
        <w:ind w:left="643" w:firstLine="0" w:firstLineChars="0"/>
        <w:jc w:val="both"/>
        <w:textAlignment w:val="auto"/>
        <w:rPr>
          <w:rFonts w:hint="eastAsia" w:ascii="宋体" w:hAnsi="宋体" w:eastAsia="宋体" w:cs="宋体"/>
        </w:rPr>
      </w:pPr>
      <w:r>
        <w:rPr>
          <w:rFonts w:hint="eastAsia" w:ascii="宋体" w:hAnsi="宋体" w:eastAsia="宋体" w:cs="宋体"/>
        </w:rPr>
        <w:t>资金落实主要考评资金分配。</w:t>
      </w:r>
    </w:p>
    <w:bookmarkEnd w:id="67"/>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资金分配。</w:t>
      </w:r>
      <w:r>
        <w:rPr>
          <w:rFonts w:hint="eastAsia" w:ascii="宋体" w:hAnsi="宋体" w:eastAsia="宋体" w:cs="宋体"/>
        </w:rPr>
        <w:t>（分值3分，得分3分）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资金分配合理性</w:t>
      </w:r>
      <w:r>
        <w:rPr>
          <w:rFonts w:hint="eastAsia" w:ascii="宋体" w:hAnsi="宋体" w:eastAsia="宋体" w:cs="宋体"/>
        </w:rPr>
        <w:t>（分值3分，得分3分）根据《合作协议》约定的具体资金补贴内容、市工信局提供的《关于申请下达梅州市阿里云创新中心项目资金预算指标的函》以及项目支出明细账，体现了本项目资金按照《合作协议》分配，因此资金分配合理。</w:t>
      </w:r>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rPr>
      </w:pPr>
      <w:bookmarkStart w:id="68" w:name="_Toc99813903"/>
      <w:bookmarkStart w:id="69" w:name="_Toc19615"/>
      <w:bookmarkStart w:id="70" w:name="_Toc99552761"/>
      <w:bookmarkStart w:id="71" w:name="_Toc5884"/>
      <w:bookmarkStart w:id="72" w:name="_Toc99814320"/>
      <w:bookmarkStart w:id="73" w:name="_Toc99814052"/>
      <w:r>
        <w:rPr>
          <w:rFonts w:hint="eastAsia" w:ascii="宋体" w:hAnsi="宋体" w:eastAsia="宋体" w:cs="宋体"/>
        </w:rPr>
        <w:t>（二）管理分析</w:t>
      </w:r>
      <w:bookmarkEnd w:id="68"/>
      <w:bookmarkEnd w:id="69"/>
      <w:bookmarkEnd w:id="70"/>
      <w:bookmarkEnd w:id="71"/>
      <w:bookmarkEnd w:id="72"/>
      <w:bookmarkEnd w:id="73"/>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该指标分值</w:t>
      </w:r>
      <w:r>
        <w:rPr>
          <w:rFonts w:hint="eastAsia" w:ascii="宋体" w:hAnsi="宋体" w:eastAsia="宋体" w:cs="宋体"/>
          <w:lang w:val="en-US" w:eastAsia="zh-CN"/>
        </w:rPr>
        <w:t>25</w:t>
      </w:r>
      <w:r>
        <w:rPr>
          <w:rFonts w:hint="eastAsia" w:ascii="宋体" w:hAnsi="宋体" w:eastAsia="宋体" w:cs="宋体"/>
        </w:rPr>
        <w:t>分，下设资金管理、事项管理两个二级指标。</w:t>
      </w:r>
      <w:bookmarkStart w:id="74" w:name="_Toc26552"/>
      <w:bookmarkStart w:id="75" w:name="_Toc86310885"/>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76" w:name="_Toc21298"/>
      <w:r>
        <w:rPr>
          <w:rFonts w:hint="eastAsia" w:ascii="宋体" w:hAnsi="宋体" w:eastAsia="宋体" w:cs="宋体"/>
          <w:b/>
        </w:rPr>
        <w:t>1.资金管理。</w:t>
      </w:r>
      <w:r>
        <w:rPr>
          <w:rFonts w:hint="eastAsia" w:ascii="宋体" w:hAnsi="宋体" w:eastAsia="宋体" w:cs="宋体"/>
        </w:rPr>
        <w:t>（分值</w:t>
      </w:r>
      <w:r>
        <w:rPr>
          <w:rFonts w:hint="eastAsia" w:ascii="宋体" w:hAnsi="宋体" w:eastAsia="宋体" w:cs="宋体"/>
          <w:lang w:val="en-US" w:eastAsia="zh-CN"/>
        </w:rPr>
        <w:t>15</w:t>
      </w:r>
      <w:r>
        <w:rPr>
          <w:rFonts w:hint="eastAsia" w:ascii="宋体" w:hAnsi="宋体" w:eastAsia="宋体" w:cs="宋体"/>
        </w:rPr>
        <w:t>分，得分</w:t>
      </w:r>
      <w:r>
        <w:rPr>
          <w:rFonts w:hint="eastAsia" w:ascii="宋体" w:hAnsi="宋体" w:eastAsia="宋体" w:cs="宋体"/>
          <w:lang w:val="en-US" w:eastAsia="zh-CN"/>
        </w:rPr>
        <w:t>14</w:t>
      </w:r>
      <w:r>
        <w:rPr>
          <w:rFonts w:hint="eastAsia" w:ascii="宋体" w:hAnsi="宋体" w:eastAsia="宋体" w:cs="宋体"/>
        </w:rPr>
        <w:t>分）</w:t>
      </w:r>
      <w:bookmarkEnd w:id="74"/>
      <w:bookmarkEnd w:id="75"/>
      <w:bookmarkEnd w:id="76"/>
    </w:p>
    <w:p>
      <w:pPr>
        <w:pStyle w:val="27"/>
        <w:keepLines w:val="0"/>
        <w:pageBreakBefore w:val="0"/>
        <w:kinsoku/>
        <w:wordWrap/>
        <w:overflowPunct/>
        <w:topLinePunct w:val="0"/>
        <w:bidi w:val="0"/>
        <w:spacing w:line="360" w:lineRule="auto"/>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资金管理主要考评资金支付、支出规范性。</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bCs/>
        </w:rPr>
      </w:pPr>
      <w:r>
        <w:rPr>
          <w:rFonts w:hint="eastAsia" w:ascii="宋体" w:hAnsi="宋体" w:eastAsia="宋体" w:cs="宋体"/>
          <w:b/>
        </w:rPr>
        <w:t>（1）资金支付。</w:t>
      </w:r>
      <w:r>
        <w:rPr>
          <w:rFonts w:hint="eastAsia" w:ascii="宋体" w:hAnsi="宋体" w:eastAsia="宋体" w:cs="宋体"/>
          <w:bCs/>
        </w:rPr>
        <w:t>（分值</w:t>
      </w:r>
      <w:r>
        <w:rPr>
          <w:rFonts w:hint="eastAsia" w:ascii="宋体" w:hAnsi="宋体" w:eastAsia="宋体" w:cs="宋体"/>
          <w:bCs/>
          <w:lang w:val="en-US" w:eastAsia="zh-CN"/>
        </w:rPr>
        <w:t>3</w:t>
      </w:r>
      <w:r>
        <w:rPr>
          <w:rFonts w:hint="eastAsia" w:ascii="宋体" w:hAnsi="宋体" w:eastAsia="宋体" w:cs="宋体"/>
          <w:bCs/>
        </w:rPr>
        <w:t>分，得分</w:t>
      </w:r>
      <w:r>
        <w:rPr>
          <w:rFonts w:hint="eastAsia" w:ascii="宋体" w:hAnsi="宋体" w:eastAsia="宋体" w:cs="宋体"/>
          <w:bCs/>
          <w:lang w:val="en-US" w:eastAsia="zh-CN"/>
        </w:rPr>
        <w:t>3</w:t>
      </w:r>
      <w:r>
        <w:rPr>
          <w:rFonts w:hint="eastAsia" w:ascii="宋体" w:hAnsi="宋体" w:eastAsia="宋体" w:cs="宋体"/>
          <w:bCs/>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资金支出率</w:t>
      </w:r>
      <w:r>
        <w:rPr>
          <w:rFonts w:hint="eastAsia" w:ascii="宋体" w:hAnsi="宋体" w:eastAsia="宋体" w:cs="宋体"/>
        </w:rPr>
        <w:t>（分值</w:t>
      </w:r>
      <w:r>
        <w:rPr>
          <w:rFonts w:hint="eastAsia" w:ascii="宋体" w:hAnsi="宋体" w:eastAsia="宋体" w:cs="宋体"/>
          <w:lang w:val="en-US" w:eastAsia="zh-CN"/>
        </w:rPr>
        <w:t>3</w:t>
      </w:r>
      <w:r>
        <w:rPr>
          <w:rFonts w:hint="eastAsia" w:ascii="宋体" w:hAnsi="宋体" w:eastAsia="宋体" w:cs="宋体"/>
        </w:rPr>
        <w:t>分，得分</w:t>
      </w:r>
      <w:r>
        <w:rPr>
          <w:rFonts w:hint="eastAsia" w:ascii="宋体" w:hAnsi="宋体" w:eastAsia="宋体" w:cs="宋体"/>
          <w:lang w:val="en-US" w:eastAsia="zh-CN"/>
        </w:rPr>
        <w:t>3</w:t>
      </w:r>
      <w:r>
        <w:rPr>
          <w:rFonts w:hint="eastAsia" w:ascii="宋体" w:hAnsi="宋体" w:eastAsia="宋体" w:cs="宋体"/>
        </w:rPr>
        <w:t>分）根据市工信局提供的项目支出明细账、记账凭证及附单等佐证资料，项目到位资金175万元，实际支出175万元，支出率100%（支出率=实际支出金额/总到位金额*100%=175/175*100%=100%），故得分为3*100%=3分。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（2）支出规范性。</w:t>
      </w:r>
      <w:r>
        <w:rPr>
          <w:rFonts w:hint="eastAsia" w:ascii="宋体" w:hAnsi="宋体" w:eastAsia="宋体" w:cs="宋体"/>
        </w:rPr>
        <w:t>（分值</w:t>
      </w:r>
      <w:r>
        <w:rPr>
          <w:rFonts w:hint="eastAsia" w:ascii="宋体" w:hAnsi="宋体" w:eastAsia="宋体" w:cs="宋体"/>
          <w:lang w:val="en-US" w:eastAsia="zh-CN"/>
        </w:rPr>
        <w:t>12</w:t>
      </w:r>
      <w:r>
        <w:rPr>
          <w:rFonts w:hint="eastAsia" w:ascii="宋体" w:hAnsi="宋体" w:eastAsia="宋体" w:cs="宋体"/>
        </w:rPr>
        <w:t>分，得分</w:t>
      </w:r>
      <w:r>
        <w:rPr>
          <w:rFonts w:hint="eastAsia" w:ascii="宋体" w:hAnsi="宋体" w:eastAsia="宋体" w:cs="宋体"/>
          <w:lang w:val="en-US" w:eastAsia="zh-CN"/>
        </w:rPr>
        <w:t>11</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预算执行规范性</w:t>
      </w:r>
      <w:r>
        <w:rPr>
          <w:rFonts w:hint="eastAsia" w:ascii="宋体" w:hAnsi="宋体" w:eastAsia="宋体" w:cs="宋体"/>
        </w:rPr>
        <w:t>(分值2分，得分</w:t>
      </w:r>
      <w:r>
        <w:rPr>
          <w:rFonts w:hint="eastAsia" w:ascii="宋体" w:hAnsi="宋体" w:eastAsia="宋体" w:cs="宋体"/>
          <w:lang w:val="en-US" w:eastAsia="zh-CN"/>
        </w:rPr>
        <w:t>2</w:t>
      </w:r>
      <w:r>
        <w:rPr>
          <w:rFonts w:hint="eastAsia" w:ascii="宋体" w:hAnsi="宋体" w:eastAsia="宋体" w:cs="宋体"/>
        </w:rPr>
        <w:t>分)根据市工信局提供的《关于申请下达梅州市阿里云创新中心项目资金预算指标的函》及《关于批复2021年市直部门预算的通知》（梅市财预〔2021〕23号），项目预算执行规范，未发生重大调整，不存在超概情况；根据《合作协议》和财务明细账、记账凭证及附单，市工信局按《合作协议》约定向市财政申请支付资金。</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事项支出的合规性</w:t>
      </w:r>
      <w:r>
        <w:rPr>
          <w:rFonts w:hint="eastAsia" w:ascii="宋体" w:hAnsi="宋体" w:eastAsia="宋体" w:cs="宋体"/>
        </w:rPr>
        <w:t>（分值</w:t>
      </w:r>
      <w:r>
        <w:rPr>
          <w:rFonts w:hint="eastAsia" w:ascii="宋体" w:hAnsi="宋体" w:eastAsia="宋体" w:cs="宋体"/>
          <w:lang w:val="en-US" w:eastAsia="zh-CN"/>
        </w:rPr>
        <w:t>8</w:t>
      </w:r>
      <w:r>
        <w:rPr>
          <w:rFonts w:hint="eastAsia" w:ascii="宋体" w:hAnsi="宋体" w:eastAsia="宋体" w:cs="宋体"/>
        </w:rPr>
        <w:t>分，得分</w:t>
      </w:r>
      <w:r>
        <w:rPr>
          <w:rFonts w:hint="eastAsia" w:ascii="宋体" w:hAnsi="宋体" w:eastAsia="宋体" w:cs="宋体"/>
          <w:lang w:val="en-US" w:eastAsia="zh-CN"/>
        </w:rPr>
        <w:t>8</w:t>
      </w:r>
      <w:r>
        <w:rPr>
          <w:rFonts w:hint="eastAsia" w:ascii="宋体" w:hAnsi="宋体" w:eastAsia="宋体" w:cs="宋体"/>
        </w:rPr>
        <w:t>分）项目支出及管理符合《项目支出绩效评价管理办法》（财预〔2020〕10号）及《梅州市工业和信息化局财政专项资金项目管理规定（2021年修订）》的规定。</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会计核算规范性</w:t>
      </w:r>
      <w:r>
        <w:rPr>
          <w:rFonts w:hint="eastAsia" w:ascii="宋体" w:hAnsi="宋体" w:eastAsia="宋体" w:cs="宋体"/>
        </w:rPr>
        <w:t>（分值2分，得分</w:t>
      </w:r>
      <w:r>
        <w:rPr>
          <w:rFonts w:hint="eastAsia" w:ascii="宋体" w:hAnsi="宋体" w:eastAsia="宋体" w:cs="宋体"/>
          <w:lang w:val="en-US" w:eastAsia="zh-CN"/>
        </w:rPr>
        <w:t>1</w:t>
      </w:r>
      <w:r>
        <w:rPr>
          <w:rFonts w:hint="eastAsia" w:ascii="宋体" w:hAnsi="宋体" w:eastAsia="宋体" w:cs="宋体"/>
        </w:rPr>
        <w:t>分）根据评价组现场核查情况，存在记账凭证未附财政直接支付凭证的情况，故扣1分。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77" w:name="_Toc24536"/>
      <w:r>
        <w:rPr>
          <w:rFonts w:hint="eastAsia" w:ascii="宋体" w:hAnsi="宋体" w:eastAsia="宋体" w:cs="宋体"/>
          <w:b/>
        </w:rPr>
        <w:t>2.事项管理。</w:t>
      </w:r>
      <w:r>
        <w:rPr>
          <w:rFonts w:hint="eastAsia" w:ascii="宋体" w:hAnsi="宋体" w:eastAsia="宋体" w:cs="宋体"/>
        </w:rPr>
        <w:t>（分值</w:t>
      </w:r>
      <w:r>
        <w:rPr>
          <w:rFonts w:hint="eastAsia" w:ascii="宋体" w:hAnsi="宋体" w:eastAsia="宋体" w:cs="宋体"/>
          <w:lang w:val="en-US" w:eastAsia="zh-CN"/>
        </w:rPr>
        <w:t>10</w:t>
      </w:r>
      <w:r>
        <w:rPr>
          <w:rFonts w:hint="eastAsia" w:ascii="宋体" w:hAnsi="宋体" w:eastAsia="宋体" w:cs="宋体"/>
        </w:rPr>
        <w:t>分，得分</w:t>
      </w:r>
      <w:r>
        <w:rPr>
          <w:rFonts w:hint="eastAsia" w:ascii="宋体" w:hAnsi="宋体" w:eastAsia="宋体" w:cs="宋体"/>
          <w:lang w:val="en-US" w:eastAsia="zh-CN"/>
        </w:rPr>
        <w:t>8</w:t>
      </w:r>
      <w:r>
        <w:rPr>
          <w:rFonts w:hint="eastAsia" w:ascii="宋体" w:hAnsi="宋体" w:eastAsia="宋体" w:cs="宋体"/>
        </w:rPr>
        <w:t>分）</w:t>
      </w:r>
      <w:bookmarkEnd w:id="77"/>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事项管理主要考评实施程序、管理情况。</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（1）实施程序。</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w:t>
      </w:r>
      <w:r>
        <w:rPr>
          <w:rFonts w:hint="eastAsia" w:ascii="宋体" w:hAnsi="宋体" w:eastAsia="宋体" w:cs="宋体"/>
          <w:lang w:val="en-US" w:eastAsia="zh-CN"/>
        </w:rPr>
        <w:t>5</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程序规范性</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5</w:t>
      </w:r>
      <w:r>
        <w:rPr>
          <w:rFonts w:hint="eastAsia" w:ascii="宋体" w:hAnsi="宋体" w:eastAsia="宋体" w:cs="宋体"/>
        </w:rPr>
        <w:t>分）该项目按照《合作协议》以及《梅州市工业和信息化局财政专项资金项目管理规定（2021年修订）》执行，考核的运营目标已完成第一、二年度阶段验收并提供了专家组验收意见，150万元阿里云创客补贴以代金券的形式发放给了28家符合《合作协议》约定条件的企业，市工信局提供了相关的佐证资料。</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（2）管理情况。</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3</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lang w:eastAsia="zh-CN"/>
        </w:rPr>
      </w:pPr>
      <w:r>
        <w:rPr>
          <w:rFonts w:hint="eastAsia" w:ascii="宋体" w:hAnsi="宋体" w:eastAsia="宋体" w:cs="宋体"/>
          <w:b/>
        </w:rPr>
        <w:t>监管有效性</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val="en-US" w:eastAsia="zh-CN"/>
        </w:rPr>
        <w:t>1.根据市工信局提供的《梅州市工业和信息化局财政专项资金项目管理规定（2021年修订）》、梅州阿里云创新中心入驻管理办法及阿里云创客补贴代金券发放管理制度，资金使用单位制定了管理制度；</w:t>
      </w:r>
    </w:p>
    <w:p>
      <w:pPr>
        <w:keepLines w:val="0"/>
        <w:pageBreakBefore w:val="0"/>
        <w:numPr>
          <w:ilvl w:val="0"/>
          <w:numId w:val="0"/>
        </w:numPr>
        <w:kinsoku/>
        <w:wordWrap/>
        <w:overflowPunct/>
        <w:topLinePunct w:val="0"/>
        <w:bidi w:val="0"/>
        <w:adjustRightInd w:val="0"/>
        <w:snapToGrid w:val="0"/>
        <w:spacing w:line="360" w:lineRule="auto"/>
        <w:ind w:firstLine="640" w:firstLineChars="200"/>
        <w:jc w:val="both"/>
        <w:textAlignment w:val="auto"/>
        <w:rPr>
          <w:rFonts w:hint="default"/>
          <w:lang w:val="en-US" w:eastAsia="zh-CN"/>
        </w:rPr>
      </w:pPr>
      <w:r>
        <w:rPr>
          <w:rFonts w:hint="eastAsia" w:ascii="宋体" w:hAnsi="宋体" w:eastAsia="宋体" w:cs="宋体"/>
          <w:kern w:val="0"/>
          <w:sz w:val="32"/>
          <w:szCs w:val="32"/>
          <w:lang w:val="en-US" w:eastAsia="zh-CN"/>
        </w:rPr>
        <w:t>2.根据市工信局提供的入驻阿里云项目的企业名单、阿里云代金券发放及使用情况表、《梅州市工业和信息化局关于加强项目合同履约和运营管理的函》及现场检查照片等佐证资料，市工信局于2022年3月21日及4月1日到阿里云创新中心就运营目标的完成及规范使用补贴资金等事项开展了检查、督促工作。但第二年度的阿里云代金券存在于第三年度即2022年5月7号后才发放的情况，具有滞后性，故扣2分。</w:t>
      </w:r>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highlight w:val="none"/>
        </w:rPr>
      </w:pPr>
      <w:bookmarkStart w:id="78" w:name="_Toc99552762"/>
      <w:bookmarkStart w:id="79" w:name="_Toc99814321"/>
      <w:bookmarkStart w:id="80" w:name="_Toc21695"/>
      <w:bookmarkStart w:id="81" w:name="_Toc99813904"/>
      <w:bookmarkStart w:id="82" w:name="_Toc99814053"/>
      <w:bookmarkStart w:id="83" w:name="_Toc21193"/>
      <w:r>
        <w:rPr>
          <w:rFonts w:hint="eastAsia" w:ascii="宋体" w:hAnsi="宋体" w:eastAsia="宋体" w:cs="宋体"/>
          <w:highlight w:val="none"/>
        </w:rPr>
        <w:t>（三）产出分析</w:t>
      </w:r>
      <w:bookmarkEnd w:id="78"/>
      <w:bookmarkEnd w:id="79"/>
      <w:bookmarkEnd w:id="80"/>
      <w:bookmarkEnd w:id="81"/>
      <w:bookmarkEnd w:id="82"/>
      <w:bookmarkEnd w:id="83"/>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该指标分值30分，下设经济性、效率性两个二级指标。</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84" w:name="_Toc18803"/>
      <w:r>
        <w:rPr>
          <w:rFonts w:hint="eastAsia" w:ascii="宋体" w:hAnsi="宋体" w:eastAsia="宋体" w:cs="宋体"/>
          <w:b/>
        </w:rPr>
        <w:t>1.经济性。</w:t>
      </w:r>
      <w:r>
        <w:rPr>
          <w:rFonts w:hint="eastAsia" w:ascii="宋体" w:hAnsi="宋体" w:eastAsia="宋体" w:cs="宋体"/>
        </w:rPr>
        <w:t>（分值</w:t>
      </w:r>
      <w:r>
        <w:rPr>
          <w:rFonts w:hint="eastAsia" w:ascii="宋体" w:hAnsi="宋体" w:eastAsia="宋体" w:cs="宋体"/>
          <w:lang w:val="en-US" w:eastAsia="zh-CN"/>
        </w:rPr>
        <w:t>10</w:t>
      </w:r>
      <w:r>
        <w:rPr>
          <w:rFonts w:hint="eastAsia" w:ascii="宋体" w:hAnsi="宋体" w:eastAsia="宋体" w:cs="宋体"/>
        </w:rPr>
        <w:t>分，得分</w:t>
      </w:r>
      <w:r>
        <w:rPr>
          <w:rFonts w:hint="eastAsia" w:ascii="宋体" w:hAnsi="宋体" w:eastAsia="宋体" w:cs="宋体"/>
          <w:lang w:val="en-US" w:eastAsia="zh-CN"/>
        </w:rPr>
        <w:t>10</w:t>
      </w:r>
      <w:r>
        <w:rPr>
          <w:rFonts w:hint="eastAsia" w:ascii="宋体" w:hAnsi="宋体" w:eastAsia="宋体" w:cs="宋体"/>
        </w:rPr>
        <w:t>分）</w:t>
      </w:r>
      <w:bookmarkEnd w:id="84"/>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经济性主要考评预算控制、成本控制。</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（1）预算控制。</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5</w:t>
      </w:r>
      <w:r>
        <w:rPr>
          <w:rFonts w:hint="eastAsia" w:ascii="宋体" w:hAnsi="宋体" w:eastAsia="宋体" w:cs="宋体"/>
        </w:rPr>
        <w:t>分）根据市工信局提供的《关于批复2021年市直部门预算的通知》（梅市财预〔2021〕23号）、财务明细账、记账凭证及附单等财务资料，实际支出在预算范围内。</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（2）成本控制。</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5</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成本节约</w:t>
      </w:r>
      <w:r>
        <w:rPr>
          <w:rFonts w:hint="eastAsia" w:ascii="宋体" w:hAnsi="宋体" w:eastAsia="宋体" w:cs="宋体"/>
          <w:b/>
          <w:lang w:eastAsia="zh-CN"/>
        </w:rPr>
        <w:t>（成本指标）</w:t>
      </w:r>
      <w:r>
        <w:rPr>
          <w:rFonts w:hint="eastAsia" w:ascii="宋体" w:hAnsi="宋体" w:eastAsia="宋体" w:cs="宋体"/>
        </w:rPr>
        <w:t>（分值</w:t>
      </w:r>
      <w:r>
        <w:rPr>
          <w:rFonts w:hint="eastAsia" w:ascii="宋体" w:hAnsi="宋体" w:eastAsia="宋体" w:cs="宋体"/>
          <w:lang w:val="en-US" w:eastAsia="zh-CN"/>
        </w:rPr>
        <w:t>5</w:t>
      </w:r>
      <w:r>
        <w:rPr>
          <w:rFonts w:hint="eastAsia" w:ascii="宋体" w:hAnsi="宋体" w:eastAsia="宋体" w:cs="宋体"/>
        </w:rPr>
        <w:t>分，得分</w:t>
      </w:r>
      <w:r>
        <w:rPr>
          <w:rFonts w:hint="eastAsia" w:ascii="宋体" w:hAnsi="宋体" w:eastAsia="宋体" w:cs="宋体"/>
          <w:lang w:val="en-US" w:eastAsia="zh-CN"/>
        </w:rPr>
        <w:t>5</w:t>
      </w:r>
      <w:r>
        <w:rPr>
          <w:rFonts w:hint="eastAsia" w:ascii="宋体" w:hAnsi="宋体" w:eastAsia="宋体" w:cs="宋体"/>
        </w:rPr>
        <w:t>分）项目根据《合作协议》约定的补贴资金进行支付</w:t>
      </w:r>
      <w:r>
        <w:rPr>
          <w:rFonts w:hint="eastAsia" w:ascii="宋体" w:hAnsi="宋体" w:eastAsia="宋体" w:cs="宋体"/>
          <w:lang w:eastAsia="zh-CN"/>
        </w:rPr>
        <w:t>，在预算范围内</w:t>
      </w:r>
      <w:r>
        <w:rPr>
          <w:rFonts w:hint="eastAsia" w:ascii="宋体" w:hAnsi="宋体" w:eastAsia="宋体" w:cs="宋体"/>
        </w:rPr>
        <w:t>。</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85" w:name="_Toc17744"/>
      <w:r>
        <w:rPr>
          <w:rFonts w:hint="eastAsia" w:ascii="宋体" w:hAnsi="宋体" w:eastAsia="宋体" w:cs="宋体"/>
          <w:b/>
        </w:rPr>
        <w:t>2.效率性。</w:t>
      </w:r>
      <w:r>
        <w:rPr>
          <w:rFonts w:hint="eastAsia" w:ascii="宋体" w:hAnsi="宋体" w:eastAsia="宋体" w:cs="宋体"/>
        </w:rPr>
        <w:t>（分值</w:t>
      </w:r>
      <w:r>
        <w:rPr>
          <w:rFonts w:hint="eastAsia" w:ascii="宋体" w:hAnsi="宋体" w:eastAsia="宋体" w:cs="宋体"/>
          <w:lang w:val="en-US" w:eastAsia="zh-CN"/>
        </w:rPr>
        <w:t>20</w:t>
      </w:r>
      <w:r>
        <w:rPr>
          <w:rFonts w:hint="eastAsia" w:ascii="宋体" w:hAnsi="宋体" w:eastAsia="宋体" w:cs="宋体"/>
        </w:rPr>
        <w:t>分，得分</w:t>
      </w:r>
      <w:r>
        <w:rPr>
          <w:rFonts w:hint="eastAsia" w:ascii="宋体" w:hAnsi="宋体" w:eastAsia="宋体" w:cs="宋体"/>
          <w:lang w:val="en-US" w:eastAsia="zh-CN"/>
        </w:rPr>
        <w:t>18.6</w:t>
      </w:r>
      <w:r>
        <w:rPr>
          <w:rFonts w:hint="eastAsia" w:ascii="宋体" w:hAnsi="宋体" w:eastAsia="宋体" w:cs="宋体"/>
        </w:rPr>
        <w:t>分）</w:t>
      </w:r>
      <w:bookmarkEnd w:id="85"/>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bCs/>
        </w:rPr>
      </w:pPr>
      <w:r>
        <w:rPr>
          <w:rFonts w:hint="eastAsia" w:ascii="宋体" w:hAnsi="宋体" w:eastAsia="宋体" w:cs="宋体"/>
          <w:bCs/>
        </w:rPr>
        <w:t>效率性主要考评完成进度、</w:t>
      </w:r>
      <w:r>
        <w:rPr>
          <w:rFonts w:hint="eastAsia" w:ascii="宋体" w:hAnsi="宋体" w:eastAsia="宋体" w:cs="宋体"/>
          <w:bCs/>
          <w:lang w:eastAsia="zh-CN"/>
        </w:rPr>
        <w:t>完成时间、</w:t>
      </w:r>
      <w:r>
        <w:rPr>
          <w:rFonts w:hint="eastAsia" w:ascii="宋体" w:hAnsi="宋体" w:eastAsia="宋体" w:cs="宋体"/>
          <w:bCs/>
        </w:rPr>
        <w:t>完成质量。</w:t>
      </w:r>
    </w:p>
    <w:p>
      <w:pPr>
        <w:keepLines w:val="0"/>
        <w:pageBreakBefore w:val="0"/>
        <w:numPr>
          <w:ilvl w:val="0"/>
          <w:numId w:val="3"/>
        </w:numPr>
        <w:kinsoku/>
        <w:wordWrap/>
        <w:overflowPunct/>
        <w:topLinePunct w:val="0"/>
        <w:bidi w:val="0"/>
        <w:adjustRightInd w:val="0"/>
        <w:snapToGrid w:val="0"/>
        <w:spacing w:line="360" w:lineRule="auto"/>
        <w:ind w:left="0" w:firstLine="643" w:firstLineChars="200"/>
        <w:jc w:val="both"/>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rPr>
        <w:t>完成进度。</w:t>
      </w:r>
      <w:r>
        <w:rPr>
          <w:rFonts w:hint="eastAsia" w:ascii="宋体" w:hAnsi="宋体" w:eastAsia="宋体" w:cs="宋体"/>
          <w:highlight w:val="none"/>
        </w:rPr>
        <w:t>（分值</w:t>
      </w:r>
      <w:r>
        <w:rPr>
          <w:rFonts w:hint="eastAsia" w:ascii="宋体" w:hAnsi="宋体" w:eastAsia="宋体" w:cs="宋体"/>
          <w:highlight w:val="none"/>
          <w:lang w:val="en-US" w:eastAsia="zh-CN"/>
        </w:rPr>
        <w:t>8</w:t>
      </w:r>
      <w:r>
        <w:rPr>
          <w:rFonts w:hint="eastAsia" w:ascii="宋体" w:hAnsi="宋体" w:eastAsia="宋体" w:cs="宋体"/>
          <w:highlight w:val="none"/>
        </w:rPr>
        <w:t>分，得分</w:t>
      </w:r>
      <w:r>
        <w:rPr>
          <w:rFonts w:hint="eastAsia" w:ascii="宋体" w:hAnsi="宋体" w:eastAsia="宋体" w:cs="宋体"/>
          <w:highlight w:val="none"/>
          <w:lang w:val="en-US" w:eastAsia="zh-CN"/>
        </w:rPr>
        <w:t>7.6</w:t>
      </w:r>
      <w:r>
        <w:rPr>
          <w:rFonts w:hint="eastAsia" w:ascii="宋体" w:hAnsi="宋体" w:eastAsia="宋体" w:cs="宋体"/>
          <w:highlight w:val="none"/>
        </w:rPr>
        <w:t>分）</w:t>
      </w:r>
    </w:p>
    <w:p>
      <w:pPr>
        <w:keepLines w:val="0"/>
        <w:pageBreakBefore w:val="0"/>
        <w:numPr>
          <w:ilvl w:val="0"/>
          <w:numId w:val="0"/>
        </w:numPr>
        <w:kinsoku/>
        <w:wordWrap/>
        <w:overflowPunct/>
        <w:topLinePunct w:val="0"/>
        <w:bidi w:val="0"/>
        <w:adjustRightInd w:val="0"/>
        <w:snapToGrid w:val="0"/>
        <w:spacing w:line="360" w:lineRule="auto"/>
        <w:ind w:firstLine="643" w:firstLineChars="200"/>
        <w:jc w:val="both"/>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150万元的创客补贴以阿里云资源代金券的形式发放给符合《合作协议》约定条件企业的完成进度和消费进度</w:t>
      </w:r>
      <w:r>
        <w:rPr>
          <w:rFonts w:hint="eastAsia" w:ascii="宋体" w:hAnsi="宋体" w:eastAsia="宋体" w:cs="宋体"/>
          <w:highlight w:val="none"/>
        </w:rPr>
        <w:t>（分值</w:t>
      </w:r>
      <w:r>
        <w:rPr>
          <w:rFonts w:hint="eastAsia" w:ascii="宋体" w:hAnsi="宋体" w:eastAsia="宋体" w:cs="宋体"/>
          <w:highlight w:val="none"/>
          <w:lang w:val="en-US" w:eastAsia="zh-CN"/>
        </w:rPr>
        <w:t>6</w:t>
      </w:r>
      <w:r>
        <w:rPr>
          <w:rFonts w:hint="eastAsia" w:ascii="宋体" w:hAnsi="宋体" w:eastAsia="宋体" w:cs="宋体"/>
          <w:highlight w:val="none"/>
        </w:rPr>
        <w:t>分，得分</w:t>
      </w:r>
      <w:r>
        <w:rPr>
          <w:rFonts w:hint="eastAsia" w:ascii="宋体" w:hAnsi="宋体" w:eastAsia="宋体" w:cs="宋体"/>
          <w:highlight w:val="none"/>
          <w:lang w:val="en-US" w:eastAsia="zh-CN"/>
        </w:rPr>
        <w:t>6</w:t>
      </w:r>
      <w:r>
        <w:rPr>
          <w:rFonts w:hint="eastAsia" w:ascii="宋体" w:hAnsi="宋体" w:eastAsia="宋体" w:cs="宋体"/>
          <w:highlight w:val="none"/>
        </w:rPr>
        <w:t>分）根据梅州市工业和信息化局提供的阿里云代金券发放及使用情况表等佐证资料，150万元的创客补贴已经以阿里云资源代金券的形式发放给了符合《合作协议》约定条件的28家企业，代金券已使用1,436,043.97元，使用率达96%，剩余代金券在2023年初才到期，目前尚在使用期限内。</w:t>
      </w:r>
    </w:p>
    <w:p>
      <w:pPr>
        <w:keepNext w:val="0"/>
        <w:keepLines w:val="0"/>
        <w:pageBreakBefore w:val="0"/>
        <w:widowControl/>
        <w:kinsoku/>
        <w:wordWrap/>
        <w:overflowPunct/>
        <w:topLinePunct w:val="0"/>
        <w:autoSpaceDE/>
        <w:autoSpaceDN/>
        <w:bidi w:val="0"/>
        <w:adjustRightInd w:val="0"/>
        <w:snapToGrid w:val="0"/>
        <w:spacing w:line="360" w:lineRule="auto"/>
        <w:ind w:left="0" w:firstLine="643" w:firstLineChars="200"/>
        <w:jc w:val="both"/>
        <w:textAlignment w:val="auto"/>
        <w:rPr>
          <w:rFonts w:hint="eastAsia" w:ascii="宋体" w:hAnsi="宋体" w:eastAsia="宋体" w:cs="宋体"/>
          <w:b w:val="0"/>
          <w:bCs w:val="0"/>
          <w:sz w:val="32"/>
          <w:szCs w:val="32"/>
          <w:highlight w:val="none"/>
        </w:rPr>
      </w:pPr>
      <w:r>
        <w:rPr>
          <w:rFonts w:hint="eastAsia" w:ascii="宋体" w:hAnsi="宋体" w:eastAsia="宋体" w:cs="宋体"/>
          <w:b/>
        </w:rPr>
        <w:t>线上及线下入驻企业7家、知识产权授权5个或进入审查环节发明专利1个、开展相关创业活动3场、引进硕士及以上人才5</w:t>
      </w:r>
      <w:r>
        <w:rPr>
          <w:rFonts w:hint="eastAsia" w:ascii="宋体" w:hAnsi="宋体" w:eastAsia="宋体" w:cs="宋体"/>
          <w:b/>
          <w:highlight w:val="none"/>
        </w:rPr>
        <w:t>人</w:t>
      </w:r>
      <w:r>
        <w:rPr>
          <w:rFonts w:hint="eastAsia" w:ascii="宋体" w:hAnsi="宋体" w:eastAsia="宋体" w:cs="宋体"/>
          <w:highlight w:val="none"/>
        </w:rPr>
        <w:t>（分值</w:t>
      </w:r>
      <w:r>
        <w:rPr>
          <w:rFonts w:hint="eastAsia" w:ascii="宋体" w:hAnsi="宋体" w:eastAsia="宋体" w:cs="宋体"/>
          <w:highlight w:val="none"/>
          <w:lang w:val="en-US" w:eastAsia="zh-CN"/>
        </w:rPr>
        <w:t>2</w:t>
      </w:r>
      <w:r>
        <w:rPr>
          <w:rFonts w:hint="eastAsia" w:ascii="宋体" w:hAnsi="宋体" w:eastAsia="宋体" w:cs="宋体"/>
          <w:highlight w:val="none"/>
        </w:rPr>
        <w:t>分，得分</w:t>
      </w:r>
      <w:r>
        <w:rPr>
          <w:rFonts w:hint="eastAsia" w:ascii="宋体" w:hAnsi="宋体" w:eastAsia="宋体" w:cs="宋体"/>
          <w:highlight w:val="none"/>
          <w:lang w:val="en-US" w:eastAsia="zh-CN"/>
        </w:rPr>
        <w:t>1.6</w:t>
      </w:r>
      <w:r>
        <w:rPr>
          <w:rFonts w:hint="eastAsia" w:ascii="宋体" w:hAnsi="宋体" w:eastAsia="宋体" w:cs="宋体"/>
          <w:highlight w:val="none"/>
        </w:rPr>
        <w:t>分）根据梅州市工业和信息化局提供的第一及第二年度项目验收专家组意见显示，项目运营第二年已完成线上入驻企业8家、线下入驻企业4家（由于第一年完成线下入驻企业26家，超额完成目标，根据《合作协议》约定第一年完成三年累计运营业绩中任何一项，第二年的同项目标不再考核）、所有入驻阿里云项目的企业（包括线上、线下）知识产权授权13个、相关创业活动的开展4场、线下入驻阿里云项目企业引进硕士及以上学位的创新型行业人才数为0人。按照运营目标数的比例扣：2（分值）/5（运营目标数）*1（未完成目标数）=0.4。</w:t>
      </w:r>
    </w:p>
    <w:p>
      <w:pPr>
        <w:keepLines w:val="0"/>
        <w:pageBreakBefore w:val="0"/>
        <w:numPr>
          <w:ilvl w:val="0"/>
          <w:numId w:val="4"/>
        </w:numPr>
        <w:kinsoku/>
        <w:wordWrap/>
        <w:overflowPunct/>
        <w:topLinePunct w:val="0"/>
        <w:bidi w:val="0"/>
        <w:adjustRightInd w:val="0"/>
        <w:snapToGrid w:val="0"/>
        <w:spacing w:line="360" w:lineRule="auto"/>
        <w:ind w:left="0" w:firstLine="643" w:firstLineChars="200"/>
        <w:jc w:val="both"/>
        <w:textAlignment w:val="auto"/>
        <w:rPr>
          <w:rFonts w:hint="default" w:eastAsia="华文中宋D..."/>
          <w:lang w:val="en-US" w:eastAsia="zh-CN"/>
        </w:rPr>
      </w:pPr>
      <w:r>
        <w:rPr>
          <w:rFonts w:hint="eastAsia" w:ascii="宋体" w:hAnsi="宋体" w:eastAsia="宋体" w:cs="宋体"/>
          <w:b/>
        </w:rPr>
        <w:t>完成</w:t>
      </w:r>
      <w:r>
        <w:rPr>
          <w:rFonts w:hint="eastAsia" w:ascii="宋体" w:hAnsi="宋体" w:eastAsia="宋体" w:cs="宋体"/>
          <w:b/>
          <w:lang w:eastAsia="zh-CN"/>
        </w:rPr>
        <w:t>时间</w:t>
      </w:r>
      <w:r>
        <w:rPr>
          <w:rFonts w:hint="eastAsia" w:ascii="宋体" w:hAnsi="宋体" w:eastAsia="宋体" w:cs="宋体"/>
        </w:rPr>
        <w:t>（分值</w:t>
      </w:r>
      <w:r>
        <w:rPr>
          <w:rFonts w:hint="eastAsia" w:ascii="宋体" w:hAnsi="宋体" w:eastAsia="宋体" w:cs="宋体"/>
          <w:lang w:val="en-US" w:eastAsia="zh-CN"/>
        </w:rPr>
        <w:t>4</w:t>
      </w:r>
      <w:r>
        <w:rPr>
          <w:rFonts w:hint="eastAsia" w:ascii="宋体" w:hAnsi="宋体" w:eastAsia="宋体" w:cs="宋体"/>
        </w:rPr>
        <w:t>分，得分</w:t>
      </w:r>
      <w:r>
        <w:rPr>
          <w:rFonts w:hint="eastAsia" w:ascii="宋体" w:hAnsi="宋体" w:eastAsia="宋体" w:cs="宋体"/>
          <w:lang w:val="en-US" w:eastAsia="zh-CN"/>
        </w:rPr>
        <w:t>3.6</w:t>
      </w:r>
      <w:r>
        <w:rPr>
          <w:rFonts w:hint="eastAsia" w:ascii="宋体" w:hAnsi="宋体" w:eastAsia="宋体" w:cs="宋体"/>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firstLine="643"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eastAsia="zh-CN"/>
        </w:rPr>
        <w:t>资金按时支付、运营目标、阿里云代金券消费按时完成</w:t>
      </w:r>
      <w:r>
        <w:rPr>
          <w:rFonts w:hint="eastAsia" w:ascii="宋体" w:hAnsi="宋体" w:eastAsia="宋体" w:cs="宋体"/>
        </w:rPr>
        <w:t>（分值</w:t>
      </w:r>
      <w:r>
        <w:rPr>
          <w:rFonts w:hint="eastAsia" w:ascii="宋体" w:hAnsi="宋体" w:eastAsia="宋体" w:cs="宋体"/>
          <w:lang w:val="en-US" w:eastAsia="zh-CN"/>
        </w:rPr>
        <w:t>4</w:t>
      </w:r>
      <w:r>
        <w:rPr>
          <w:rFonts w:hint="eastAsia" w:ascii="宋体" w:hAnsi="宋体" w:eastAsia="宋体" w:cs="宋体"/>
        </w:rPr>
        <w:t>分，得分</w:t>
      </w:r>
      <w:r>
        <w:rPr>
          <w:rFonts w:hint="eastAsia" w:ascii="宋体" w:hAnsi="宋体" w:eastAsia="宋体" w:cs="宋体"/>
          <w:lang w:val="en-US" w:eastAsia="zh-CN"/>
        </w:rPr>
        <w:t>3.6</w:t>
      </w:r>
      <w:r>
        <w:rPr>
          <w:rFonts w:hint="eastAsia" w:ascii="宋体" w:hAnsi="宋体" w:eastAsia="宋体" w:cs="宋体"/>
        </w:rPr>
        <w:t>分）</w:t>
      </w:r>
      <w:r>
        <w:rPr>
          <w:rFonts w:hint="eastAsia" w:ascii="宋体" w:hAnsi="宋体" w:eastAsia="宋体" w:cs="宋体"/>
          <w:lang w:eastAsia="zh-CN"/>
        </w:rPr>
        <w:t>1.根据市工信局提供的财务资料，市工信局在2022年6月18日向市财政局申请支付175万元的补贴资金，市财政局于2022年7月23日向阿里云计算有限公司支付了150万元的创客补贴，于2022年7月28日向星火工场（梅州）创业投资有限公司支付了25万元的运营补贴（根据合作协议约定因国库支付原因造成付款延时的不支付违约金）。但存在以下事项：根据市工信局提供的第二年度项目验收专家组意见等佐证资料，第二年度运营目标除引进硕士及以上人才5人未完成，其余目标已完成，所以此指标扣0.4分；2</w:t>
      </w:r>
      <w:r>
        <w:rPr>
          <w:rFonts w:hint="eastAsia" w:ascii="宋体" w:hAnsi="宋体" w:eastAsia="宋体" w:cs="宋体"/>
          <w:lang w:val="en-US" w:eastAsia="zh-CN"/>
        </w:rPr>
        <w:t>.</w:t>
      </w:r>
      <w:r>
        <w:rPr>
          <w:rFonts w:hint="eastAsia" w:ascii="宋体" w:hAnsi="宋体" w:eastAsia="宋体" w:cs="宋体"/>
          <w:lang w:eastAsia="zh-CN"/>
        </w:rPr>
        <w:t>根据市工信局提供的阿里云代金券发放及使用情况表等佐证资料，代金券已使用了1,436,043.97元，使用率达96%，剩余代金券于2023年初才到期，暂不能考量能否按时消费。</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w:t>
      </w:r>
      <w:r>
        <w:rPr>
          <w:rFonts w:hint="eastAsia" w:ascii="宋体" w:hAnsi="宋体" w:eastAsia="宋体" w:cs="宋体"/>
          <w:b/>
          <w:lang w:val="en-US" w:eastAsia="zh-CN"/>
        </w:rPr>
        <w:t>3</w:t>
      </w:r>
      <w:r>
        <w:rPr>
          <w:rFonts w:hint="eastAsia" w:ascii="宋体" w:hAnsi="宋体" w:eastAsia="宋体" w:cs="宋体"/>
          <w:b/>
        </w:rPr>
        <w:t>）完成质量</w:t>
      </w:r>
      <w:r>
        <w:rPr>
          <w:rFonts w:hint="eastAsia" w:ascii="宋体" w:hAnsi="宋体" w:eastAsia="宋体" w:cs="宋体"/>
        </w:rPr>
        <w:t>（分值</w:t>
      </w:r>
      <w:r>
        <w:rPr>
          <w:rFonts w:hint="eastAsia" w:ascii="宋体" w:hAnsi="宋体" w:eastAsia="宋体" w:cs="宋体"/>
          <w:lang w:val="en-US" w:eastAsia="zh-CN"/>
        </w:rPr>
        <w:t>8</w:t>
      </w:r>
      <w:r>
        <w:rPr>
          <w:rFonts w:hint="eastAsia" w:ascii="宋体" w:hAnsi="宋体" w:eastAsia="宋体" w:cs="宋体"/>
        </w:rPr>
        <w:t>分，得分</w:t>
      </w:r>
      <w:r>
        <w:rPr>
          <w:rFonts w:hint="eastAsia" w:ascii="宋体" w:hAnsi="宋体" w:eastAsia="宋体" w:cs="宋体"/>
          <w:lang w:val="en-US" w:eastAsia="zh-CN"/>
        </w:rPr>
        <w:t>7.4</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lang w:eastAsia="zh-CN"/>
        </w:rPr>
      </w:pPr>
      <w:r>
        <w:rPr>
          <w:rFonts w:hint="eastAsia" w:ascii="宋体" w:hAnsi="宋体" w:eastAsia="宋体" w:cs="宋体"/>
          <w:b/>
          <w:lang w:eastAsia="zh-CN"/>
        </w:rPr>
        <w:t>项目</w:t>
      </w:r>
      <w:r>
        <w:rPr>
          <w:rFonts w:hint="eastAsia" w:ascii="宋体" w:hAnsi="宋体" w:eastAsia="宋体" w:cs="宋体"/>
          <w:b/>
        </w:rPr>
        <w:t>验收合格率</w:t>
      </w:r>
      <w:r>
        <w:rPr>
          <w:rFonts w:hint="eastAsia" w:ascii="宋体" w:hAnsi="宋体" w:eastAsia="宋体" w:cs="宋体"/>
        </w:rPr>
        <w:t>（分值</w:t>
      </w:r>
      <w:r>
        <w:rPr>
          <w:rFonts w:hint="eastAsia" w:ascii="宋体" w:hAnsi="宋体" w:eastAsia="宋体" w:cs="宋体"/>
          <w:lang w:val="en-US" w:eastAsia="zh-CN"/>
        </w:rPr>
        <w:t>8</w:t>
      </w:r>
      <w:r>
        <w:rPr>
          <w:rFonts w:hint="eastAsia" w:ascii="宋体" w:hAnsi="宋体" w:eastAsia="宋体" w:cs="宋体"/>
        </w:rPr>
        <w:t>分，得分</w:t>
      </w:r>
      <w:r>
        <w:rPr>
          <w:rFonts w:hint="eastAsia" w:ascii="宋体" w:hAnsi="宋体" w:eastAsia="宋体" w:cs="宋体"/>
          <w:lang w:val="en-US" w:eastAsia="zh-CN"/>
        </w:rPr>
        <w:t>7.4</w:t>
      </w:r>
      <w:r>
        <w:rPr>
          <w:rFonts w:hint="eastAsia" w:ascii="宋体" w:hAnsi="宋体" w:eastAsia="宋体" w:cs="宋体"/>
        </w:rPr>
        <w:t>分）1</w:t>
      </w:r>
      <w:r>
        <w:rPr>
          <w:rFonts w:hint="eastAsia" w:ascii="宋体" w:hAnsi="宋体" w:eastAsia="宋体" w:cs="宋体"/>
          <w:lang w:val="en-US" w:eastAsia="zh-CN"/>
        </w:rPr>
        <w:t>.</w:t>
      </w:r>
      <w:r>
        <w:rPr>
          <w:rFonts w:hint="eastAsia" w:ascii="宋体" w:hAnsi="宋体" w:eastAsia="宋体" w:cs="宋体"/>
        </w:rPr>
        <w:t>根据梅州市工业和信息化局提供的第二年度项目验收专家组意见，该项目实际于2020年5月8日正式投入运营，项目正式运营第二年（2021年5月8日-2022年5月7日）新增线下入驻企业4家（前两年合计15家）、线上入驻企业8家、知识产权授权13个、活动4场、硕士及以上人才0人，对照《合作协议》第五条“丁方、戊方责任”第（三）点约定“第二年（新增），线下入驻企业7家，线上入驻企业7家，知识产权授权5个或进入审查环节发明专利1个，硕士及以上5人”的目标，总体完成率80%，项目运营验收合格率得分为80%*2=1.6；2</w:t>
      </w:r>
      <w:r>
        <w:rPr>
          <w:rFonts w:hint="eastAsia" w:ascii="宋体" w:hAnsi="宋体" w:eastAsia="宋体" w:cs="宋体"/>
          <w:lang w:val="en-US" w:eastAsia="zh-CN"/>
        </w:rPr>
        <w:t>.</w:t>
      </w:r>
      <w:r>
        <w:rPr>
          <w:rFonts w:hint="eastAsia" w:ascii="宋体" w:hAnsi="宋体" w:eastAsia="宋体" w:cs="宋体"/>
        </w:rPr>
        <w:t>根据市工信局提供的第二年度150万阿里云代金券发放及使用情况表等佐证资料，代金券已使用了1,436,043.97元，使用率达96%，故此指标得分96%*6≈5.8分</w:t>
      </w:r>
      <w:r>
        <w:rPr>
          <w:rFonts w:hint="eastAsia" w:ascii="宋体" w:hAnsi="宋体" w:eastAsia="宋体" w:cs="宋体"/>
          <w:lang w:eastAsia="zh-CN"/>
        </w:rPr>
        <w:t>。</w:t>
      </w:r>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rPr>
      </w:pPr>
      <w:bookmarkStart w:id="86" w:name="_Toc99814054"/>
      <w:bookmarkStart w:id="87" w:name="_Toc1852"/>
      <w:bookmarkStart w:id="88" w:name="_Toc15914"/>
      <w:bookmarkStart w:id="89" w:name="_Toc99552763"/>
      <w:bookmarkStart w:id="90" w:name="_Toc99813905"/>
      <w:bookmarkStart w:id="91" w:name="_Toc99814322"/>
      <w:r>
        <w:rPr>
          <w:rFonts w:hint="eastAsia" w:ascii="宋体" w:hAnsi="宋体" w:eastAsia="宋体" w:cs="宋体"/>
        </w:rPr>
        <w:t>（四）效益分析</w:t>
      </w:r>
      <w:bookmarkEnd w:id="86"/>
      <w:bookmarkEnd w:id="87"/>
      <w:bookmarkEnd w:id="88"/>
      <w:bookmarkEnd w:id="89"/>
      <w:bookmarkEnd w:id="90"/>
      <w:bookmarkEnd w:id="91"/>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该指标分值30分，得分</w:t>
      </w:r>
      <w:r>
        <w:rPr>
          <w:rFonts w:hint="eastAsia" w:ascii="宋体" w:hAnsi="宋体" w:eastAsia="宋体" w:cs="宋体"/>
          <w:highlight w:val="none"/>
          <w:lang w:val="en-US" w:eastAsia="zh-CN"/>
        </w:rPr>
        <w:t>30</w:t>
      </w:r>
      <w:r>
        <w:rPr>
          <w:rFonts w:hint="eastAsia" w:ascii="宋体" w:hAnsi="宋体" w:eastAsia="宋体" w:cs="宋体"/>
        </w:rPr>
        <w:t>分，下设效果性、公平性两个二级指标。</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92" w:name="_Toc5793"/>
      <w:r>
        <w:rPr>
          <w:rFonts w:hint="eastAsia" w:ascii="宋体" w:hAnsi="宋体" w:eastAsia="宋体" w:cs="宋体"/>
          <w:b/>
        </w:rPr>
        <w:t>1.效果性</w:t>
      </w:r>
      <w:r>
        <w:rPr>
          <w:rFonts w:hint="eastAsia" w:ascii="宋体" w:hAnsi="宋体" w:eastAsia="宋体" w:cs="宋体"/>
        </w:rPr>
        <w:t>（分值25分，得分</w:t>
      </w:r>
      <w:r>
        <w:rPr>
          <w:rFonts w:hint="eastAsia" w:ascii="宋体" w:hAnsi="宋体" w:eastAsia="宋体" w:cs="宋体"/>
          <w:lang w:val="en-US" w:eastAsia="zh-CN"/>
        </w:rPr>
        <w:t>21</w:t>
      </w:r>
      <w:r>
        <w:rPr>
          <w:rFonts w:hint="eastAsia" w:ascii="宋体" w:hAnsi="宋体" w:eastAsia="宋体" w:cs="宋体"/>
        </w:rPr>
        <w:t>分）</w:t>
      </w:r>
      <w:bookmarkEnd w:id="92"/>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效果性主要考评经济效益、社会效益。</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（1）经济效益。</w:t>
      </w:r>
      <w:r>
        <w:rPr>
          <w:rFonts w:hint="eastAsia" w:ascii="宋体" w:hAnsi="宋体" w:eastAsia="宋体" w:cs="宋体"/>
        </w:rPr>
        <w:t>（分值</w:t>
      </w:r>
      <w:r>
        <w:rPr>
          <w:rFonts w:hint="eastAsia" w:ascii="宋体" w:hAnsi="宋体" w:eastAsia="宋体" w:cs="宋体"/>
          <w:lang w:val="en-US" w:eastAsia="zh-CN"/>
        </w:rPr>
        <w:t>15</w:t>
      </w:r>
      <w:r>
        <w:rPr>
          <w:rFonts w:hint="eastAsia" w:ascii="宋体" w:hAnsi="宋体" w:eastAsia="宋体" w:cs="宋体"/>
        </w:rPr>
        <w:t>分，得分</w:t>
      </w:r>
      <w:r>
        <w:rPr>
          <w:rFonts w:hint="eastAsia" w:ascii="宋体" w:hAnsi="宋体" w:eastAsia="宋体" w:cs="宋体"/>
          <w:lang w:val="en-US" w:eastAsia="zh-CN"/>
        </w:rPr>
        <w:t>15</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2021年度阿里云资源代金券使用率</w:t>
      </w:r>
      <w:r>
        <w:rPr>
          <w:rFonts w:hint="eastAsia" w:ascii="宋体" w:hAnsi="宋体" w:eastAsia="宋体" w:cs="宋体"/>
        </w:rPr>
        <w:t>（分值</w:t>
      </w:r>
      <w:r>
        <w:rPr>
          <w:rFonts w:hint="eastAsia" w:ascii="宋体" w:hAnsi="宋体" w:eastAsia="宋体" w:cs="宋体"/>
          <w:lang w:val="en-US" w:eastAsia="zh-CN"/>
        </w:rPr>
        <w:t>15</w:t>
      </w:r>
      <w:r>
        <w:rPr>
          <w:rFonts w:hint="eastAsia" w:ascii="宋体" w:hAnsi="宋体" w:eastAsia="宋体" w:cs="宋体"/>
        </w:rPr>
        <w:t>分，得分</w:t>
      </w:r>
      <w:r>
        <w:rPr>
          <w:rFonts w:hint="eastAsia" w:ascii="宋体" w:hAnsi="宋体" w:eastAsia="宋体" w:cs="宋体"/>
          <w:lang w:val="en-US" w:eastAsia="zh-CN"/>
        </w:rPr>
        <w:t>15</w:t>
      </w:r>
      <w:r>
        <w:rPr>
          <w:rFonts w:hint="eastAsia" w:ascii="宋体" w:hAnsi="宋体" w:eastAsia="宋体" w:cs="宋体"/>
        </w:rPr>
        <w:t>分）根据市工信局提供的阿里云代金券发放及使用情况表等佐证资料，第二年度阿里云代金券总额为150万，已使用了1,436,043.97元，使用率=1,436,043.97/1,500,000≈96%，故此指标得15分。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（2）社会效益。</w:t>
      </w:r>
      <w:r>
        <w:rPr>
          <w:rFonts w:hint="eastAsia" w:ascii="宋体" w:hAnsi="宋体" w:eastAsia="宋体" w:cs="宋体"/>
        </w:rPr>
        <w:t>（分值</w:t>
      </w:r>
      <w:r>
        <w:rPr>
          <w:rFonts w:hint="eastAsia" w:ascii="宋体" w:hAnsi="宋体" w:eastAsia="宋体" w:cs="宋体"/>
          <w:lang w:val="en-US" w:eastAsia="zh-CN"/>
        </w:rPr>
        <w:t>10</w:t>
      </w:r>
      <w:r>
        <w:rPr>
          <w:rFonts w:hint="eastAsia" w:ascii="宋体" w:hAnsi="宋体" w:eastAsia="宋体" w:cs="宋体"/>
        </w:rPr>
        <w:t>分，得分</w:t>
      </w:r>
      <w:r>
        <w:rPr>
          <w:rFonts w:hint="eastAsia" w:ascii="宋体" w:hAnsi="宋体" w:eastAsia="宋体" w:cs="宋体"/>
          <w:lang w:val="en-US" w:eastAsia="zh-CN"/>
        </w:rPr>
        <w:t>6</w:t>
      </w:r>
      <w:r>
        <w:rPr>
          <w:rFonts w:hint="eastAsia" w:ascii="宋体" w:hAnsi="宋体" w:eastAsia="宋体" w:cs="宋体"/>
        </w:rPr>
        <w:t>分）</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对创新创业具有一定的宣传作用，营造了创新创业的氛围</w:t>
      </w:r>
      <w:r>
        <w:rPr>
          <w:rFonts w:hint="eastAsia" w:ascii="宋体" w:hAnsi="宋体" w:eastAsia="宋体" w:cs="宋体"/>
        </w:rPr>
        <w:t>（分值</w:t>
      </w:r>
      <w:r>
        <w:rPr>
          <w:rFonts w:hint="eastAsia" w:ascii="宋体" w:hAnsi="宋体" w:eastAsia="宋体" w:cs="宋体"/>
          <w:lang w:val="en-US" w:eastAsia="zh-CN"/>
        </w:rPr>
        <w:t>2</w:t>
      </w:r>
      <w:r>
        <w:rPr>
          <w:rFonts w:hint="eastAsia" w:ascii="宋体" w:hAnsi="宋体" w:eastAsia="宋体" w:cs="宋体"/>
        </w:rPr>
        <w:t>分，得分</w:t>
      </w:r>
      <w:r>
        <w:rPr>
          <w:rFonts w:hint="eastAsia" w:ascii="宋体" w:hAnsi="宋体" w:eastAsia="宋体" w:cs="宋体"/>
          <w:lang w:val="en-US" w:eastAsia="zh-CN"/>
        </w:rPr>
        <w:t>2</w:t>
      </w:r>
      <w:r>
        <w:rPr>
          <w:rFonts w:hint="eastAsia" w:ascii="宋体" w:hAnsi="宋体" w:eastAsia="宋体" w:cs="宋体"/>
        </w:rPr>
        <w:t>分）通过实施梅州市阿里云创新中心项目，对创新创业具有一定的宣传作用，汇聚了一些创新创业型企业，营造了创新创业的氛围。</w:t>
      </w:r>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default" w:eastAsia="宋体"/>
          <w:lang w:val="en-US" w:eastAsia="zh-CN"/>
        </w:rPr>
      </w:pPr>
      <w:r>
        <w:rPr>
          <w:rFonts w:hint="eastAsia" w:ascii="宋体" w:hAnsi="宋体" w:eastAsia="宋体" w:cs="宋体"/>
          <w:b/>
          <w:bCs/>
          <w:sz w:val="32"/>
          <w:szCs w:val="32"/>
          <w:lang w:val="en-US" w:eastAsia="zh-CN"/>
        </w:rPr>
        <w:t>创业潮的社会效应</w:t>
      </w:r>
      <w:r>
        <w:rPr>
          <w:rFonts w:hint="eastAsia" w:ascii="宋体" w:hAnsi="宋体" w:eastAsia="宋体" w:cs="宋体"/>
        </w:rPr>
        <w:t>（分值</w:t>
      </w:r>
      <w:r>
        <w:rPr>
          <w:rFonts w:hint="eastAsia" w:ascii="宋体" w:hAnsi="宋体" w:eastAsia="宋体" w:cs="宋体"/>
          <w:lang w:val="en-US" w:eastAsia="zh-CN"/>
        </w:rPr>
        <w:t>8</w:t>
      </w:r>
      <w:r>
        <w:rPr>
          <w:rFonts w:hint="eastAsia" w:ascii="宋体" w:hAnsi="宋体" w:eastAsia="宋体" w:cs="宋体"/>
        </w:rPr>
        <w:t>分，得分</w:t>
      </w:r>
      <w:r>
        <w:rPr>
          <w:rFonts w:hint="eastAsia" w:ascii="宋体" w:hAnsi="宋体" w:eastAsia="宋体" w:cs="宋体"/>
          <w:lang w:val="en-US" w:eastAsia="zh-CN"/>
        </w:rPr>
        <w:t>4</w:t>
      </w:r>
      <w:r>
        <w:rPr>
          <w:rFonts w:hint="eastAsia" w:ascii="宋体" w:hAnsi="宋体" w:eastAsia="宋体" w:cs="宋体"/>
        </w:rPr>
        <w:t>分）通过实施梅州市阿里云创新中心项目，第一、第二年度累计线下入驻的创新创业企业有30家，具有一定的创业潮效应。</w:t>
      </w:r>
    </w:p>
    <w:p>
      <w:pPr>
        <w:keepLines w:val="0"/>
        <w:pageBreakBefore w:val="0"/>
        <w:kinsoku/>
        <w:wordWrap/>
        <w:overflowPunct/>
        <w:topLinePunct w:val="0"/>
        <w:bidi w:val="0"/>
        <w:adjustRightInd w:val="0"/>
        <w:snapToGrid w:val="0"/>
        <w:spacing w:line="360" w:lineRule="auto"/>
        <w:ind w:left="0" w:firstLine="643" w:firstLineChars="200"/>
        <w:jc w:val="both"/>
        <w:textAlignment w:val="auto"/>
        <w:outlineLvl w:val="2"/>
        <w:rPr>
          <w:rFonts w:hint="eastAsia" w:ascii="宋体" w:hAnsi="宋体" w:eastAsia="宋体" w:cs="宋体"/>
        </w:rPr>
      </w:pPr>
      <w:bookmarkStart w:id="93" w:name="_Toc18403"/>
      <w:r>
        <w:rPr>
          <w:rFonts w:hint="eastAsia" w:ascii="宋体" w:hAnsi="宋体" w:eastAsia="宋体" w:cs="宋体"/>
          <w:b/>
        </w:rPr>
        <w:t>2.公平性。</w:t>
      </w:r>
      <w:r>
        <w:rPr>
          <w:rFonts w:hint="eastAsia" w:ascii="宋体" w:hAnsi="宋体" w:eastAsia="宋体" w:cs="宋体"/>
        </w:rPr>
        <w:t>（分值5分，得分</w:t>
      </w:r>
      <w:r>
        <w:rPr>
          <w:rFonts w:hint="eastAsia" w:ascii="宋体" w:hAnsi="宋体" w:eastAsia="宋体" w:cs="宋体"/>
          <w:lang w:val="en-US" w:eastAsia="zh-CN"/>
        </w:rPr>
        <w:t>5</w:t>
      </w:r>
      <w:r>
        <w:rPr>
          <w:rFonts w:hint="eastAsia" w:ascii="宋体" w:hAnsi="宋体" w:eastAsia="宋体" w:cs="宋体"/>
        </w:rPr>
        <w:t>分）</w:t>
      </w:r>
      <w:bookmarkEnd w:id="93"/>
    </w:p>
    <w:p>
      <w:pPr>
        <w:keepLines w:val="0"/>
        <w:pageBreakBefore w:val="0"/>
        <w:kinsoku/>
        <w:wordWrap/>
        <w:overflowPunct/>
        <w:topLinePunct w:val="0"/>
        <w:bidi w:val="0"/>
        <w:adjustRightInd w:val="0"/>
        <w:snapToGrid w:val="0"/>
        <w:spacing w:line="360" w:lineRule="auto"/>
        <w:ind w:left="0" w:firstLine="643" w:firstLineChars="200"/>
        <w:jc w:val="both"/>
        <w:textAlignment w:val="auto"/>
        <w:rPr>
          <w:rFonts w:hint="eastAsia" w:ascii="宋体" w:hAnsi="宋体" w:eastAsia="宋体" w:cs="宋体"/>
        </w:rPr>
      </w:pPr>
      <w:r>
        <w:rPr>
          <w:rFonts w:hint="eastAsia" w:ascii="宋体" w:hAnsi="宋体" w:eastAsia="宋体" w:cs="宋体"/>
          <w:b/>
        </w:rPr>
        <w:t>（1）群众满意度</w:t>
      </w:r>
      <w:r>
        <w:rPr>
          <w:rFonts w:hint="eastAsia" w:ascii="宋体" w:hAnsi="宋体" w:eastAsia="宋体" w:cs="宋体"/>
        </w:rPr>
        <w:t>（分值5分，得分</w:t>
      </w:r>
      <w:r>
        <w:rPr>
          <w:rFonts w:hint="eastAsia" w:ascii="宋体" w:hAnsi="宋体" w:eastAsia="宋体" w:cs="宋体"/>
          <w:lang w:val="en-US" w:eastAsia="zh-CN"/>
        </w:rPr>
        <w:t>5</w:t>
      </w:r>
      <w:r>
        <w:rPr>
          <w:rFonts w:hint="eastAsia" w:ascii="宋体" w:hAnsi="宋体" w:eastAsia="宋体" w:cs="宋体"/>
        </w:rPr>
        <w:t>分）</w:t>
      </w:r>
      <w:bookmarkStart w:id="94" w:name="_Toc99814055"/>
      <w:bookmarkStart w:id="95" w:name="_Toc99552764"/>
      <w:bookmarkStart w:id="96" w:name="_Toc9948"/>
      <w:bookmarkStart w:id="97" w:name="_Toc99814323"/>
      <w:bookmarkStart w:id="98" w:name="_Toc99813906"/>
      <w:bookmarkStart w:id="99" w:name="_Toc14590"/>
      <w:r>
        <w:rPr>
          <w:rFonts w:hint="eastAsia" w:ascii="宋体" w:hAnsi="宋体" w:eastAsia="宋体" w:cs="宋体"/>
        </w:rPr>
        <w:t>项目单位共发出问卷15份，收回有效满意度调查问卷15份。根据问卷调查结果，53.33%的群众对项目实施很满意,46.67%的群众对项目实施满意，因此服务对象满意度得分情况为：（8+7）/15*5=5。</w:t>
      </w:r>
    </w:p>
    <w:p>
      <w:pPr>
        <w:pStyle w:val="2"/>
        <w:rPr>
          <w:rFonts w:hint="eastAsia" w:ascii="宋体" w:hAnsi="宋体" w:eastAsia="宋体" w:cs="宋体"/>
        </w:rPr>
      </w:pPr>
    </w:p>
    <w:p>
      <w:pPr>
        <w:pStyle w:val="2"/>
        <w:rPr>
          <w:rFonts w:hint="eastAsia" w:ascii="宋体" w:hAnsi="宋体" w:eastAsia="宋体" w:cs="宋体"/>
        </w:rPr>
      </w:pPr>
    </w:p>
    <w:p>
      <w:pPr>
        <w:pStyle w:val="3"/>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highlight w:val="none"/>
        </w:rPr>
      </w:pPr>
      <w:r>
        <w:rPr>
          <w:rFonts w:hint="eastAsia" w:ascii="宋体" w:hAnsi="宋体" w:eastAsia="宋体" w:cs="宋体"/>
          <w:highlight w:val="none"/>
        </w:rPr>
        <w:t>四、主要绩效</w:t>
      </w:r>
      <w:bookmarkEnd w:id="94"/>
      <w:bookmarkEnd w:id="95"/>
      <w:bookmarkEnd w:id="96"/>
      <w:bookmarkEnd w:id="97"/>
      <w:bookmarkEnd w:id="98"/>
      <w:bookmarkEnd w:id="99"/>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rPr>
      </w:pPr>
      <w:bookmarkStart w:id="100" w:name="_Toc13672"/>
      <w:bookmarkStart w:id="101" w:name="_Toc99813908"/>
      <w:bookmarkStart w:id="102" w:name="_Toc18434"/>
      <w:bookmarkStart w:id="103" w:name="_Toc99814325"/>
      <w:bookmarkStart w:id="104" w:name="_Toc99552766"/>
      <w:bookmarkStart w:id="105" w:name="_Toc99814057"/>
      <w:r>
        <w:rPr>
          <w:rFonts w:hint="eastAsia" w:ascii="宋体" w:hAnsi="宋体" w:eastAsia="宋体" w:cs="宋体"/>
        </w:rPr>
        <w:t>（</w:t>
      </w:r>
      <w:r>
        <w:rPr>
          <w:rFonts w:hint="eastAsia" w:ascii="宋体" w:hAnsi="宋体" w:eastAsia="宋体" w:cs="宋体"/>
          <w:lang w:eastAsia="zh-CN"/>
        </w:rPr>
        <w:t>一</w:t>
      </w:r>
      <w:r>
        <w:rPr>
          <w:rFonts w:hint="eastAsia" w:ascii="宋体" w:hAnsi="宋体" w:eastAsia="宋体" w:cs="宋体"/>
        </w:rPr>
        <w:t>）</w:t>
      </w:r>
      <w:bookmarkEnd w:id="100"/>
      <w:bookmarkEnd w:id="101"/>
      <w:bookmarkEnd w:id="102"/>
      <w:bookmarkEnd w:id="103"/>
      <w:bookmarkEnd w:id="104"/>
      <w:bookmarkEnd w:id="105"/>
      <w:r>
        <w:rPr>
          <w:rFonts w:hint="eastAsia" w:ascii="宋体" w:hAnsi="宋体" w:eastAsia="宋体" w:cs="宋体"/>
        </w:rPr>
        <w:t>对创新创业具有一定的宣传作用，营造了创新创业的氛围</w:t>
      </w:r>
    </w:p>
    <w:p>
      <w:pPr>
        <w:pStyle w:val="3"/>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b w:val="0"/>
          <w:bCs/>
        </w:rPr>
      </w:pPr>
      <w:bookmarkStart w:id="106" w:name="_Toc99814059"/>
      <w:bookmarkStart w:id="107" w:name="_Toc16682"/>
      <w:bookmarkStart w:id="108" w:name="_Toc99552767"/>
      <w:bookmarkStart w:id="109" w:name="_Toc99813910"/>
      <w:bookmarkStart w:id="110" w:name="_Toc17882"/>
      <w:bookmarkStart w:id="111" w:name="_Toc99814327"/>
      <w:r>
        <w:rPr>
          <w:rFonts w:hint="eastAsia" w:ascii="宋体" w:hAnsi="宋体" w:eastAsia="宋体" w:cs="宋体"/>
          <w:b w:val="0"/>
          <w:bCs/>
          <w:lang w:eastAsia="zh-CN"/>
        </w:rPr>
        <w:t>市政府通过前置补贴的方式，给予星火工场（梅州）创业投资有限公司一定的运营补贴，由该公司履行《合作协议》约定的运营目标，</w:t>
      </w:r>
      <w:r>
        <w:rPr>
          <w:rFonts w:hint="eastAsia" w:ascii="宋体" w:hAnsi="宋体" w:eastAsia="宋体" w:cs="宋体"/>
          <w:b w:val="0"/>
          <w:bCs/>
        </w:rPr>
        <w:t>对创新创业具有一定的宣传作用，</w:t>
      </w:r>
      <w:r>
        <w:rPr>
          <w:rFonts w:hint="eastAsia" w:ascii="宋体" w:hAnsi="宋体" w:eastAsia="宋体" w:cs="宋体"/>
          <w:b w:val="0"/>
          <w:bCs/>
          <w:lang w:eastAsia="zh-CN"/>
        </w:rPr>
        <w:t>阿里云项目</w:t>
      </w:r>
      <w:r>
        <w:rPr>
          <w:rFonts w:hint="eastAsia" w:ascii="宋体" w:hAnsi="宋体" w:eastAsia="宋体" w:cs="宋体"/>
          <w:b w:val="0"/>
          <w:bCs/>
        </w:rPr>
        <w:t>汇聚了一些创新创业型企业，营造了创新创业的氛围。</w:t>
      </w:r>
    </w:p>
    <w:p>
      <w:pPr>
        <w:pStyle w:val="3"/>
        <w:keepNext w:val="0"/>
        <w:keepLines w:val="0"/>
        <w:pageBreakBefore w:val="0"/>
        <w:widowControl/>
        <w:numPr>
          <w:numId w:val="0"/>
        </w:numPr>
        <w:kinsoku/>
        <w:wordWrap/>
        <w:overflowPunct/>
        <w:topLinePunct w:val="0"/>
        <w:autoSpaceDE/>
        <w:autoSpaceDN/>
        <w:bidi w:val="0"/>
        <w:adjustRightInd w:val="0"/>
        <w:snapToGrid w:val="0"/>
        <w:spacing w:line="360" w:lineRule="auto"/>
        <w:ind w:leftChars="100"/>
        <w:jc w:val="both"/>
        <w:textAlignment w:val="auto"/>
        <w:rPr>
          <w:rFonts w:hint="eastAsia" w:ascii="宋体" w:hAnsi="宋体" w:eastAsia="宋体" w:cs="宋体"/>
          <w:b/>
          <w:bCs w:val="0"/>
          <w:lang w:eastAsia="zh-CN"/>
        </w:rPr>
      </w:pPr>
      <w:r>
        <w:rPr>
          <w:rFonts w:hint="eastAsia" w:ascii="宋体" w:hAnsi="宋体" w:eastAsia="宋体" w:cs="宋体"/>
          <w:b/>
          <w:bCs w:val="0"/>
          <w:lang w:eastAsia="zh-CN"/>
        </w:rPr>
        <w:t>（二）产生一定的创业潮的社会效应</w:t>
      </w:r>
    </w:p>
    <w:p>
      <w:pPr>
        <w:numPr>
          <w:ilvl w:val="0"/>
          <w:numId w:val="0"/>
        </w:numPr>
        <w:ind w:left="0" w:leftChars="0" w:firstLine="640" w:firstLineChars="200"/>
        <w:rPr>
          <w:rFonts w:hint="eastAsia" w:ascii="宋体" w:hAnsi="宋体" w:eastAsia="宋体" w:cs="宋体"/>
          <w:lang w:eastAsia="zh-CN"/>
        </w:rPr>
      </w:pPr>
      <w:r>
        <w:rPr>
          <w:rFonts w:hint="eastAsia" w:ascii="宋体" w:hAnsi="宋体" w:eastAsia="宋体" w:cs="宋体"/>
          <w:b w:val="0"/>
          <w:bCs/>
          <w:lang w:eastAsia="zh-CN"/>
        </w:rPr>
        <w:t>市政府通过前置补贴的方式，给予阿里云计算有限公司一定的创客补贴，由该公司将创客补贴以阿里云资源代金券的形式发放给符合《合作协议》约定条件的企业，通过这种补贴的形式来吸引创新创业，阿里云项目在</w:t>
      </w:r>
      <w:r>
        <w:rPr>
          <w:rFonts w:hint="eastAsia" w:ascii="宋体" w:hAnsi="宋体" w:eastAsia="宋体" w:cs="宋体"/>
          <w:lang w:eastAsia="zh-CN"/>
        </w:rPr>
        <w:t>第一、第二年度累计线下入驻阿里云项目的创新创业企业有30家，产生了一定的创业潮效应。</w:t>
      </w:r>
    </w:p>
    <w:p>
      <w:pPr>
        <w:pStyle w:val="3"/>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highlight w:val="none"/>
        </w:rPr>
      </w:pPr>
      <w:r>
        <w:rPr>
          <w:rFonts w:hint="eastAsia" w:ascii="宋体" w:hAnsi="宋体" w:eastAsia="宋体" w:cs="宋体"/>
          <w:highlight w:val="none"/>
        </w:rPr>
        <w:t>五、存在问题</w:t>
      </w:r>
      <w:bookmarkEnd w:id="106"/>
      <w:bookmarkEnd w:id="107"/>
      <w:bookmarkEnd w:id="108"/>
      <w:bookmarkEnd w:id="109"/>
      <w:bookmarkEnd w:id="110"/>
      <w:bookmarkEnd w:id="111"/>
    </w:p>
    <w:p>
      <w:pPr>
        <w:pStyle w:val="5"/>
        <w:keepLines w:val="0"/>
        <w:pageBreakBefore w:val="0"/>
        <w:kinsoku/>
        <w:wordWrap/>
        <w:overflowPunct/>
        <w:topLinePunct w:val="0"/>
        <w:bidi w:val="0"/>
        <w:spacing w:line="360" w:lineRule="auto"/>
        <w:ind w:firstLine="321" w:firstLineChars="100"/>
        <w:jc w:val="both"/>
        <w:textAlignment w:val="auto"/>
        <w:rPr>
          <w:rFonts w:hint="eastAsia" w:ascii="宋体" w:hAnsi="宋体" w:eastAsia="宋体" w:cs="宋体"/>
          <w:lang w:eastAsia="zh-CN"/>
        </w:rPr>
      </w:pPr>
      <w:bookmarkStart w:id="112" w:name="_Toc99813911"/>
      <w:bookmarkStart w:id="113" w:name="_Toc99552768"/>
      <w:bookmarkStart w:id="114" w:name="_Toc99814060"/>
      <w:bookmarkStart w:id="115" w:name="_Toc2293"/>
      <w:bookmarkStart w:id="116" w:name="_Toc30334"/>
      <w:bookmarkStart w:id="117" w:name="_Toc99814328"/>
      <w:r>
        <w:rPr>
          <w:rFonts w:hint="eastAsia" w:ascii="宋体" w:hAnsi="宋体" w:eastAsia="宋体" w:cs="宋体"/>
        </w:rPr>
        <w:t>（一）</w:t>
      </w:r>
      <w:bookmarkEnd w:id="112"/>
      <w:bookmarkEnd w:id="113"/>
      <w:bookmarkEnd w:id="114"/>
      <w:bookmarkEnd w:id="115"/>
      <w:bookmarkEnd w:id="116"/>
      <w:bookmarkEnd w:id="117"/>
      <w:r>
        <w:rPr>
          <w:rFonts w:hint="eastAsia" w:ascii="宋体" w:hAnsi="宋体" w:eastAsia="宋体" w:cs="宋体"/>
          <w:lang w:eastAsia="zh-CN"/>
        </w:rPr>
        <w:t>原始凭证不齐全</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lang w:eastAsia="zh-CN"/>
        </w:rPr>
      </w:pPr>
      <w:r>
        <w:rPr>
          <w:rFonts w:hint="eastAsia" w:ascii="宋体" w:hAnsi="宋体" w:eastAsia="宋体" w:cs="宋体"/>
        </w:rPr>
        <w:t>会计</w:t>
      </w:r>
      <w:r>
        <w:rPr>
          <w:rFonts w:hint="eastAsia" w:ascii="宋体" w:hAnsi="宋体" w:eastAsia="宋体" w:cs="宋体"/>
          <w:lang w:eastAsia="zh-CN"/>
        </w:rPr>
        <w:t>对记账凭证及附单整理</w:t>
      </w:r>
      <w:r>
        <w:rPr>
          <w:rFonts w:hint="eastAsia" w:ascii="宋体" w:hAnsi="宋体" w:eastAsia="宋体" w:cs="宋体"/>
        </w:rPr>
        <w:t>不够规范。根据现场核查情况</w:t>
      </w:r>
      <w:r>
        <w:rPr>
          <w:rFonts w:hint="eastAsia" w:ascii="宋体" w:hAnsi="宋体" w:eastAsia="宋体" w:cs="宋体"/>
          <w:lang w:eastAsia="zh-CN"/>
        </w:rPr>
        <w:t>，市工信局</w:t>
      </w:r>
      <w:r>
        <w:rPr>
          <w:rFonts w:hint="eastAsia" w:ascii="宋体" w:hAnsi="宋体" w:eastAsia="宋体" w:cs="宋体"/>
        </w:rPr>
        <w:t>提供的</w:t>
      </w:r>
      <w:r>
        <w:rPr>
          <w:rFonts w:hint="eastAsia" w:ascii="宋体" w:hAnsi="宋体" w:eastAsia="宋体" w:cs="宋体"/>
          <w:lang w:eastAsia="zh-CN"/>
        </w:rPr>
        <w:t>记账凭证中，后附原始凭证缺少了财政直接支付凭证</w:t>
      </w:r>
      <w:r>
        <w:rPr>
          <w:rFonts w:hint="eastAsia" w:ascii="宋体" w:hAnsi="宋体" w:eastAsia="宋体" w:cs="宋体"/>
        </w:rPr>
        <w:t>。</w:t>
      </w:r>
    </w:p>
    <w:p>
      <w:pPr>
        <w:pStyle w:val="5"/>
        <w:keepLines w:val="0"/>
        <w:pageBreakBefore w:val="0"/>
        <w:numPr>
          <w:ilvl w:val="0"/>
          <w:numId w:val="0"/>
        </w:numPr>
        <w:kinsoku/>
        <w:wordWrap/>
        <w:overflowPunct/>
        <w:topLinePunct w:val="0"/>
        <w:bidi w:val="0"/>
        <w:spacing w:line="360" w:lineRule="auto"/>
        <w:ind w:leftChars="100"/>
        <w:jc w:val="both"/>
        <w:textAlignment w:val="auto"/>
        <w:rPr>
          <w:rFonts w:hint="eastAsia" w:ascii="宋体" w:hAnsi="宋体" w:eastAsia="宋体" w:cs="宋体"/>
          <w:lang w:val="en-US" w:eastAsia="zh-CN"/>
        </w:rPr>
      </w:pPr>
      <w:r>
        <w:rPr>
          <w:rFonts w:hint="eastAsia" w:ascii="宋体" w:hAnsi="宋体" w:eastAsia="宋体" w:cs="宋体"/>
          <w:lang w:eastAsia="zh-CN"/>
        </w:rPr>
        <w:t>（二）未完成引进硕士及以上人才</w:t>
      </w:r>
      <w:r>
        <w:rPr>
          <w:rFonts w:hint="eastAsia" w:ascii="宋体" w:hAnsi="宋体" w:eastAsia="宋体" w:cs="宋体"/>
          <w:lang w:val="en-US" w:eastAsia="zh-CN"/>
        </w:rPr>
        <w:t>5人的绩效目标</w:t>
      </w:r>
    </w:p>
    <w:p>
      <w:pPr>
        <w:keepNext w:val="0"/>
        <w:keepLines w:val="0"/>
        <w:pageBreakBefore w:val="0"/>
        <w:widowControl w:val="0"/>
        <w:numPr>
          <w:ilvl w:val="3"/>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根据《合作协议》约定，项目正式运营（该项目于2020年5月8日正式投入运营）第二年的绩效目标包括了引进硕士及以上人才5人，这一绩效目标未实现。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1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（三）第二年度150万元的阿里云代金券发放具有滞后性</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宋体" w:hAnsi="宋体" w:eastAsia="宋体" w:cs="宋体"/>
          <w:highlight w:val="none"/>
        </w:rPr>
      </w:pPr>
      <w:r>
        <w:rPr>
          <w:rFonts w:hint="eastAsia" w:ascii="宋体" w:hAnsi="宋体" w:eastAsia="宋体" w:cs="宋体"/>
          <w:b w:val="0"/>
          <w:bCs w:val="0"/>
          <w:sz w:val="32"/>
          <w:szCs w:val="32"/>
          <w:lang w:val="en-US" w:eastAsia="zh-CN"/>
        </w:rPr>
        <w:t>根据市工信局提供的阿里云代金券发放及使用情况表及相关截图，存在第二年度（2021年5月8日-2022年5月7日）150万元的阿里云代金券在第三年度即2022年5月7日后才发放的情形，代金券发放具有滞后性。</w:t>
      </w:r>
      <w:bookmarkStart w:id="118" w:name="_Toc1736"/>
      <w:bookmarkStart w:id="119" w:name="_Toc99814331"/>
      <w:bookmarkStart w:id="120" w:name="_Toc21669"/>
      <w:bookmarkStart w:id="121" w:name="_Toc99813914"/>
      <w:bookmarkStart w:id="122" w:name="_Toc99814063"/>
      <w:bookmarkStart w:id="123" w:name="_Toc99552771"/>
    </w:p>
    <w:p>
      <w:pPr>
        <w:pStyle w:val="3"/>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highlight w:val="none"/>
        </w:rPr>
      </w:pPr>
      <w:r>
        <w:rPr>
          <w:rFonts w:hint="eastAsia" w:ascii="宋体" w:hAnsi="宋体" w:eastAsia="宋体" w:cs="宋体"/>
          <w:highlight w:val="none"/>
        </w:rPr>
        <w:t>六、相关建议</w:t>
      </w:r>
      <w:bookmarkEnd w:id="118"/>
      <w:bookmarkEnd w:id="119"/>
      <w:bookmarkEnd w:id="120"/>
      <w:bookmarkEnd w:id="121"/>
      <w:bookmarkEnd w:id="122"/>
      <w:bookmarkEnd w:id="123"/>
    </w:p>
    <w:p>
      <w:pPr>
        <w:pStyle w:val="5"/>
        <w:keepNext w:val="0"/>
        <w:keepLines w:val="0"/>
        <w:pageBreakBefore w:val="0"/>
        <w:kinsoku/>
        <w:wordWrap/>
        <w:overflowPunct/>
        <w:topLinePunct w:val="0"/>
        <w:bidi w:val="0"/>
        <w:adjustRightInd w:val="0"/>
        <w:spacing w:line="360" w:lineRule="auto"/>
        <w:ind w:firstLine="321" w:firstLineChars="100"/>
        <w:jc w:val="both"/>
        <w:textAlignment w:val="auto"/>
        <w:rPr>
          <w:rFonts w:hint="eastAsia" w:ascii="宋体" w:hAnsi="宋体" w:eastAsia="宋体" w:cs="宋体"/>
          <w:lang w:eastAsia="zh-CN"/>
        </w:rPr>
      </w:pPr>
      <w:bookmarkStart w:id="124" w:name="_Toc99814332"/>
      <w:bookmarkStart w:id="125" w:name="_Toc99813915"/>
      <w:bookmarkStart w:id="126" w:name="_Toc12075"/>
      <w:bookmarkStart w:id="127" w:name="_Toc99814064"/>
      <w:bookmarkStart w:id="128" w:name="_Toc29669"/>
      <w:bookmarkStart w:id="129" w:name="_Toc99552772"/>
      <w:r>
        <w:rPr>
          <w:rFonts w:hint="eastAsia" w:ascii="宋体" w:hAnsi="宋体" w:eastAsia="宋体" w:cs="宋体"/>
        </w:rPr>
        <w:t>（一）</w:t>
      </w:r>
      <w:bookmarkEnd w:id="124"/>
      <w:bookmarkEnd w:id="125"/>
      <w:bookmarkEnd w:id="126"/>
      <w:bookmarkEnd w:id="127"/>
      <w:bookmarkEnd w:id="128"/>
      <w:bookmarkEnd w:id="129"/>
      <w:r>
        <w:rPr>
          <w:rFonts w:hint="eastAsia" w:ascii="宋体" w:hAnsi="宋体" w:eastAsia="宋体" w:cs="宋体"/>
          <w:lang w:eastAsia="zh-CN"/>
        </w:rPr>
        <w:t>规范整理记账凭证</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lang w:eastAsia="zh-CN"/>
        </w:rPr>
        <w:t>建议</w:t>
      </w:r>
      <w:r>
        <w:rPr>
          <w:rFonts w:hint="eastAsia" w:ascii="宋体" w:hAnsi="宋体" w:eastAsia="宋体" w:cs="宋体"/>
        </w:rPr>
        <w:t>明确</w:t>
      </w:r>
      <w:r>
        <w:rPr>
          <w:rFonts w:hint="eastAsia" w:ascii="宋体" w:hAnsi="宋体" w:eastAsia="宋体" w:cs="宋体"/>
          <w:lang w:eastAsia="zh-CN"/>
        </w:rPr>
        <w:t>会计账务处理流程，</w:t>
      </w:r>
      <w:r>
        <w:rPr>
          <w:rFonts w:hint="eastAsia" w:ascii="宋体" w:hAnsi="宋体" w:eastAsia="宋体" w:cs="宋体"/>
        </w:rPr>
        <w:t>规范</w:t>
      </w:r>
      <w:r>
        <w:rPr>
          <w:rFonts w:hint="eastAsia" w:ascii="宋体" w:hAnsi="宋体" w:eastAsia="宋体" w:cs="宋体"/>
          <w:lang w:eastAsia="zh-CN"/>
        </w:rPr>
        <w:t>整理记账凭证、原始凭证及其它附单，账务处理完成后进行二次检查，及时发现财务资料中的缺失。</w:t>
      </w:r>
    </w:p>
    <w:p>
      <w:pPr>
        <w:keepNext w:val="0"/>
        <w:keepLines w:val="0"/>
        <w:pageBreakBefore w:val="0"/>
        <w:numPr>
          <w:ilvl w:val="0"/>
          <w:numId w:val="0"/>
        </w:numPr>
        <w:kinsoku/>
        <w:wordWrap/>
        <w:overflowPunct/>
        <w:topLinePunct w:val="0"/>
        <w:bidi w:val="0"/>
        <w:adjustRightInd w:val="0"/>
        <w:snapToGrid w:val="0"/>
        <w:spacing w:line="360" w:lineRule="auto"/>
        <w:ind w:leftChars="100"/>
        <w:jc w:val="both"/>
        <w:textAlignment w:val="auto"/>
        <w:rPr>
          <w:rFonts w:hint="eastAsia" w:ascii="宋体" w:hAnsi="宋体" w:eastAsia="宋体" w:cs="宋体"/>
        </w:rPr>
      </w:pPr>
      <w:bookmarkStart w:id="130" w:name="_Toc99814066"/>
      <w:bookmarkStart w:id="131" w:name="_Toc99814334"/>
      <w:bookmarkStart w:id="132" w:name="_Toc12254"/>
      <w:bookmarkStart w:id="133" w:name="_Toc16852"/>
      <w:bookmarkStart w:id="134" w:name="_Toc99813917"/>
      <w:bookmarkStart w:id="135" w:name="_Toc99552774"/>
      <w:r>
        <w:rPr>
          <w:rFonts w:hint="eastAsia" w:ascii="宋体" w:hAnsi="宋体" w:eastAsia="宋体" w:cs="宋体"/>
          <w:b/>
          <w:bCs/>
        </w:rPr>
        <w:t>（</w:t>
      </w:r>
      <w:r>
        <w:rPr>
          <w:rFonts w:hint="eastAsia" w:ascii="宋体" w:hAnsi="宋体" w:eastAsia="宋体" w:cs="宋体"/>
          <w:b/>
          <w:bCs/>
          <w:lang w:eastAsia="zh-CN"/>
        </w:rPr>
        <w:t>二</w:t>
      </w:r>
      <w:r>
        <w:rPr>
          <w:rFonts w:hint="eastAsia" w:ascii="宋体" w:hAnsi="宋体" w:eastAsia="宋体" w:cs="宋体"/>
          <w:b/>
          <w:bCs/>
        </w:rPr>
        <w:t>）</w:t>
      </w:r>
      <w:bookmarkEnd w:id="130"/>
      <w:bookmarkEnd w:id="131"/>
      <w:bookmarkEnd w:id="132"/>
      <w:bookmarkEnd w:id="133"/>
      <w:bookmarkEnd w:id="134"/>
      <w:bookmarkEnd w:id="135"/>
      <w:r>
        <w:rPr>
          <w:rFonts w:hint="eastAsia" w:ascii="宋体" w:hAnsi="宋体" w:eastAsia="宋体" w:cs="宋体"/>
          <w:b/>
          <w:bCs/>
          <w:lang w:eastAsia="zh-CN"/>
        </w:rPr>
        <w:t>加大对硕士及以上人才的吸引力度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宋体" w:hAnsi="宋体" w:eastAsia="宋体" w:cs="宋体"/>
          <w:sz w:val="32"/>
          <w:szCs w:val="32"/>
          <w:lang w:val="en-US" w:eastAsia="zh-CN"/>
        </w:rPr>
      </w:pPr>
      <w:bookmarkStart w:id="136" w:name="_Toc13663"/>
      <w:bookmarkStart w:id="137" w:name="_Toc99552775"/>
      <w:r>
        <w:rPr>
          <w:rFonts w:hint="eastAsia" w:ascii="宋体" w:hAnsi="宋体" w:eastAsia="宋体" w:cs="宋体"/>
          <w:sz w:val="32"/>
          <w:szCs w:val="32"/>
          <w:lang w:val="en-US" w:eastAsia="zh-CN"/>
        </w:rPr>
        <w:t>建议加大创新创业宣传力度，激发硕士及以上人才对创新创业的热情；与企业加强沟通，给予硕士及以上人才一定的补贴，提高硕士及以上人才的待遇。</w:t>
      </w:r>
    </w:p>
    <w:p>
      <w:pPr>
        <w:keepNext w:val="0"/>
        <w:keepLines w:val="0"/>
        <w:pageBreakBefore w:val="0"/>
        <w:numPr>
          <w:numId w:val="0"/>
        </w:numPr>
        <w:kinsoku/>
        <w:wordWrap/>
        <w:overflowPunct/>
        <w:topLinePunct w:val="0"/>
        <w:bidi w:val="0"/>
        <w:adjustRightInd w:val="0"/>
        <w:snapToGrid w:val="0"/>
        <w:spacing w:line="360" w:lineRule="auto"/>
        <w:ind w:leftChars="100"/>
        <w:jc w:val="both"/>
        <w:textAlignment w:val="auto"/>
        <w:rPr>
          <w:rFonts w:hint="eastAsia" w:ascii="宋体" w:hAnsi="宋体" w:eastAsia="宋体" w:cs="宋体"/>
          <w:b/>
          <w:bCs/>
          <w:lang w:eastAsia="zh-CN"/>
        </w:rPr>
      </w:pPr>
      <w:r>
        <w:rPr>
          <w:rFonts w:hint="eastAsia" w:ascii="宋体" w:hAnsi="宋体" w:eastAsia="宋体" w:cs="宋体"/>
          <w:b/>
          <w:bCs/>
          <w:lang w:eastAsia="zh-CN"/>
        </w:rPr>
        <w:t>（三）及时落实阿里云代金券发放事项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建议市工信局在第三年度加大监管力度，及时督促阿里云计算有限公司落实代金券发放的事项，尽快使财政资金落在实处，使相关企业可以及时收到财政补贴，发挥财政资金的效益。</w:t>
      </w:r>
    </w:p>
    <w:p>
      <w:pPr>
        <w:pStyle w:val="2"/>
        <w:numPr>
          <w:ilvl w:val="0"/>
          <w:numId w:val="0"/>
        </w:numPr>
        <w:rPr>
          <w:rFonts w:hint="eastAsia"/>
          <w:lang w:eastAsia="zh-CN"/>
        </w:rPr>
      </w:pPr>
    </w:p>
    <w:p>
      <w:pPr>
        <w:pStyle w:val="2"/>
        <w:numPr>
          <w:ilvl w:val="0"/>
          <w:numId w:val="0"/>
        </w:numPr>
        <w:rPr>
          <w:rFonts w:hint="eastAsia"/>
          <w:lang w:eastAsia="zh-CN"/>
        </w:rPr>
      </w:pPr>
    </w:p>
    <w:p>
      <w:pPr>
        <w:pStyle w:val="2"/>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rPr>
      </w:pPr>
      <w:r>
        <w:rPr>
          <w:rFonts w:hint="eastAsia" w:ascii="宋体" w:hAnsi="宋体" w:eastAsia="宋体" w:cs="宋体"/>
        </w:rPr>
        <w:t>附件：1.绩效评价工作开展情况</w:t>
      </w:r>
      <w:bookmarkEnd w:id="136"/>
    </w:p>
    <w:p>
      <w:pPr>
        <w:keepLines w:val="0"/>
        <w:pageBreakBefore w:val="0"/>
        <w:kinsoku/>
        <w:wordWrap/>
        <w:overflowPunct/>
        <w:topLinePunct w:val="0"/>
        <w:bidi w:val="0"/>
        <w:adjustRightInd w:val="0"/>
        <w:snapToGrid w:val="0"/>
        <w:spacing w:line="360" w:lineRule="auto"/>
        <w:ind w:left="0" w:firstLine="1600" w:firstLineChars="500"/>
        <w:jc w:val="both"/>
        <w:textAlignment w:val="auto"/>
        <w:rPr>
          <w:rFonts w:hint="eastAsia" w:ascii="宋体" w:hAnsi="宋体" w:eastAsia="宋体" w:cs="宋体"/>
        </w:rPr>
      </w:pPr>
      <w:r>
        <w:rPr>
          <w:rFonts w:hint="eastAsia" w:ascii="宋体" w:hAnsi="宋体" w:eastAsia="宋体" w:cs="宋体"/>
        </w:rPr>
        <w:t>2.梅州市财政支出项目重点绩效评价指标评分表</w:t>
      </w:r>
    </w:p>
    <w:p>
      <w:pPr>
        <w:keepLines w:val="0"/>
        <w:pageBreakBefore w:val="0"/>
        <w:kinsoku/>
        <w:wordWrap/>
        <w:overflowPunct/>
        <w:topLinePunct w:val="0"/>
        <w:bidi w:val="0"/>
        <w:adjustRightInd w:val="0"/>
        <w:snapToGrid w:val="0"/>
        <w:spacing w:line="360" w:lineRule="auto"/>
        <w:ind w:left="0" w:firstLine="1600" w:firstLineChars="500"/>
        <w:jc w:val="both"/>
        <w:textAlignment w:val="auto"/>
        <w:rPr>
          <w:rFonts w:hint="eastAsia" w:ascii="宋体" w:hAnsi="宋体" w:eastAsia="宋体" w:cs="宋体"/>
        </w:rPr>
      </w:pPr>
      <w:r>
        <w:rPr>
          <w:rFonts w:hint="eastAsia" w:ascii="宋体" w:hAnsi="宋体" w:eastAsia="宋体" w:cs="宋体"/>
        </w:rPr>
        <w:t>3.服务对象满意度调查结果</w:t>
      </w: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default" w:ascii="宋体" w:hAnsi="宋体" w:eastAsia="宋体" w:cs="宋体"/>
          <w:lang w:val="en-US" w:eastAsia="zh-CN"/>
        </w:rPr>
      </w:pPr>
    </w:p>
    <w:bookmarkEnd w:id="137"/>
    <w:p>
      <w:pPr>
        <w:keepLines w:val="0"/>
        <w:pageBreakBefore w:val="0"/>
        <w:kinsoku/>
        <w:wordWrap/>
        <w:overflowPunct/>
        <w:topLinePunct w:val="0"/>
        <w:bidi w:val="0"/>
        <w:spacing w:line="360" w:lineRule="auto"/>
        <w:jc w:val="right"/>
        <w:textAlignment w:val="auto"/>
        <w:rPr>
          <w:rFonts w:hint="eastAsia" w:ascii="宋体" w:hAnsi="宋体" w:eastAsia="宋体" w:cs="宋体"/>
        </w:rPr>
      </w:pPr>
      <w:bookmarkStart w:id="138" w:name="_Toc25920"/>
      <w:bookmarkStart w:id="139" w:name="_Toc99619823"/>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深圳佳评绩效评价咨询有限公司</w:t>
      </w:r>
    </w:p>
    <w:p>
      <w:pPr>
        <w:keepLines w:val="0"/>
        <w:pageBreakBefore w:val="0"/>
        <w:kinsoku/>
        <w:wordWrap/>
        <w:overflowPunct/>
        <w:topLinePunct w:val="0"/>
        <w:bidi w:val="0"/>
        <w:spacing w:line="360" w:lineRule="auto"/>
        <w:ind w:right="640"/>
        <w:jc w:val="right"/>
        <w:textAlignment w:val="auto"/>
        <w:rPr>
          <w:rFonts w:hint="eastAsia" w:ascii="宋体" w:hAnsi="宋体" w:eastAsia="宋体" w:cs="宋体"/>
        </w:rPr>
        <w:sectPr>
          <w:footerReference r:id="rId19"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linePitch="626" w:charSpace="1638"/>
        </w:sectPr>
      </w:pPr>
      <w:r>
        <w:rPr>
          <w:rFonts w:hint="eastAsia" w:ascii="宋体" w:hAnsi="宋体" w:eastAsia="宋体" w:cs="宋体"/>
          <w:lang w:val="en-US" w:eastAsia="zh-CN"/>
        </w:rPr>
        <w:t xml:space="preserve">   </w:t>
      </w:r>
      <w:r>
        <w:rPr>
          <w:rFonts w:hint="eastAsia" w:ascii="宋体" w:hAnsi="宋体" w:eastAsia="宋体" w:cs="宋体"/>
        </w:rPr>
        <w:t>2022年</w:t>
      </w:r>
      <w:r>
        <w:rPr>
          <w:rFonts w:hint="eastAsia" w:ascii="宋体" w:hAnsi="宋体" w:eastAsia="宋体" w:cs="宋体"/>
          <w:lang w:val="en-US" w:eastAsia="zh-CN"/>
        </w:rPr>
        <w:t>11</w:t>
      </w:r>
      <w:r>
        <w:rPr>
          <w:rFonts w:hint="eastAsia" w:ascii="宋体" w:hAnsi="宋体" w:eastAsia="宋体" w:cs="宋体"/>
        </w:rPr>
        <w:t>月</w:t>
      </w:r>
    </w:p>
    <w:p>
      <w:pPr>
        <w:keepLines w:val="0"/>
        <w:pageBreakBefore w:val="0"/>
        <w:kinsoku/>
        <w:wordWrap/>
        <w:overflowPunct/>
        <w:topLinePunct w:val="0"/>
        <w:bidi w:val="0"/>
        <w:spacing w:line="360" w:lineRule="auto"/>
        <w:ind w:left="0" w:leftChars="0" w:firstLine="0" w:firstLineChars="0"/>
        <w:jc w:val="both"/>
        <w:textAlignment w:val="auto"/>
        <w:outlineLvl w:val="0"/>
        <w:rPr>
          <w:rFonts w:hint="eastAsia" w:ascii="宋体" w:hAnsi="宋体" w:eastAsia="宋体" w:cs="宋体"/>
          <w:b/>
          <w:bCs/>
        </w:rPr>
      </w:pPr>
      <w:bookmarkStart w:id="140" w:name="_Toc99814067"/>
      <w:bookmarkStart w:id="141" w:name="_Toc99814335"/>
      <w:bookmarkStart w:id="142" w:name="_Toc223"/>
      <w:bookmarkStart w:id="143" w:name="_Toc3735"/>
      <w:bookmarkStart w:id="144" w:name="_Toc99813918"/>
      <w:r>
        <w:rPr>
          <w:rFonts w:hint="eastAsia" w:ascii="宋体" w:hAnsi="宋体" w:eastAsia="宋体" w:cs="宋体"/>
          <w:b/>
          <w:bCs/>
        </w:rPr>
        <w:t>附件1：绩效评价工作开展情况</w:t>
      </w:r>
      <w:bookmarkEnd w:id="138"/>
      <w:bookmarkEnd w:id="139"/>
      <w:bookmarkEnd w:id="140"/>
      <w:bookmarkEnd w:id="141"/>
      <w:bookmarkEnd w:id="142"/>
      <w:bookmarkEnd w:id="143"/>
      <w:bookmarkEnd w:id="144"/>
    </w:p>
    <w:p>
      <w:pPr>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
          <w:bCs/>
        </w:rPr>
      </w:pPr>
      <w:bookmarkStart w:id="145" w:name="_Toc8484"/>
      <w:r>
        <w:rPr>
          <w:rFonts w:hint="eastAsia" w:ascii="宋体" w:hAnsi="宋体" w:eastAsia="宋体" w:cs="宋体"/>
          <w:b/>
          <w:bCs/>
        </w:rPr>
        <w:t>一、绩效评价目的。</w:t>
      </w:r>
      <w:bookmarkEnd w:id="145"/>
    </w:p>
    <w:p>
      <w:pPr>
        <w:pStyle w:val="44"/>
        <w:keepLines w:val="0"/>
        <w:pageBreakBefore w:val="0"/>
        <w:kinsoku/>
        <w:wordWrap/>
        <w:overflowPunct/>
        <w:topLinePunct w:val="0"/>
        <w:bidi w:val="0"/>
        <w:adjustRightInd w:val="0"/>
        <w:spacing w:line="360" w:lineRule="auto"/>
        <w:ind w:firstLine="640"/>
        <w:jc w:val="both"/>
        <w:textAlignment w:val="auto"/>
        <w:rPr>
          <w:rFonts w:hint="eastAsia" w:ascii="宋体" w:hAnsi="宋体" w:eastAsia="宋体" w:cs="宋体"/>
          <w:kern w:val="2"/>
          <w:sz w:val="32"/>
          <w:szCs w:val="32"/>
        </w:rPr>
      </w:pPr>
      <w:r>
        <w:rPr>
          <w:rFonts w:hint="eastAsia" w:ascii="宋体" w:hAnsi="宋体" w:eastAsia="宋体" w:cs="宋体"/>
          <w:kern w:val="2"/>
          <w:sz w:val="32"/>
          <w:szCs w:val="32"/>
        </w:rPr>
        <w:t>通过开展本次绩效评价工作，检验</w:t>
      </w:r>
      <w:r>
        <w:rPr>
          <w:rFonts w:hint="eastAsia" w:ascii="宋体" w:hAnsi="宋体" w:cs="宋体"/>
          <w:kern w:val="2"/>
          <w:sz w:val="32"/>
          <w:szCs w:val="32"/>
          <w:lang w:eastAsia="zh-CN"/>
        </w:rPr>
        <w:t>市工信局负责实施的</w:t>
      </w:r>
      <w:r>
        <w:rPr>
          <w:rFonts w:hint="eastAsia" w:ascii="宋体" w:hAnsi="宋体" w:eastAsia="宋体" w:cs="宋体"/>
          <w:kern w:val="2"/>
          <w:sz w:val="32"/>
          <w:szCs w:val="32"/>
        </w:rPr>
        <w:t>“梅州市阿里云创新中心”</w:t>
      </w:r>
      <w:r>
        <w:rPr>
          <w:rFonts w:hint="eastAsia" w:ascii="宋体" w:hAnsi="宋体" w:cs="宋体"/>
          <w:kern w:val="2"/>
          <w:sz w:val="32"/>
          <w:szCs w:val="32"/>
          <w:lang w:eastAsia="zh-CN"/>
        </w:rPr>
        <w:t>重点项目</w:t>
      </w:r>
      <w:r>
        <w:rPr>
          <w:rFonts w:hint="eastAsia" w:ascii="宋体" w:hAnsi="宋体" w:eastAsia="宋体" w:cs="宋体"/>
          <w:kern w:val="2"/>
          <w:sz w:val="32"/>
          <w:szCs w:val="32"/>
        </w:rPr>
        <w:t>的绩效目标实现程度，衡量财政资金的支出效益，及时总结经验，分析存在的问题及原因，切实采取相应措施进一步改进和加强专项资金的管理，从而建立健全激励和约束机制，切实提高资金使用效益。</w:t>
      </w:r>
      <w:bookmarkStart w:id="146" w:name="_Toc32689"/>
    </w:p>
    <w:p>
      <w:pPr>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
          <w:bCs/>
        </w:rPr>
      </w:pPr>
      <w:r>
        <w:rPr>
          <w:rFonts w:hint="eastAsia" w:ascii="宋体" w:hAnsi="宋体" w:eastAsia="宋体" w:cs="宋体"/>
          <w:b/>
          <w:bCs/>
        </w:rPr>
        <w:t>二、评价范围及对象。</w:t>
      </w:r>
      <w:bookmarkEnd w:id="146"/>
    </w:p>
    <w:p>
      <w:pPr>
        <w:pStyle w:val="44"/>
        <w:keepLines w:val="0"/>
        <w:pageBreakBefore w:val="0"/>
        <w:kinsoku/>
        <w:wordWrap/>
        <w:overflowPunct/>
        <w:topLinePunct w:val="0"/>
        <w:bidi w:val="0"/>
        <w:adjustRightInd w:val="0"/>
        <w:spacing w:line="360" w:lineRule="auto"/>
        <w:ind w:firstLine="640"/>
        <w:jc w:val="both"/>
        <w:textAlignment w:val="auto"/>
        <w:rPr>
          <w:rFonts w:hint="eastAsia" w:ascii="宋体" w:hAnsi="宋体" w:eastAsia="宋体" w:cs="宋体"/>
          <w:b/>
          <w:bCs/>
          <w:sz w:val="32"/>
          <w:szCs w:val="32"/>
          <w:highlight w:val="none"/>
          <w:lang w:eastAsia="zh-CN"/>
        </w:rPr>
      </w:pPr>
      <w:r>
        <w:rPr>
          <w:rFonts w:hint="eastAsia" w:ascii="宋体" w:hAnsi="宋体" w:eastAsia="宋体" w:cs="宋体"/>
          <w:kern w:val="2"/>
          <w:sz w:val="32"/>
          <w:szCs w:val="32"/>
        </w:rPr>
        <w:t>本次绩效评价对象为“梅州市阿里云创新中心项目”。本次绩效评价截止日期为202</w:t>
      </w:r>
      <w:r>
        <w:rPr>
          <w:rFonts w:hint="eastAsia" w:ascii="宋体" w:hAnsi="宋体" w:cs="宋体"/>
          <w:kern w:val="2"/>
          <w:sz w:val="32"/>
          <w:szCs w:val="32"/>
          <w:lang w:val="en-US" w:eastAsia="zh-CN"/>
        </w:rPr>
        <w:t>2</w:t>
      </w:r>
      <w:r>
        <w:rPr>
          <w:rFonts w:hint="eastAsia" w:ascii="宋体" w:hAnsi="宋体" w:eastAsia="宋体" w:cs="宋体"/>
          <w:kern w:val="2"/>
          <w:sz w:val="32"/>
          <w:szCs w:val="32"/>
        </w:rPr>
        <w:t>年</w:t>
      </w:r>
      <w:r>
        <w:rPr>
          <w:rFonts w:hint="eastAsia" w:ascii="宋体" w:hAnsi="宋体" w:cs="宋体"/>
          <w:kern w:val="2"/>
          <w:sz w:val="32"/>
          <w:szCs w:val="32"/>
          <w:lang w:val="en-US" w:eastAsia="zh-CN"/>
        </w:rPr>
        <w:t>5</w:t>
      </w:r>
      <w:r>
        <w:rPr>
          <w:rFonts w:hint="eastAsia" w:ascii="宋体" w:hAnsi="宋体" w:eastAsia="宋体" w:cs="宋体"/>
          <w:kern w:val="2"/>
          <w:sz w:val="32"/>
          <w:szCs w:val="32"/>
        </w:rPr>
        <w:t>月</w:t>
      </w:r>
      <w:r>
        <w:rPr>
          <w:rFonts w:hint="eastAsia" w:ascii="宋体" w:hAnsi="宋体" w:cs="宋体"/>
          <w:kern w:val="2"/>
          <w:sz w:val="32"/>
          <w:szCs w:val="32"/>
          <w:lang w:val="en-US" w:eastAsia="zh-CN"/>
        </w:rPr>
        <w:t>7</w:t>
      </w:r>
      <w:r>
        <w:rPr>
          <w:rFonts w:hint="eastAsia" w:ascii="宋体" w:hAnsi="宋体" w:eastAsia="宋体" w:cs="宋体"/>
          <w:kern w:val="2"/>
          <w:sz w:val="32"/>
          <w:szCs w:val="32"/>
        </w:rPr>
        <w:t>日。评价项目的时间范围主要是202</w:t>
      </w:r>
      <w:r>
        <w:rPr>
          <w:rFonts w:hint="eastAsia" w:ascii="宋体" w:hAnsi="宋体" w:cs="宋体"/>
          <w:kern w:val="2"/>
          <w:sz w:val="32"/>
          <w:szCs w:val="32"/>
          <w:lang w:val="en-US" w:eastAsia="zh-CN"/>
        </w:rPr>
        <w:t>1</w:t>
      </w:r>
      <w:r>
        <w:rPr>
          <w:rFonts w:hint="eastAsia" w:ascii="宋体" w:hAnsi="宋体" w:eastAsia="宋体" w:cs="宋体"/>
          <w:kern w:val="2"/>
          <w:sz w:val="32"/>
          <w:szCs w:val="32"/>
        </w:rPr>
        <w:t>年</w:t>
      </w:r>
      <w:r>
        <w:rPr>
          <w:rFonts w:hint="eastAsia" w:ascii="宋体" w:hAnsi="宋体" w:cs="宋体"/>
          <w:kern w:val="2"/>
          <w:sz w:val="32"/>
          <w:szCs w:val="32"/>
          <w:lang w:val="en-US" w:eastAsia="zh-CN"/>
        </w:rPr>
        <w:t>5</w:t>
      </w:r>
      <w:r>
        <w:rPr>
          <w:rFonts w:hint="eastAsia" w:ascii="宋体" w:hAnsi="宋体" w:eastAsia="宋体" w:cs="宋体"/>
          <w:kern w:val="2"/>
          <w:sz w:val="32"/>
          <w:szCs w:val="32"/>
        </w:rPr>
        <w:t>月</w:t>
      </w:r>
      <w:r>
        <w:rPr>
          <w:rFonts w:hint="eastAsia" w:ascii="宋体" w:hAnsi="宋体" w:cs="宋体"/>
          <w:kern w:val="2"/>
          <w:sz w:val="32"/>
          <w:szCs w:val="32"/>
          <w:lang w:val="en-US" w:eastAsia="zh-CN"/>
        </w:rPr>
        <w:t>8</w:t>
      </w:r>
      <w:r>
        <w:rPr>
          <w:rFonts w:hint="eastAsia" w:ascii="宋体" w:hAnsi="宋体" w:eastAsia="宋体" w:cs="宋体"/>
          <w:kern w:val="2"/>
          <w:sz w:val="32"/>
          <w:szCs w:val="32"/>
        </w:rPr>
        <w:t>日</w:t>
      </w:r>
      <w:r>
        <w:rPr>
          <w:rFonts w:hint="eastAsia" w:ascii="微软雅黑" w:hAnsi="微软雅黑" w:eastAsia="微软雅黑" w:cs="微软雅黑"/>
          <w:kern w:val="2"/>
          <w:sz w:val="32"/>
          <w:szCs w:val="32"/>
        </w:rPr>
        <w:t>~</w:t>
      </w:r>
      <w:r>
        <w:rPr>
          <w:rFonts w:hint="eastAsia" w:ascii="宋体" w:hAnsi="宋体" w:eastAsia="宋体" w:cs="宋体"/>
          <w:kern w:val="2"/>
          <w:sz w:val="32"/>
          <w:szCs w:val="32"/>
        </w:rPr>
        <w:t>202</w:t>
      </w:r>
      <w:r>
        <w:rPr>
          <w:rFonts w:hint="eastAsia" w:ascii="宋体" w:hAnsi="宋体" w:cs="宋体"/>
          <w:kern w:val="2"/>
          <w:sz w:val="32"/>
          <w:szCs w:val="32"/>
          <w:lang w:val="en-US" w:eastAsia="zh-CN"/>
        </w:rPr>
        <w:t>2</w:t>
      </w:r>
      <w:r>
        <w:rPr>
          <w:rFonts w:hint="eastAsia" w:ascii="宋体" w:hAnsi="宋体" w:eastAsia="宋体" w:cs="宋体"/>
          <w:kern w:val="2"/>
          <w:sz w:val="32"/>
          <w:szCs w:val="32"/>
        </w:rPr>
        <w:t>年</w:t>
      </w:r>
      <w:r>
        <w:rPr>
          <w:rFonts w:hint="eastAsia" w:ascii="宋体" w:hAnsi="宋体" w:cs="宋体"/>
          <w:kern w:val="2"/>
          <w:sz w:val="32"/>
          <w:szCs w:val="32"/>
          <w:lang w:val="en-US" w:eastAsia="zh-CN"/>
        </w:rPr>
        <w:t>5</w:t>
      </w:r>
      <w:r>
        <w:rPr>
          <w:rFonts w:hint="eastAsia" w:ascii="宋体" w:hAnsi="宋体" w:eastAsia="宋体" w:cs="宋体"/>
          <w:kern w:val="2"/>
          <w:sz w:val="32"/>
          <w:szCs w:val="32"/>
        </w:rPr>
        <w:t>月</w:t>
      </w:r>
      <w:r>
        <w:rPr>
          <w:rFonts w:hint="eastAsia" w:ascii="宋体" w:hAnsi="宋体" w:cs="宋体"/>
          <w:kern w:val="2"/>
          <w:sz w:val="32"/>
          <w:szCs w:val="32"/>
          <w:lang w:val="en-US" w:eastAsia="zh-CN"/>
        </w:rPr>
        <w:t>7</w:t>
      </w:r>
      <w:r>
        <w:rPr>
          <w:rFonts w:hint="eastAsia" w:ascii="宋体" w:hAnsi="宋体" w:eastAsia="宋体" w:cs="宋体"/>
          <w:kern w:val="2"/>
          <w:sz w:val="32"/>
          <w:szCs w:val="32"/>
        </w:rPr>
        <w:t>日。其中：项目资金预算为</w:t>
      </w:r>
      <w:r>
        <w:rPr>
          <w:rFonts w:hint="eastAsia" w:ascii="宋体" w:hAnsi="宋体" w:cs="宋体"/>
          <w:kern w:val="2"/>
          <w:sz w:val="32"/>
          <w:szCs w:val="32"/>
          <w:lang w:val="en-US" w:eastAsia="zh-CN"/>
        </w:rPr>
        <w:t>175</w:t>
      </w:r>
      <w:r>
        <w:rPr>
          <w:rFonts w:hint="eastAsia" w:ascii="宋体" w:hAnsi="宋体" w:eastAsia="宋体" w:cs="宋体"/>
          <w:kern w:val="2"/>
          <w:sz w:val="32"/>
          <w:szCs w:val="32"/>
        </w:rPr>
        <w:t>万元。具体评价范围为：项目决策、项目管理、项目产出、项目</w:t>
      </w:r>
      <w:r>
        <w:rPr>
          <w:rFonts w:hint="eastAsia" w:ascii="宋体" w:hAnsi="宋体" w:cs="宋体"/>
          <w:kern w:val="2"/>
          <w:sz w:val="32"/>
          <w:szCs w:val="32"/>
          <w:lang w:eastAsia="zh-CN"/>
        </w:rPr>
        <w:t>效益</w:t>
      </w:r>
      <w:r>
        <w:rPr>
          <w:rFonts w:hint="eastAsia" w:ascii="宋体" w:hAnsi="宋体" w:eastAsia="宋体" w:cs="宋体"/>
          <w:kern w:val="2"/>
          <w:sz w:val="32"/>
          <w:szCs w:val="32"/>
        </w:rPr>
        <w:t>四方面内容，</w:t>
      </w:r>
      <w:r>
        <w:rPr>
          <w:rFonts w:hint="eastAsia" w:ascii="宋体" w:hAnsi="宋体" w:eastAsia="宋体" w:cs="宋体"/>
          <w:kern w:val="2"/>
          <w:sz w:val="32"/>
          <w:szCs w:val="32"/>
          <w:highlight w:val="none"/>
        </w:rPr>
        <w:t>其中关注“150万元的创客补贴以阿里云资源代金券的形式发放给符合《合作协议》约定条件企业的完成进度和消费进度”</w:t>
      </w:r>
      <w:r>
        <w:rPr>
          <w:rFonts w:hint="eastAsia" w:ascii="宋体" w:hAnsi="宋体" w:cs="宋体"/>
          <w:kern w:val="2"/>
          <w:sz w:val="32"/>
          <w:szCs w:val="32"/>
          <w:highlight w:val="none"/>
          <w:lang w:eastAsia="zh-CN"/>
        </w:rPr>
        <w:t>“线上及线下入驻企业7家、知识产权授权5个或进入审查环节发明专利1个、开展相关创业活动3场、引进硕士及以上人才5人”</w:t>
      </w:r>
      <w:r>
        <w:rPr>
          <w:rFonts w:hint="eastAsia" w:ascii="宋体" w:hAnsi="宋体" w:eastAsia="宋体" w:cs="宋体"/>
          <w:kern w:val="2"/>
          <w:sz w:val="32"/>
          <w:szCs w:val="32"/>
          <w:highlight w:val="none"/>
        </w:rPr>
        <w:t>“资金按时支付、运营目标、阿里云代金券消费按时完成”“</w:t>
      </w:r>
      <w:r>
        <w:rPr>
          <w:rFonts w:hint="eastAsia" w:ascii="宋体" w:hAnsi="宋体" w:cs="宋体"/>
          <w:kern w:val="2"/>
          <w:sz w:val="32"/>
          <w:szCs w:val="32"/>
          <w:highlight w:val="none"/>
          <w:lang w:eastAsia="zh-CN"/>
        </w:rPr>
        <w:t>项目</w:t>
      </w:r>
      <w:r>
        <w:rPr>
          <w:rFonts w:hint="eastAsia" w:ascii="宋体" w:hAnsi="宋体" w:eastAsia="宋体" w:cs="宋体"/>
          <w:kern w:val="2"/>
          <w:sz w:val="32"/>
          <w:szCs w:val="32"/>
          <w:highlight w:val="none"/>
        </w:rPr>
        <w:t>验收合格率”</w:t>
      </w:r>
      <w:r>
        <w:rPr>
          <w:rFonts w:hint="eastAsia" w:ascii="宋体" w:hAnsi="宋体" w:cs="宋体"/>
          <w:kern w:val="2"/>
          <w:sz w:val="32"/>
          <w:szCs w:val="32"/>
          <w:highlight w:val="none"/>
          <w:lang w:eastAsia="zh-CN"/>
        </w:rPr>
        <w:t>“2021年度阿里云资源代金券使用率”“对创新创业具有一定的宣传作用，营造了创新创业的氛围”“创业潮的社会效应”</w:t>
      </w:r>
      <w:r>
        <w:rPr>
          <w:rFonts w:hint="eastAsia" w:ascii="宋体" w:hAnsi="宋体" w:eastAsia="宋体" w:cs="宋体"/>
          <w:kern w:val="2"/>
          <w:sz w:val="32"/>
          <w:szCs w:val="32"/>
          <w:highlight w:val="none"/>
        </w:rPr>
        <w:t>共</w:t>
      </w:r>
      <w:r>
        <w:rPr>
          <w:rFonts w:hint="eastAsia" w:ascii="宋体" w:hAnsi="宋体" w:cs="宋体"/>
          <w:kern w:val="2"/>
          <w:sz w:val="32"/>
          <w:szCs w:val="32"/>
          <w:highlight w:val="none"/>
          <w:lang w:val="en-US" w:eastAsia="zh-CN"/>
        </w:rPr>
        <w:t>7</w:t>
      </w:r>
      <w:r>
        <w:rPr>
          <w:rFonts w:hint="eastAsia" w:ascii="宋体" w:hAnsi="宋体" w:eastAsia="宋体" w:cs="宋体"/>
          <w:kern w:val="2"/>
          <w:sz w:val="32"/>
          <w:szCs w:val="32"/>
          <w:highlight w:val="none"/>
        </w:rPr>
        <w:t>个个性化绩效指标的完成情况</w:t>
      </w:r>
      <w:bookmarkStart w:id="147" w:name="_Toc15500"/>
      <w:r>
        <w:rPr>
          <w:rFonts w:hint="eastAsia" w:ascii="宋体" w:hAnsi="宋体" w:cs="宋体"/>
          <w:kern w:val="2"/>
          <w:sz w:val="32"/>
          <w:szCs w:val="32"/>
          <w:highlight w:val="none"/>
          <w:lang w:eastAsia="zh-CN"/>
        </w:rPr>
        <w:t>。</w:t>
      </w:r>
    </w:p>
    <w:p>
      <w:pPr>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
          <w:bCs/>
        </w:rPr>
      </w:pPr>
    </w:p>
    <w:p>
      <w:pPr>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
          <w:bCs/>
        </w:rPr>
      </w:pPr>
      <w:r>
        <w:rPr>
          <w:rFonts w:hint="eastAsia" w:ascii="宋体" w:hAnsi="宋体" w:eastAsia="宋体" w:cs="宋体"/>
          <w:b/>
          <w:bCs/>
        </w:rPr>
        <w:t>三、绩效评价框架。</w:t>
      </w:r>
      <w:bookmarkEnd w:id="147"/>
    </w:p>
    <w:p>
      <w:pPr>
        <w:pStyle w:val="44"/>
        <w:keepLines w:val="0"/>
        <w:pageBreakBefore w:val="0"/>
        <w:kinsoku/>
        <w:wordWrap/>
        <w:overflowPunct/>
        <w:topLinePunct w:val="0"/>
        <w:bidi w:val="0"/>
        <w:adjustRightInd w:val="0"/>
        <w:spacing w:line="360" w:lineRule="auto"/>
        <w:ind w:left="0" w:leftChars="0" w:firstLine="321" w:firstLineChars="100"/>
        <w:jc w:val="both"/>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（一）评价依据。</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（1）中央、省有关财政资金管理、预算绩效管理的法律、法规、规章、制度、政策文件等；</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（2）《中共梅州市委梅州市人民政府印发&lt;关于全面实施预算绩效管理的实施意见&gt;的通知》（梅市明电〔2019〕229号）；</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（3）《项目支出绩效评价管理办法》（财预〔2020〕10号）；</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（4）《梅州市财政局关于做好2022年市级财政重点绩效评工作的通知》（梅市财评〔2022〕5号）；</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（5）项目单位提供的项目立项依据文件、资金使用明细财务资料、过程监督管理文件、绩效完成佐证材料、绩效评价自评报告等。</w:t>
      </w:r>
    </w:p>
    <w:p>
      <w:pPr>
        <w:pStyle w:val="44"/>
        <w:keepLines w:val="0"/>
        <w:pageBreakBefore w:val="0"/>
        <w:kinsoku/>
        <w:wordWrap/>
        <w:overflowPunct/>
        <w:topLinePunct w:val="0"/>
        <w:bidi w:val="0"/>
        <w:adjustRightInd w:val="0"/>
        <w:spacing w:line="360" w:lineRule="auto"/>
        <w:ind w:left="0" w:leftChars="0" w:firstLine="321" w:firstLineChars="100"/>
        <w:jc w:val="both"/>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（二）评价原则。</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（1）科学、规范、客观、公正原则。严格执行财政部门规定的评价程序，以项目实际情况为主，按照科学可行的评价操作方案和统一的标准，准确、全面、系统地评价资金和项目的绩效情况。</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（2）经济性、效率性、效益性原则。即把财政支出行为及其过程的实际情况，通过对其经济性、效率性、效益性的比较和评价分析，判断支出的行为过程和执行的业绩、效果优劣。</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3）定量分析和定性分析相结合的原则。定量分析建立在财政支出项目的资金投入和资金执行后的绩效上，主要通过对项目绩效量化指标的统计分析进行评价。定性分析主要是根据绩效评价材料及有关信息数据，结合</w:t>
      </w:r>
      <w:r>
        <w:rPr>
          <w:rFonts w:hint="eastAsia" w:ascii="宋体" w:hAnsi="宋体" w:eastAsia="宋体" w:cs="宋体"/>
          <w:lang w:eastAsia="zh-CN"/>
        </w:rPr>
        <w:t>评价组</w:t>
      </w:r>
      <w:r>
        <w:rPr>
          <w:rFonts w:hint="eastAsia" w:ascii="宋体" w:hAnsi="宋体" w:eastAsia="宋体" w:cs="宋体"/>
        </w:rPr>
        <w:t>意见，全面、合理、准确地评价支出的实际绩效。</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（4）绩效相关原则。绩效评价能够针</w:t>
      </w:r>
      <w:r>
        <w:rPr>
          <w:rFonts w:hint="eastAsia" w:ascii="宋体" w:hAnsi="宋体" w:eastAsia="宋体" w:cs="宋体"/>
          <w:lang w:eastAsia="zh-CN"/>
        </w:rPr>
        <w:t>对市工信局负责实施的</w:t>
      </w:r>
      <w:r>
        <w:rPr>
          <w:rFonts w:hint="eastAsia" w:ascii="宋体" w:hAnsi="宋体" w:eastAsia="宋体" w:cs="宋体"/>
        </w:rPr>
        <w:t>“梅州市阿里云创新中心”</w:t>
      </w:r>
      <w:r>
        <w:rPr>
          <w:rFonts w:hint="eastAsia" w:ascii="宋体" w:hAnsi="宋体" w:eastAsia="宋体" w:cs="宋体"/>
          <w:lang w:eastAsia="zh-CN"/>
        </w:rPr>
        <w:t>重点项目的</w:t>
      </w:r>
      <w:r>
        <w:rPr>
          <w:rFonts w:hint="eastAsia" w:ascii="宋体" w:hAnsi="宋体" w:eastAsia="宋体" w:cs="宋体"/>
        </w:rPr>
        <w:t>资金使用及其产出绩效进行，评价结果能够清晰反映支出和产出绩效之间的对应关系。</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（5）注重实效原则。绩效评价要立足为提高</w:t>
      </w:r>
      <w:r>
        <w:rPr>
          <w:rFonts w:hint="eastAsia" w:ascii="宋体" w:hAnsi="宋体" w:eastAsia="宋体" w:cs="宋体"/>
          <w:lang w:eastAsia="zh-CN"/>
        </w:rPr>
        <w:t>市工信局负责实施的</w:t>
      </w:r>
      <w:r>
        <w:rPr>
          <w:rFonts w:hint="eastAsia" w:ascii="宋体" w:hAnsi="宋体" w:eastAsia="宋体" w:cs="宋体"/>
        </w:rPr>
        <w:t>“梅州市阿里云创新中心项目”整体水平和资金使用效益服务，发挥引导作用。</w:t>
      </w:r>
    </w:p>
    <w:p>
      <w:pPr>
        <w:pStyle w:val="44"/>
        <w:keepLines w:val="0"/>
        <w:pageBreakBefore w:val="0"/>
        <w:kinsoku/>
        <w:wordWrap/>
        <w:overflowPunct/>
        <w:topLinePunct w:val="0"/>
        <w:bidi w:val="0"/>
        <w:adjustRightInd w:val="0"/>
        <w:spacing w:line="360" w:lineRule="auto"/>
        <w:ind w:left="0" w:leftChars="0" w:firstLine="321" w:firstLineChars="100"/>
        <w:jc w:val="both"/>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（三）评价指标体系。</w:t>
      </w:r>
    </w:p>
    <w:p>
      <w:pPr>
        <w:keepLines w:val="0"/>
        <w:pageBreakBefore w:val="0"/>
        <w:kinsoku/>
        <w:wordWrap/>
        <w:overflowPunct/>
        <w:topLinePunct w:val="0"/>
        <w:bidi w:val="0"/>
        <w:spacing w:line="360" w:lineRule="auto"/>
        <w:jc w:val="both"/>
        <w:textAlignment w:val="auto"/>
        <w:rPr>
          <w:rFonts w:hint="eastAsia" w:ascii="宋体" w:hAnsi="宋体" w:eastAsia="宋体" w:cs="宋体"/>
        </w:rPr>
      </w:pPr>
      <w:r>
        <w:rPr>
          <w:rFonts w:hint="eastAsia" w:ascii="宋体" w:hAnsi="宋体" w:eastAsia="宋体" w:cs="宋体"/>
        </w:rPr>
        <w:t>根据绩效评价工作相关管理办法，结合项目资金支出特点及资金使用的具体方向，确定评价内容并相应选设指标及权重，形成本次包含4个一级指标、8个二级指标、1</w:t>
      </w:r>
      <w:r>
        <w:rPr>
          <w:rFonts w:hint="eastAsia" w:ascii="宋体" w:hAnsi="宋体" w:eastAsia="宋体" w:cs="宋体"/>
          <w:lang w:val="en-US" w:eastAsia="zh-CN"/>
        </w:rPr>
        <w:t>6</w:t>
      </w:r>
      <w:r>
        <w:rPr>
          <w:rFonts w:hint="eastAsia" w:ascii="宋体" w:hAnsi="宋体" w:eastAsia="宋体" w:cs="宋体"/>
        </w:rPr>
        <w:t>个三级指标、</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个</w:t>
      </w:r>
      <w:r>
        <w:rPr>
          <w:rFonts w:hint="eastAsia" w:ascii="宋体" w:hAnsi="宋体" w:eastAsia="宋体" w:cs="宋体"/>
        </w:rPr>
        <w:t>四级指标的评价指标体系。综合评价重点为项目决策、管理、产出、效益四大方面，其权重分别为：决策</w:t>
      </w:r>
      <w:r>
        <w:rPr>
          <w:rFonts w:hint="eastAsia" w:ascii="宋体" w:hAnsi="宋体" w:eastAsia="宋体" w:cs="宋体"/>
          <w:lang w:val="en-US" w:eastAsia="zh-CN"/>
        </w:rPr>
        <w:t>15</w:t>
      </w:r>
      <w:r>
        <w:rPr>
          <w:rFonts w:hint="eastAsia" w:ascii="宋体" w:hAnsi="宋体" w:eastAsia="宋体" w:cs="宋体"/>
        </w:rPr>
        <w:t>%，管理2</w:t>
      </w:r>
      <w:r>
        <w:rPr>
          <w:rFonts w:hint="eastAsia" w:ascii="宋体" w:hAnsi="宋体" w:eastAsia="宋体" w:cs="宋体"/>
          <w:lang w:val="en-US" w:eastAsia="zh-CN"/>
        </w:rPr>
        <w:t>5</w:t>
      </w:r>
      <w:r>
        <w:rPr>
          <w:rFonts w:hint="eastAsia" w:ascii="宋体" w:hAnsi="宋体" w:eastAsia="宋体" w:cs="宋体"/>
        </w:rPr>
        <w:t>%，产出30%，效益30%，详见表1。本次评价结果分为四个等级:优[90分～100分]，良[80分～90分)，中[60分～80分)，差(60分以下)。</w:t>
      </w:r>
    </w:p>
    <w:p>
      <w:pPr>
        <w:pStyle w:val="10"/>
        <w:keepNext/>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Cs w:val="28"/>
        </w:rPr>
      </w:pPr>
      <w:r>
        <w:rPr>
          <w:rFonts w:hint="eastAsia" w:ascii="黑体" w:hAnsi="黑体" w:eastAsia="黑体" w:cs="黑体"/>
          <w:szCs w:val="28"/>
        </w:rPr>
        <w:t>表1  绩效评价指标体系</w:t>
      </w:r>
    </w:p>
    <w:tbl>
      <w:tblPr>
        <w:tblStyle w:val="29"/>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16"/>
        <w:gridCol w:w="1010"/>
        <w:gridCol w:w="815"/>
        <w:gridCol w:w="1243"/>
        <w:gridCol w:w="760"/>
        <w:gridCol w:w="1984"/>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96"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一级指标</w:t>
            </w:r>
          </w:p>
        </w:tc>
        <w:tc>
          <w:tcPr>
            <w:tcW w:w="1825"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二级指标</w:t>
            </w:r>
          </w:p>
        </w:tc>
        <w:tc>
          <w:tcPr>
            <w:tcW w:w="2003"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2736"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8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816"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权重(%)</w:t>
            </w:r>
          </w:p>
        </w:tc>
        <w:tc>
          <w:tcPr>
            <w:tcW w:w="101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权重(%)</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权重(%)</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决策</w:t>
            </w:r>
          </w:p>
        </w:tc>
        <w:tc>
          <w:tcPr>
            <w:tcW w:w="8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w:t>
            </w: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项目立项</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论证决策</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论证充分性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目标设置</w:t>
            </w:r>
          </w:p>
        </w:tc>
        <w:tc>
          <w:tcPr>
            <w:tcW w:w="7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完整性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合理性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可衡量性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保障措施</w:t>
            </w:r>
          </w:p>
        </w:tc>
        <w:tc>
          <w:tcPr>
            <w:tcW w:w="7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制度完整性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计划安排合理性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资金落实</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3</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leftChars="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资金分配</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leftChars="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leftChars="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资金分配合理性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leftChars="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管理</w:t>
            </w:r>
          </w:p>
        </w:tc>
        <w:tc>
          <w:tcPr>
            <w:tcW w:w="8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25</w:t>
            </w: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资金管理</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15</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资金支付</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3</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资金支出率</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支出规范性</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支出规范性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事项管理</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实施程序</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程序规范性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管理情况</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监管有效性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产出</w:t>
            </w:r>
          </w:p>
          <w:p>
            <w:pPr>
              <w:keepNext w:val="0"/>
              <w:keepLines w:val="0"/>
              <w:pageBreakBefore w:val="0"/>
              <w:widowControl/>
              <w:kinsoku/>
              <w:wordWrap/>
              <w:overflowPunct/>
              <w:topLinePunct w:val="0"/>
              <w:autoSpaceDE/>
              <w:autoSpaceDN/>
              <w:bidi w:val="0"/>
              <w:adjustRightInd w:val="0"/>
              <w:spacing w:line="240" w:lineRule="auto"/>
              <w:ind w:left="0" w:firstLine="0" w:firstLineChars="0"/>
              <w:jc w:val="both"/>
              <w:textAlignment w:val="auto"/>
              <w:rPr>
                <w:rFonts w:hint="eastAsia" w:ascii="宋体" w:hAnsi="宋体" w:eastAsia="宋体" w:cs="宋体"/>
                <w:b w:val="0"/>
                <w:bCs w:val="0"/>
                <w:color w:val="000000"/>
                <w:kern w:val="0"/>
                <w:sz w:val="24"/>
                <w:szCs w:val="24"/>
              </w:rPr>
            </w:pPr>
          </w:p>
        </w:tc>
        <w:tc>
          <w:tcPr>
            <w:tcW w:w="8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30</w:t>
            </w: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经济性</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预算控制</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预算控制</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成本控制</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成本节约</w:t>
            </w:r>
          </w:p>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成本指标</w:t>
            </w:r>
            <w:r>
              <w:rPr>
                <w:rFonts w:hint="eastAsia" w:ascii="宋体" w:hAnsi="宋体" w:eastAsia="宋体" w:cs="宋体"/>
                <w:b w:val="0"/>
                <w:bCs w:val="0"/>
                <w:color w:val="000000"/>
                <w:kern w:val="0"/>
                <w:sz w:val="24"/>
                <w:szCs w:val="24"/>
                <w:lang w:eastAsia="zh-CN"/>
              </w:rPr>
              <w:t>）</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效率性</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12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完成进度</w:t>
            </w:r>
          </w:p>
        </w:tc>
        <w:tc>
          <w:tcPr>
            <w:tcW w:w="7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150万元的创客补贴以阿里云资源代金券的形式发放给符合《合作协议》约定条件企业的完成进度和消费进度</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p>
        </w:tc>
        <w:tc>
          <w:tcPr>
            <w:tcW w:w="12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线上及线下入驻企业7家、知识产权授权5个或进入审查环节发明专利1个、开展相关创业活动3场、引进硕士及以上人才5人</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完成时间</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资金按时支付、运营目标、阿里云代金券消费按时完成</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243" w:type="dxa"/>
            <w:shd w:val="clear" w:color="auto" w:fill="auto"/>
            <w:vAlign w:val="center"/>
          </w:tcPr>
          <w:p>
            <w:pPr>
              <w:keepNext w:val="0"/>
              <w:keepLines w:val="0"/>
              <w:pageBreakBefore w:val="0"/>
              <w:widowControl/>
              <w:tabs>
                <w:tab w:val="left" w:pos="481"/>
              </w:tabs>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rPr>
              <w:t>完成质量</w:t>
            </w:r>
          </w:p>
        </w:tc>
        <w:tc>
          <w:tcPr>
            <w:tcW w:w="760" w:type="dxa"/>
            <w:shd w:val="clear" w:color="auto" w:fill="auto"/>
            <w:vAlign w:val="center"/>
          </w:tcPr>
          <w:p>
            <w:pPr>
              <w:keepNext w:val="0"/>
              <w:keepLines w:val="0"/>
              <w:pageBreakBefore w:val="0"/>
              <w:widowControl/>
              <w:tabs>
                <w:tab w:val="left" w:pos="403"/>
              </w:tabs>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验收合格率</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效益</w:t>
            </w:r>
          </w:p>
        </w:tc>
        <w:tc>
          <w:tcPr>
            <w:tcW w:w="8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30</w:t>
            </w:r>
          </w:p>
        </w:tc>
        <w:tc>
          <w:tcPr>
            <w:tcW w:w="10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效果性</w:t>
            </w:r>
          </w:p>
        </w:tc>
        <w:tc>
          <w:tcPr>
            <w:tcW w:w="8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25</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经济效益</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eastAsia="zh-CN"/>
              </w:rPr>
              <w:t>2021年度阿里云资源代金券使用率</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p>
        </w:tc>
        <w:tc>
          <w:tcPr>
            <w:tcW w:w="12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社会效益</w:t>
            </w:r>
          </w:p>
        </w:tc>
        <w:tc>
          <w:tcPr>
            <w:tcW w:w="7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10</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对创新创业具有一定的宣传作用，营造了创新创业的氛围</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10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81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124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7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pP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创业潮的社会效应</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8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p>
        </w:tc>
        <w:tc>
          <w:tcPr>
            <w:tcW w:w="101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公平性</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1243"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满意度</w:t>
            </w:r>
          </w:p>
        </w:tc>
        <w:tc>
          <w:tcPr>
            <w:tcW w:w="760"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1984"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eastAsia="zh-CN"/>
              </w:rPr>
              <w:t>群众</w:t>
            </w:r>
            <w:r>
              <w:rPr>
                <w:rFonts w:hint="eastAsia" w:ascii="宋体" w:hAnsi="宋体" w:eastAsia="宋体" w:cs="宋体"/>
                <w:b w:val="0"/>
                <w:bCs w:val="0"/>
                <w:sz w:val="24"/>
                <w:szCs w:val="24"/>
              </w:rPr>
              <w:t>满意度</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val="0"/>
              <w:spacing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5</w:t>
            </w:r>
          </w:p>
        </w:tc>
      </w:tr>
    </w:tbl>
    <w:p>
      <w:pPr>
        <w:pStyle w:val="44"/>
        <w:keepLines w:val="0"/>
        <w:pageBreakBefore w:val="0"/>
        <w:kinsoku/>
        <w:wordWrap/>
        <w:overflowPunct/>
        <w:topLinePunct w:val="0"/>
        <w:bidi w:val="0"/>
        <w:adjustRightInd w:val="0"/>
        <w:spacing w:line="360" w:lineRule="auto"/>
        <w:ind w:left="0" w:leftChars="0" w:firstLine="321" w:firstLineChars="100"/>
        <w:jc w:val="both"/>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（四）评价方法。</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针对本次绩效评价，评价组主要采用以下</w:t>
      </w:r>
      <w:r>
        <w:rPr>
          <w:rFonts w:hint="eastAsia" w:ascii="宋体" w:hAnsi="宋体" w:eastAsia="宋体" w:cs="宋体"/>
          <w:lang w:eastAsia="zh-CN"/>
        </w:rPr>
        <w:t>三</w:t>
      </w:r>
      <w:r>
        <w:rPr>
          <w:rFonts w:hint="eastAsia" w:ascii="宋体" w:hAnsi="宋体" w:eastAsia="宋体" w:cs="宋体"/>
        </w:rPr>
        <w:t>种绩效评价方法相结合的方式对项目资料数据进行分析：</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一是</w:t>
      </w:r>
      <w:r>
        <w:rPr>
          <w:rFonts w:hint="eastAsia" w:ascii="宋体" w:hAnsi="宋体" w:eastAsia="宋体" w:cs="宋体"/>
          <w:b/>
        </w:rPr>
        <w:t>成本效益分析法</w:t>
      </w:r>
      <w:r>
        <w:rPr>
          <w:rFonts w:hint="eastAsia" w:ascii="宋体" w:hAnsi="宋体" w:eastAsia="宋体" w:cs="宋体"/>
        </w:rPr>
        <w:t>，该方法是将项目一定时期内的支出与效益进行对比分析以评价绩效目标实现程度；</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是</w:t>
      </w:r>
      <w:r>
        <w:rPr>
          <w:rFonts w:hint="eastAsia" w:ascii="宋体" w:hAnsi="宋体" w:eastAsia="宋体" w:cs="宋体"/>
          <w:b/>
        </w:rPr>
        <w:t>目标结果比较法</w:t>
      </w:r>
      <w:r>
        <w:rPr>
          <w:rFonts w:hint="eastAsia" w:ascii="宋体" w:hAnsi="宋体" w:eastAsia="宋体" w:cs="宋体"/>
        </w:rPr>
        <w:t>，通过对项目预期绩效目标与最终实施效果、历史与当期情况、不同部门和地区同类支出的比较，综合分析绩效目标实现程度；</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是</w:t>
      </w:r>
      <w:r>
        <w:rPr>
          <w:rFonts w:hint="eastAsia" w:ascii="宋体" w:hAnsi="宋体" w:eastAsia="宋体" w:cs="宋体"/>
          <w:b/>
        </w:rPr>
        <w:t>因素分析法</w:t>
      </w:r>
      <w:r>
        <w:rPr>
          <w:rFonts w:hint="eastAsia" w:ascii="宋体" w:hAnsi="宋体" w:eastAsia="宋体" w:cs="宋体"/>
        </w:rPr>
        <w:t>，通过综合分析影响绩效目标实现、实施效果的内外因素评价绩效目标实现程度。</w:t>
      </w:r>
    </w:p>
    <w:p>
      <w:pPr>
        <w:pStyle w:val="44"/>
        <w:keepLines w:val="0"/>
        <w:pageBreakBefore w:val="0"/>
        <w:kinsoku/>
        <w:wordWrap/>
        <w:overflowPunct/>
        <w:topLinePunct w:val="0"/>
        <w:bidi w:val="0"/>
        <w:adjustRightInd w:val="0"/>
        <w:spacing w:line="360" w:lineRule="auto"/>
        <w:ind w:left="0" w:leftChars="0" w:firstLine="321" w:firstLineChars="100"/>
        <w:jc w:val="both"/>
        <w:textAlignment w:val="auto"/>
        <w:rPr>
          <w:rFonts w:hint="eastAsia" w:ascii="宋体" w:hAnsi="宋体" w:eastAsia="宋体" w:cs="宋体"/>
          <w:b/>
          <w:kern w:val="2"/>
          <w:sz w:val="32"/>
          <w:szCs w:val="32"/>
        </w:rPr>
      </w:pPr>
      <w:r>
        <w:rPr>
          <w:rFonts w:hint="eastAsia" w:ascii="宋体" w:hAnsi="宋体" w:eastAsia="宋体" w:cs="宋体"/>
          <w:b/>
          <w:kern w:val="2"/>
          <w:sz w:val="32"/>
          <w:szCs w:val="32"/>
        </w:rPr>
        <w:t>（五）评价标准。</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本次绩效评价主要采用以下</w:t>
      </w:r>
      <w:r>
        <w:rPr>
          <w:rFonts w:hint="eastAsia" w:ascii="宋体" w:hAnsi="宋体" w:eastAsia="宋体" w:cs="宋体"/>
          <w:lang w:eastAsia="zh-CN"/>
        </w:rPr>
        <w:t>两</w:t>
      </w:r>
      <w:r>
        <w:rPr>
          <w:rFonts w:hint="eastAsia" w:ascii="宋体" w:hAnsi="宋体" w:eastAsia="宋体" w:cs="宋体"/>
        </w:rPr>
        <w:t>种绩效评价标准对绩效指标完成情况进行比较：</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rPr>
        <w:t>一是计划标准，以项目单位预先制定的目标、计划、预算、定额等作为评价标准。</w:t>
      </w:r>
    </w:p>
    <w:p>
      <w:pPr>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是历史标准，参照历史数据制定的评价标准，为体现绩效改进的原则，在可实现的条件下确定相对较高的评价标准。</w:t>
      </w:r>
    </w:p>
    <w:p>
      <w:pPr>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
          <w:bCs/>
          <w:sz w:val="32"/>
          <w:szCs w:val="32"/>
        </w:rPr>
      </w:pPr>
      <w:bookmarkStart w:id="148" w:name="_Toc3815"/>
      <w:r>
        <w:rPr>
          <w:rFonts w:hint="eastAsia" w:ascii="宋体" w:hAnsi="宋体" w:eastAsia="宋体" w:cs="宋体"/>
          <w:b/>
          <w:bCs/>
          <w:sz w:val="32"/>
          <w:szCs w:val="32"/>
        </w:rPr>
        <w:t>四、绩效评价实施过程。</w:t>
      </w:r>
      <w:bookmarkEnd w:id="148"/>
    </w:p>
    <w:p>
      <w:pPr>
        <w:keepLines w:val="0"/>
        <w:pageBreakBefore w:val="0"/>
        <w:kinsoku/>
        <w:wordWrap/>
        <w:overflowPunct/>
        <w:topLinePunct w:val="0"/>
        <w:autoSpaceDE w:val="0"/>
        <w:autoSpaceDN w:val="0"/>
        <w:bidi w:val="0"/>
        <w:adjustRightInd w:val="0"/>
        <w:snapToGrid w:val="0"/>
        <w:spacing w:line="360" w:lineRule="auto"/>
        <w:ind w:left="0" w:leftChars="0" w:firstLine="643" w:firstLineChars="200"/>
        <w:jc w:val="both"/>
        <w:textAlignment w:val="auto"/>
        <w:rPr>
          <w:rFonts w:hint="eastAsia" w:ascii="宋体" w:hAnsi="宋体" w:eastAsia="宋体" w:cs="宋体"/>
          <w:b/>
        </w:rPr>
      </w:pPr>
      <w:r>
        <w:rPr>
          <w:rFonts w:hint="eastAsia" w:ascii="宋体" w:hAnsi="宋体" w:eastAsia="宋体" w:cs="宋体"/>
          <w:b/>
        </w:rPr>
        <w:t>（一）前期准备。</w:t>
      </w:r>
      <w:r>
        <w:rPr>
          <w:rFonts w:hint="eastAsia" w:ascii="宋体" w:hAnsi="宋体" w:eastAsia="宋体" w:cs="宋体"/>
          <w:bCs/>
        </w:rPr>
        <w:t>市财政局</w:t>
      </w:r>
      <w:r>
        <w:rPr>
          <w:rFonts w:hint="eastAsia" w:ascii="宋体" w:hAnsi="宋体" w:eastAsia="宋体" w:cs="宋体"/>
          <w:snapToGrid w:val="0"/>
        </w:rPr>
        <w:t>抽取</w:t>
      </w:r>
      <w:r>
        <w:rPr>
          <w:rFonts w:hint="eastAsia" w:ascii="宋体" w:hAnsi="宋体" w:eastAsia="宋体" w:cs="宋体"/>
          <w:color w:val="000000"/>
        </w:rPr>
        <w:t>重点项目，要求牵头单位开展书面自评工作，</w:t>
      </w:r>
      <w:r>
        <w:rPr>
          <w:rFonts w:hint="eastAsia" w:ascii="宋体" w:hAnsi="宋体" w:eastAsia="宋体" w:cs="宋体"/>
          <w:snapToGrid w:val="0"/>
        </w:rPr>
        <w:t>按要求提交自评报告及相关佐证材料至市财政局，市财政局把自评报告、绩效自评基础信息表及佐证材料报送评价机构。</w:t>
      </w:r>
    </w:p>
    <w:p>
      <w:pPr>
        <w:keepLines w:val="0"/>
        <w:pageBreakBefore w:val="0"/>
        <w:kinsoku/>
        <w:wordWrap/>
        <w:overflowPunct/>
        <w:topLinePunct w:val="0"/>
        <w:autoSpaceDE w:val="0"/>
        <w:autoSpaceDN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（二）自评材料审核分析。</w:t>
      </w:r>
      <w:r>
        <w:rPr>
          <w:rFonts w:hint="eastAsia" w:ascii="宋体" w:hAnsi="宋体" w:eastAsia="宋体" w:cs="宋体"/>
          <w:snapToGrid w:val="0"/>
        </w:rPr>
        <w:t>评价组对主管部门提交的绩效自评资料进行收集、分类整理，并对自评材料的有关内容进行审核，重点对《项目绩效自评信息指标评分表》的填报信息的准确性、完整性及相应佐证材料的有效性进行审核，并将审核过程中发现的问题、审核意见记录清楚，为开展现场评价提供情况参考。</w:t>
      </w:r>
    </w:p>
    <w:p>
      <w:pPr>
        <w:keepLines w:val="0"/>
        <w:pageBreakBefore w:val="0"/>
        <w:kinsoku/>
        <w:wordWrap/>
        <w:overflowPunct/>
        <w:topLinePunct w:val="0"/>
        <w:autoSpaceDE w:val="0"/>
        <w:autoSpaceDN w:val="0"/>
        <w:bidi w:val="0"/>
        <w:adjustRightInd w:val="0"/>
        <w:snapToGrid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（三）现场评价。</w:t>
      </w:r>
      <w:r>
        <w:rPr>
          <w:rFonts w:hint="eastAsia" w:ascii="宋体" w:hAnsi="宋体" w:eastAsia="宋体" w:cs="宋体"/>
        </w:rPr>
        <w:t>根据绩效评价有关规定和现场核查实际操作规程，现场评价工作采取实地考察的方法。评价小组</w:t>
      </w:r>
      <w:r>
        <w:rPr>
          <w:rFonts w:hint="eastAsia" w:ascii="宋体" w:hAnsi="宋体" w:eastAsia="宋体" w:cs="宋体"/>
          <w:lang w:eastAsia="zh-CN"/>
        </w:rPr>
        <w:t>与市工信局项目代表共同</w:t>
      </w:r>
      <w:r>
        <w:rPr>
          <w:rFonts w:hint="eastAsia" w:ascii="宋体" w:hAnsi="宋体" w:eastAsia="宋体" w:cs="宋体"/>
        </w:rPr>
        <w:t>实施现场评价。</w:t>
      </w:r>
    </w:p>
    <w:p>
      <w:pPr>
        <w:keepLines w:val="0"/>
        <w:pageBreakBefore w:val="0"/>
        <w:kinsoku/>
        <w:wordWrap/>
        <w:overflowPunct/>
        <w:topLinePunct w:val="0"/>
        <w:autoSpaceDE w:val="0"/>
        <w:autoSpaceDN w:val="0"/>
        <w:bidi w:val="0"/>
        <w:adjustRightInd w:val="0"/>
        <w:snapToGrid w:val="0"/>
        <w:spacing w:line="360" w:lineRule="auto"/>
        <w:ind w:left="0" w:leftChars="0"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评价组在整理分析总体情况和项目资料之后，深入到项目现场进行现场核查：一是听取主管单位对项目的介绍，核查及收集与项目实施有关的文件材料。二是对实施单位和项目相关工作人员进行座谈，了解资金使用概况，采集、核对相关基础数据资料。三是实地走访项目</w:t>
      </w:r>
      <w:r>
        <w:rPr>
          <w:rFonts w:hint="eastAsia" w:ascii="宋体" w:hAnsi="宋体" w:eastAsia="宋体" w:cs="宋体"/>
          <w:sz w:val="32"/>
          <w:szCs w:val="32"/>
          <w:lang w:eastAsia="zh-CN"/>
        </w:rPr>
        <w:t>实施现场</w:t>
      </w:r>
      <w:r>
        <w:rPr>
          <w:rFonts w:hint="eastAsia" w:ascii="宋体" w:hAnsi="宋体" w:eastAsia="宋体" w:cs="宋体"/>
          <w:sz w:val="32"/>
          <w:szCs w:val="32"/>
        </w:rPr>
        <w:t>。</w:t>
      </w:r>
    </w:p>
    <w:p>
      <w:pPr>
        <w:keepLines w:val="0"/>
        <w:pageBreakBefore w:val="0"/>
        <w:kinsoku/>
        <w:wordWrap/>
        <w:overflowPunct/>
        <w:topLinePunct w:val="0"/>
        <w:autoSpaceDE w:val="0"/>
        <w:autoSpaceDN w:val="0"/>
        <w:bidi w:val="0"/>
        <w:adjustRightInd w:val="0"/>
        <w:snapToGrid w:val="0"/>
        <w:spacing w:line="360" w:lineRule="auto"/>
        <w:ind w:left="0" w:leftChars="0" w:firstLine="640" w:firstLineChars="200"/>
        <w:jc w:val="both"/>
        <w:textAlignment w:val="auto"/>
        <w:rPr>
          <w:rFonts w:hint="eastAsia" w:ascii="宋体" w:hAnsi="宋体" w:eastAsia="宋体" w:cs="宋体"/>
        </w:rPr>
      </w:pPr>
      <w:r>
        <w:rPr>
          <w:rFonts w:hint="eastAsia" w:ascii="宋体" w:hAnsi="宋体" w:eastAsia="宋体" w:cs="宋体"/>
          <w:snapToGrid w:val="0"/>
        </w:rPr>
        <w:t>现场评价主要采取</w:t>
      </w:r>
      <w:r>
        <w:rPr>
          <w:rFonts w:hint="eastAsia" w:ascii="宋体" w:hAnsi="宋体" w:eastAsia="宋体" w:cs="宋体"/>
          <w:snapToGrid w:val="0"/>
          <w:lang w:eastAsia="zh-CN"/>
        </w:rPr>
        <w:t>单位汇报</w:t>
      </w:r>
      <w:r>
        <w:rPr>
          <w:rFonts w:hint="eastAsia" w:ascii="宋体" w:hAnsi="宋体" w:eastAsia="宋体" w:cs="宋体"/>
          <w:snapToGrid w:val="0"/>
        </w:rPr>
        <w:t>、</w:t>
      </w:r>
      <w:r>
        <w:rPr>
          <w:rFonts w:hint="eastAsia" w:ascii="宋体" w:hAnsi="宋体" w:eastAsia="宋体" w:cs="宋体"/>
          <w:snapToGrid w:val="0"/>
          <w:lang w:eastAsia="zh-CN"/>
        </w:rPr>
        <w:t>材料核查、座谈答疑</w:t>
      </w:r>
      <w:r>
        <w:rPr>
          <w:rFonts w:hint="eastAsia" w:ascii="宋体" w:hAnsi="宋体" w:eastAsia="宋体" w:cs="宋体"/>
          <w:snapToGrid w:val="0"/>
        </w:rPr>
        <w:t>和</w:t>
      </w:r>
      <w:r>
        <w:rPr>
          <w:rFonts w:hint="eastAsia" w:ascii="宋体" w:hAnsi="宋体" w:eastAsia="宋体" w:cs="宋体"/>
        </w:rPr>
        <w:t>实地考察</w:t>
      </w:r>
      <w:r>
        <w:rPr>
          <w:rFonts w:hint="eastAsia" w:ascii="宋体" w:hAnsi="宋体" w:eastAsia="宋体" w:cs="宋体"/>
          <w:snapToGrid w:val="0"/>
        </w:rPr>
        <w:t>走访等方式，对评价范围资金使用情况（包括自评材料反映信息的真实性、准确性、全面性等）进行深入具体、独立</w:t>
      </w:r>
      <w:r>
        <w:rPr>
          <w:rFonts w:hint="eastAsia" w:ascii="宋体" w:hAnsi="宋体" w:eastAsia="宋体" w:cs="宋体"/>
          <w:snapToGrid w:val="0"/>
          <w:lang w:eastAsia="zh-CN"/>
        </w:rPr>
        <w:t>客观地了解</w:t>
      </w:r>
      <w:r>
        <w:rPr>
          <w:rFonts w:hint="eastAsia" w:ascii="宋体" w:hAnsi="宋体" w:eastAsia="宋体" w:cs="宋体"/>
          <w:snapToGrid w:val="0"/>
        </w:rPr>
        <w:t>与核实。</w:t>
      </w:r>
    </w:p>
    <w:p>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ind w:firstLine="640" w:firstLineChars="200"/>
        <w:jc w:val="both"/>
        <w:textAlignment w:val="auto"/>
        <w:rPr>
          <w:rFonts w:hint="eastAsia" w:ascii="宋体" w:hAnsi="宋体" w:eastAsia="宋体" w:cs="宋体"/>
          <w:lang w:eastAsia="zh-CN"/>
        </w:rPr>
      </w:pPr>
      <w:r>
        <w:rPr>
          <w:rFonts w:hint="eastAsia" w:ascii="宋体" w:hAnsi="宋体" w:eastAsia="宋体" w:cs="宋体"/>
          <w:lang w:val="en-US" w:eastAsia="zh-CN"/>
        </w:rPr>
        <w:t>单位汇报</w:t>
      </w:r>
      <w:r>
        <w:rPr>
          <w:rFonts w:hint="eastAsia" w:ascii="宋体" w:hAnsi="宋体" w:eastAsia="宋体" w:cs="宋体"/>
        </w:rPr>
        <w:t>。评价组</w:t>
      </w:r>
      <w:r>
        <w:rPr>
          <w:rFonts w:hint="eastAsia" w:ascii="宋体" w:hAnsi="宋体" w:eastAsia="宋体" w:cs="宋体"/>
          <w:lang w:eastAsia="zh-CN"/>
        </w:rPr>
        <w:t>与</w:t>
      </w:r>
      <w:r>
        <w:rPr>
          <w:rFonts w:hint="eastAsia" w:ascii="宋体" w:hAnsi="宋体" w:eastAsia="宋体" w:cs="宋体"/>
        </w:rPr>
        <w:t>项目实施有关单位代表</w:t>
      </w:r>
      <w:r>
        <w:rPr>
          <w:rFonts w:hint="eastAsia" w:ascii="宋体" w:hAnsi="宋体" w:eastAsia="宋体" w:cs="宋体"/>
          <w:lang w:eastAsia="zh-CN"/>
        </w:rPr>
        <w:t>开展现场评价工作</w:t>
      </w:r>
      <w:r>
        <w:rPr>
          <w:rFonts w:hint="eastAsia" w:ascii="宋体" w:hAnsi="宋体" w:eastAsia="宋体" w:cs="宋体"/>
        </w:rPr>
        <w:t>。由市主管部门对专项资金</w:t>
      </w:r>
      <w:r>
        <w:rPr>
          <w:rFonts w:hint="eastAsia" w:ascii="宋体" w:hAnsi="宋体" w:eastAsia="宋体" w:cs="宋体"/>
          <w:lang w:eastAsia="zh-CN"/>
        </w:rPr>
        <w:t>项目</w:t>
      </w:r>
      <w:r>
        <w:rPr>
          <w:rFonts w:hint="eastAsia" w:ascii="宋体" w:hAnsi="宋体" w:eastAsia="宋体" w:cs="宋体"/>
        </w:rPr>
        <w:t>实施情况</w:t>
      </w:r>
      <w:r>
        <w:rPr>
          <w:rFonts w:hint="eastAsia" w:ascii="宋体" w:hAnsi="宋体" w:eastAsia="宋体" w:cs="宋体"/>
          <w:lang w:eastAsia="zh-CN"/>
        </w:rPr>
        <w:t>进行简要介绍</w:t>
      </w:r>
      <w:r>
        <w:rPr>
          <w:rFonts w:hint="eastAsia" w:ascii="宋体" w:hAnsi="宋体" w:eastAsia="宋体" w:cs="宋体"/>
        </w:rPr>
        <w:t>，内容包括立项决策情况、项目资金使用、实施管理及项目成效情况等</w:t>
      </w:r>
      <w:r>
        <w:rPr>
          <w:rFonts w:hint="eastAsia" w:ascii="宋体" w:hAnsi="宋体" w:eastAsia="宋体" w:cs="宋体"/>
          <w:lang w:eastAsia="zh-CN"/>
        </w:rPr>
        <w:t>。</w:t>
      </w:r>
    </w:p>
    <w:p>
      <w:pPr>
        <w:pStyle w:val="2"/>
        <w:keepLines w:val="0"/>
        <w:pageBreakBefore w:val="0"/>
        <w:numPr>
          <w:ilvl w:val="0"/>
          <w:numId w:val="0"/>
        </w:numPr>
        <w:kinsoku/>
        <w:wordWrap/>
        <w:overflowPunct/>
        <w:topLinePunct w:val="0"/>
        <w:bidi w:val="0"/>
        <w:spacing w:line="360" w:lineRule="auto"/>
        <w:jc w:val="center"/>
        <w:textAlignment w:val="auto"/>
        <w:rPr>
          <w:rFonts w:hint="eastAsia" w:eastAsia="华文中宋D..."/>
          <w:lang w:eastAsia="zh-CN"/>
        </w:rPr>
      </w:pPr>
      <w:r>
        <w:rPr>
          <w:rFonts w:hint="eastAsia" w:eastAsia="华文中宋D..."/>
          <w:lang w:eastAsia="zh-CN"/>
        </w:rPr>
        <w:drawing>
          <wp:inline distT="0" distB="0" distL="114300" distR="114300">
            <wp:extent cx="5300980" cy="3485515"/>
            <wp:effectExtent l="0" t="0" r="13970" b="635"/>
            <wp:docPr id="5" name="图片 5" descr="微信图片_20221017103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10171038139"/>
                    <pic:cNvPicPr>
                      <a:picLocks noChangeAspect="1"/>
                    </pic:cNvPicPr>
                  </pic:nvPicPr>
                  <pic:blipFill>
                    <a:blip r:embed="rId22"/>
                    <a:stretch>
                      <a:fillRect/>
                    </a:stretch>
                  </pic:blipFill>
                  <pic:spPr>
                    <a:xfrm>
                      <a:off x="0" y="0"/>
                      <a:ext cx="5300980" cy="3485515"/>
                    </a:xfrm>
                    <a:prstGeom prst="rect">
                      <a:avLst/>
                    </a:prstGeom>
                  </pic:spPr>
                </pic:pic>
              </a:graphicData>
            </a:graphic>
          </wp:inline>
        </w:drawing>
      </w:r>
    </w:p>
    <w:p>
      <w:pPr>
        <w:keepLines w:val="0"/>
        <w:pageBreakBefore w:val="0"/>
        <w:numPr>
          <w:ilvl w:val="0"/>
          <w:numId w:val="5"/>
        </w:numPr>
        <w:kinsoku/>
        <w:wordWrap/>
        <w:overflowPunct/>
        <w:topLinePunct w:val="0"/>
        <w:autoSpaceDE w:val="0"/>
        <w:autoSpaceDN w:val="0"/>
        <w:bidi w:val="0"/>
        <w:spacing w:line="360" w:lineRule="auto"/>
        <w:ind w:left="142" w:leftChars="0" w:firstLine="640" w:firstLineChars="200"/>
        <w:jc w:val="both"/>
        <w:textAlignment w:val="auto"/>
        <w:rPr>
          <w:rFonts w:hint="eastAsia" w:ascii="宋体" w:hAnsi="宋体" w:eastAsia="宋体" w:cs="宋体"/>
        </w:rPr>
      </w:pPr>
      <w:r>
        <w:rPr>
          <w:rFonts w:hint="eastAsia" w:ascii="宋体" w:hAnsi="宋体" w:eastAsia="宋体" w:cs="宋体"/>
        </w:rPr>
        <w:t>材料核实。市主管部门根据要求填报并提供有关评价资料，评价组对各项数据和资料的真实性、准确性进行核实。</w:t>
      </w:r>
    </w:p>
    <w:p>
      <w:pPr>
        <w:pStyle w:val="2"/>
        <w:keepLines w:val="0"/>
        <w:pageBreakBefore w:val="0"/>
        <w:numPr>
          <w:ilvl w:val="0"/>
          <w:numId w:val="0"/>
        </w:numPr>
        <w:kinsoku/>
        <w:wordWrap/>
        <w:overflowPunct/>
        <w:topLinePunct w:val="0"/>
        <w:bidi w:val="0"/>
        <w:spacing w:line="360" w:lineRule="auto"/>
        <w:jc w:val="both"/>
        <w:textAlignment w:val="auto"/>
        <w:rPr>
          <w:rFonts w:hint="eastAsia" w:eastAsia="华文中宋D..."/>
          <w:lang w:eastAsia="zh-CN"/>
        </w:rPr>
      </w:pPr>
      <w:r>
        <w:rPr>
          <w:rFonts w:hint="eastAsia" w:eastAsia="华文中宋D..."/>
          <w:lang w:eastAsia="zh-CN"/>
        </w:rPr>
        <w:drawing>
          <wp:inline distT="0" distB="0" distL="114300" distR="114300">
            <wp:extent cx="5503545" cy="3512820"/>
            <wp:effectExtent l="0" t="0" r="1905" b="11430"/>
            <wp:docPr id="6" name="图片 6" descr="微信图片_20221017103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0171038137"/>
                    <pic:cNvPicPr>
                      <a:picLocks noChangeAspect="1"/>
                    </pic:cNvPicPr>
                  </pic:nvPicPr>
                  <pic:blipFill>
                    <a:blip r:embed="rId23"/>
                    <a:stretch>
                      <a:fillRect/>
                    </a:stretch>
                  </pic:blipFill>
                  <pic:spPr>
                    <a:xfrm>
                      <a:off x="0" y="0"/>
                      <a:ext cx="5503545" cy="351282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640" w:firstLineChars="200"/>
        <w:jc w:val="both"/>
        <w:textAlignment w:val="auto"/>
        <w:rPr>
          <w:rFonts w:hint="eastAsia"/>
        </w:rPr>
      </w:pPr>
      <w:r>
        <w:rPr>
          <w:rFonts w:hint="eastAsia" w:ascii="宋体" w:hAnsi="宋体" w:eastAsia="宋体" w:cs="宋体"/>
          <w:lang w:val="en-US" w:eastAsia="zh-CN"/>
        </w:rPr>
        <w:t>3.座谈答疑。</w:t>
      </w:r>
      <w:r>
        <w:rPr>
          <w:rFonts w:hint="eastAsia" w:ascii="宋体" w:hAnsi="宋体" w:eastAsia="宋体" w:cs="宋体"/>
        </w:rPr>
        <w:t>评价组就汇报内容及佐证材料进行询问，有关单位代表就评价组的询问进行了现场答复，对个别问题进行了会后补充材料书面答复。</w:t>
      </w:r>
    </w:p>
    <w:p>
      <w:pPr>
        <w:keepLines w:val="0"/>
        <w:pageBreakBefore w:val="0"/>
        <w:kinsoku/>
        <w:wordWrap/>
        <w:overflowPunct/>
        <w:topLinePunct w:val="0"/>
        <w:autoSpaceDE w:val="0"/>
        <w:autoSpaceDN w:val="0"/>
        <w:bidi w:val="0"/>
        <w:spacing w:line="360" w:lineRule="auto"/>
        <w:ind w:left="0" w:leftChars="0" w:firstLine="640" w:firstLineChars="200"/>
        <w:jc w:val="both"/>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.实地考察。评价组与市主管部门代表</w:t>
      </w:r>
      <w:r>
        <w:rPr>
          <w:rFonts w:hint="eastAsia" w:ascii="宋体" w:hAnsi="宋体" w:eastAsia="宋体" w:cs="宋体"/>
          <w:lang w:eastAsia="zh-CN"/>
        </w:rPr>
        <w:t>到</w:t>
      </w:r>
      <w:r>
        <w:rPr>
          <w:rFonts w:hint="eastAsia" w:ascii="宋体" w:hAnsi="宋体" w:eastAsia="宋体" w:cs="宋体"/>
        </w:rPr>
        <w:t>项目完工地点进行查看。</w:t>
      </w:r>
    </w:p>
    <w:p>
      <w:pPr>
        <w:pStyle w:val="2"/>
        <w:keepLines w:val="0"/>
        <w:pageBreakBefore w:val="0"/>
        <w:kinsoku/>
        <w:wordWrap/>
        <w:overflowPunct/>
        <w:topLinePunct w:val="0"/>
        <w:bidi w:val="0"/>
        <w:spacing w:line="360" w:lineRule="auto"/>
        <w:textAlignment w:val="auto"/>
        <w:rPr>
          <w:rFonts w:hint="eastAsia" w:eastAsia="宋体"/>
          <w:lang w:eastAsia="zh-CN"/>
        </w:rPr>
      </w:pPr>
      <w:r>
        <w:rPr>
          <w:rFonts w:hint="eastAsia" w:eastAsia="宋体"/>
          <w:lang w:eastAsia="zh-CN"/>
        </w:rPr>
        <w:drawing>
          <wp:inline distT="0" distB="0" distL="114300" distR="114300">
            <wp:extent cx="5295900" cy="3160395"/>
            <wp:effectExtent l="0" t="0" r="0" b="1905"/>
            <wp:docPr id="7" name="图片 7" descr="微信图片_2022101710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017103812"/>
                    <pic:cNvPicPr>
                      <a:picLocks noChangeAspect="1"/>
                    </pic:cNvPicPr>
                  </pic:nvPicPr>
                  <pic:blipFill>
                    <a:blip r:embed="rId24"/>
                    <a:stretch>
                      <a:fillRect/>
                    </a:stretch>
                  </pic:blipFill>
                  <pic:spPr>
                    <a:xfrm>
                      <a:off x="0" y="0"/>
                      <a:ext cx="5295900" cy="3160395"/>
                    </a:xfrm>
                    <a:prstGeom prst="rect">
                      <a:avLst/>
                    </a:prstGeom>
                  </pic:spPr>
                </pic:pic>
              </a:graphicData>
            </a:graphic>
          </wp:inline>
        </w:drawing>
      </w:r>
    </w:p>
    <w:p>
      <w:pPr>
        <w:pStyle w:val="2"/>
        <w:keepLines w:val="0"/>
        <w:pageBreakBefore w:val="0"/>
        <w:kinsoku/>
        <w:wordWrap/>
        <w:overflowPunct/>
        <w:topLinePunct w:val="0"/>
        <w:bidi w:val="0"/>
        <w:spacing w:line="360" w:lineRule="auto"/>
        <w:textAlignment w:val="auto"/>
        <w:rPr>
          <w:rFonts w:hint="eastAsia" w:eastAsia="宋体"/>
          <w:lang w:eastAsia="zh-CN"/>
        </w:rPr>
      </w:pPr>
      <w:r>
        <w:rPr>
          <w:rFonts w:hint="eastAsia" w:eastAsia="宋体"/>
          <w:lang w:eastAsia="zh-CN"/>
        </w:rPr>
        <w:drawing>
          <wp:inline distT="0" distB="0" distL="114300" distR="114300">
            <wp:extent cx="5283200" cy="3303270"/>
            <wp:effectExtent l="0" t="0" r="12700" b="11430"/>
            <wp:docPr id="8" name="图片 8" descr="微信图片_2022101710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1017103813"/>
                    <pic:cNvPicPr>
                      <a:picLocks noChangeAspect="1"/>
                    </pic:cNvPicPr>
                  </pic:nvPicPr>
                  <pic:blipFill>
                    <a:blip r:embed="rId25"/>
                    <a:stretch>
                      <a:fillRect/>
                    </a:stretch>
                  </pic:blipFill>
                  <pic:spPr>
                    <a:xfrm>
                      <a:off x="0" y="0"/>
                      <a:ext cx="5283200" cy="3303270"/>
                    </a:xfrm>
                    <a:prstGeom prst="rect">
                      <a:avLst/>
                    </a:prstGeom>
                  </pic:spPr>
                </pic:pic>
              </a:graphicData>
            </a:graphic>
          </wp:inline>
        </w:drawing>
      </w:r>
    </w:p>
    <w:p>
      <w:pPr>
        <w:keepLines w:val="0"/>
        <w:pageBreakBefore w:val="0"/>
        <w:kinsoku/>
        <w:wordWrap/>
        <w:overflowPunct/>
        <w:topLinePunct w:val="0"/>
        <w:autoSpaceDE w:val="0"/>
        <w:autoSpaceDN w:val="0"/>
        <w:bidi w:val="0"/>
        <w:spacing w:line="360" w:lineRule="auto"/>
        <w:ind w:left="0" w:leftChars="0" w:firstLine="643" w:firstLineChars="200"/>
        <w:jc w:val="both"/>
        <w:textAlignment w:val="auto"/>
        <w:rPr>
          <w:rFonts w:hint="eastAsia" w:ascii="宋体" w:hAnsi="宋体" w:eastAsia="宋体" w:cs="宋体"/>
        </w:rPr>
      </w:pPr>
      <w:r>
        <w:rPr>
          <w:rFonts w:hint="eastAsia" w:ascii="宋体" w:hAnsi="宋体" w:eastAsia="宋体" w:cs="宋体"/>
          <w:b/>
        </w:rPr>
        <w:t>（四）综合分析评价。</w:t>
      </w:r>
      <w:r>
        <w:rPr>
          <w:rFonts w:hint="eastAsia" w:ascii="宋体" w:hAnsi="宋体" w:eastAsia="宋体" w:cs="宋体"/>
          <w:snapToGrid w:val="0"/>
        </w:rPr>
        <w:t>评价组对采集的评价相关基础数据资料进行整理汇总，结合现场评价等情况，对项目资金的落实、组织实施、效果等情况进行多角度、全方位的了解分析项目实施的效果等情况进行全面分析，并采用项目预定目标与实施效果比较分析等方法进行综合评价，形成初步评价意见。</w:t>
      </w:r>
    </w:p>
    <w:p>
      <w:pPr>
        <w:keepLines w:val="0"/>
        <w:pageBreakBefore w:val="0"/>
        <w:tabs>
          <w:tab w:val="left" w:pos="4678"/>
        </w:tabs>
        <w:kinsoku/>
        <w:wordWrap/>
        <w:overflowPunct/>
        <w:topLinePunct w:val="0"/>
        <w:autoSpaceDE w:val="0"/>
        <w:autoSpaceDN w:val="0"/>
        <w:bidi w:val="0"/>
        <w:spacing w:line="360" w:lineRule="auto"/>
        <w:ind w:left="0" w:leftChars="0" w:firstLine="643" w:firstLineChars="200"/>
        <w:jc w:val="both"/>
        <w:textAlignment w:val="auto"/>
        <w:rPr>
          <w:rFonts w:hint="eastAsia" w:ascii="宋体" w:hAnsi="宋体" w:eastAsia="宋体" w:cs="宋体"/>
          <w:b w:val="0"/>
          <w:bCs/>
          <w:snapToGrid w:val="0"/>
        </w:rPr>
      </w:pPr>
      <w:r>
        <w:rPr>
          <w:rFonts w:hint="eastAsia" w:ascii="宋体" w:hAnsi="宋体" w:eastAsia="宋体" w:cs="宋体"/>
          <w:b/>
        </w:rPr>
        <w:t>（五）评价报告征求意见。</w:t>
      </w:r>
      <w:r>
        <w:rPr>
          <w:rFonts w:hint="eastAsia" w:ascii="宋体" w:hAnsi="宋体" w:eastAsia="宋体" w:cs="宋体"/>
          <w:b w:val="0"/>
          <w:bCs/>
          <w:snapToGrid w:val="0"/>
        </w:rPr>
        <w:t>完成绩效评价报告初稿后，征求被评价单位的意见，根据反馈的有效意见对评价报告进行修改。</w:t>
      </w:r>
    </w:p>
    <w:p>
      <w:pPr>
        <w:keepLines w:val="0"/>
        <w:pageBreakBefore w:val="0"/>
        <w:kinsoku/>
        <w:wordWrap/>
        <w:overflowPunct/>
        <w:topLinePunct w:val="0"/>
        <w:bidi w:val="0"/>
        <w:spacing w:line="360" w:lineRule="auto"/>
        <w:ind w:left="0" w:leftChars="0" w:firstLine="643" w:firstLineChars="200"/>
        <w:jc w:val="both"/>
        <w:textAlignment w:val="auto"/>
        <w:rPr>
          <w:rFonts w:hint="eastAsia" w:ascii="宋体" w:hAnsi="宋体" w:eastAsia="宋体" w:cs="宋体"/>
          <w:b/>
          <w:bCs/>
        </w:rPr>
      </w:pPr>
      <w:r>
        <w:rPr>
          <w:rFonts w:hint="eastAsia" w:ascii="宋体" w:hAnsi="宋体" w:eastAsia="宋体" w:cs="宋体"/>
          <w:b/>
        </w:rPr>
        <w:t>（六）出具评价报告。</w:t>
      </w:r>
      <w:r>
        <w:rPr>
          <w:rFonts w:hint="eastAsia" w:ascii="宋体" w:hAnsi="宋体" w:eastAsia="宋体" w:cs="宋体"/>
          <w:b w:val="0"/>
          <w:bCs/>
          <w:snapToGrid w:val="0"/>
        </w:rPr>
        <w:t>对评价报告初稿进行完善后，出具正式评价报告。</w:t>
      </w:r>
    </w:p>
    <w:p>
      <w:pPr>
        <w:keepLines w:val="0"/>
        <w:pageBreakBefore w:val="0"/>
        <w:kinsoku/>
        <w:wordWrap/>
        <w:overflowPunct/>
        <w:topLinePunct w:val="0"/>
        <w:bidi w:val="0"/>
        <w:spacing w:line="360" w:lineRule="auto"/>
        <w:ind w:left="0" w:leftChars="0" w:firstLine="0" w:firstLineChars="0"/>
        <w:jc w:val="both"/>
        <w:textAlignment w:val="auto"/>
        <w:rPr>
          <w:rFonts w:hint="eastAsia" w:ascii="仿宋" w:hAnsi="仿宋" w:eastAsia="仿宋" w:cs="仿宋"/>
        </w:rPr>
        <w:sectPr>
          <w:footerReference r:id="rId20" w:type="default"/>
          <w:pgSz w:w="11906" w:h="16838"/>
          <w:pgMar w:top="1440" w:right="1700" w:bottom="1440" w:left="1843" w:header="851" w:footer="992" w:gutter="0"/>
          <w:pgBorders>
            <w:top w:val="none" w:sz="0" w:space="0"/>
            <w:left w:val="none" w:sz="0" w:space="0"/>
            <w:bottom w:val="none" w:sz="0" w:space="0"/>
            <w:right w:val="none" w:sz="0" w:space="0"/>
          </w:pgBorders>
          <w:cols w:space="425" w:num="1"/>
          <w:docGrid w:type="lines" w:linePitch="435" w:charSpace="0"/>
        </w:sectPr>
      </w:pPr>
      <w:bookmarkStart w:id="149" w:name="_Toc89096468"/>
      <w:bookmarkStart w:id="150" w:name="_Toc12100"/>
    </w:p>
    <w:p>
      <w:pPr>
        <w:pStyle w:val="3"/>
        <w:jc w:val="both"/>
        <w:rPr>
          <w:rFonts w:hint="eastAsia" w:ascii="宋体" w:hAnsi="宋体" w:eastAsia="宋体" w:cs="宋体"/>
        </w:rPr>
      </w:pPr>
      <w:bookmarkStart w:id="151" w:name="_Toc9934"/>
      <w:bookmarkStart w:id="152" w:name="_Toc4523"/>
      <w:bookmarkStart w:id="153" w:name="_Toc99814068"/>
      <w:bookmarkStart w:id="154" w:name="_Toc99813919"/>
      <w:bookmarkStart w:id="155" w:name="_Toc99552776"/>
      <w:bookmarkStart w:id="156" w:name="_Toc99814336"/>
      <w:r>
        <w:rPr>
          <w:rFonts w:hint="eastAsia" w:ascii="宋体" w:hAnsi="宋体" w:eastAsia="宋体" w:cs="宋体"/>
        </w:rPr>
        <w:t>附件2</w:t>
      </w:r>
      <w:bookmarkEnd w:id="149"/>
      <w:r>
        <w:rPr>
          <w:rFonts w:hint="eastAsia" w:ascii="宋体" w:hAnsi="宋体" w:eastAsia="宋体" w:cs="宋体"/>
        </w:rPr>
        <w:t>：梅州市财政支出项目重点绩效评价指标评分表</w:t>
      </w:r>
      <w:bookmarkEnd w:id="150"/>
      <w:bookmarkEnd w:id="151"/>
      <w:bookmarkEnd w:id="152"/>
      <w:bookmarkEnd w:id="153"/>
      <w:bookmarkEnd w:id="154"/>
      <w:bookmarkEnd w:id="155"/>
      <w:bookmarkEnd w:id="156"/>
    </w:p>
    <w:p>
      <w:pPr>
        <w:overflowPunct w:val="0"/>
        <w:autoSpaceDE w:val="0"/>
        <w:autoSpaceDN w:val="0"/>
        <w:adjustRightInd w:val="0"/>
        <w:spacing w:line="240" w:lineRule="auto"/>
        <w:ind w:left="0" w:firstLine="0" w:firstLineChars="0"/>
        <w:jc w:val="center"/>
        <w:rPr>
          <w:rFonts w:hint="eastAsia" w:ascii="宋体" w:hAnsi="宋体" w:eastAsia="宋体" w:cs="宋体"/>
        </w:rPr>
      </w:pPr>
      <w:r>
        <w:rPr>
          <w:rFonts w:hint="eastAsia" w:ascii="宋体" w:hAnsi="宋体" w:eastAsia="宋体" w:cs="宋体"/>
          <w:b/>
          <w:sz w:val="36"/>
          <w:szCs w:val="36"/>
        </w:rPr>
        <w:t>梅州市财政支出项目重点绩效评价指标评分表</w:t>
      </w:r>
    </w:p>
    <w:tbl>
      <w:tblPr>
        <w:tblStyle w:val="29"/>
        <w:tblW w:w="51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618"/>
        <w:gridCol w:w="663"/>
        <w:gridCol w:w="646"/>
        <w:gridCol w:w="810"/>
        <w:gridCol w:w="590"/>
        <w:gridCol w:w="1250"/>
        <w:gridCol w:w="571"/>
        <w:gridCol w:w="3214"/>
        <w:gridCol w:w="4607"/>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1999"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评价指标</w:t>
            </w:r>
          </w:p>
        </w:tc>
        <w:tc>
          <w:tcPr>
            <w:tcW w:w="11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评分标准</w:t>
            </w:r>
          </w:p>
        </w:tc>
        <w:tc>
          <w:tcPr>
            <w:tcW w:w="15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测评情况</w:t>
            </w:r>
          </w:p>
        </w:tc>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trPr>
        <w:tc>
          <w:tcPr>
            <w:tcW w:w="43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45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48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628"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四级指标</w:t>
            </w: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i w:val="0"/>
                <w:iCs w:val="0"/>
                <w:color w:val="auto"/>
                <w:sz w:val="22"/>
                <w:szCs w:val="22"/>
                <w:u w:val="none"/>
              </w:rPr>
            </w:pPr>
          </w:p>
        </w:tc>
        <w:tc>
          <w:tcPr>
            <w:tcW w:w="15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i w:val="0"/>
                <w:iCs w:val="0"/>
                <w:color w:val="auto"/>
                <w:sz w:val="22"/>
                <w:szCs w:val="22"/>
                <w:u w:val="none"/>
              </w:rPr>
            </w:pP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blHeader/>
        </w:trPr>
        <w:tc>
          <w:tcPr>
            <w:tcW w:w="2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21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权重(%)</w:t>
            </w:r>
          </w:p>
        </w:tc>
        <w:tc>
          <w:tcPr>
            <w:tcW w:w="2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权重(%)</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权重(%)</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权重(%)</w:t>
            </w: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i w:val="0"/>
                <w:iCs w:val="0"/>
                <w:color w:val="auto"/>
                <w:sz w:val="22"/>
                <w:szCs w:val="22"/>
                <w:u w:val="none"/>
              </w:rPr>
            </w:pPr>
          </w:p>
        </w:tc>
        <w:tc>
          <w:tcPr>
            <w:tcW w:w="15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b/>
                <w:bCs/>
                <w:i w:val="0"/>
                <w:iCs w:val="0"/>
                <w:color w:val="auto"/>
                <w:sz w:val="22"/>
                <w:szCs w:val="22"/>
                <w:u w:val="none"/>
              </w:rPr>
            </w:pP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决策</w:t>
            </w:r>
          </w:p>
        </w:tc>
        <w:tc>
          <w:tcPr>
            <w:tcW w:w="2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项目立项</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论证决策</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论证充分性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具有前期可行性研究报告或摸底调查工作总结等材料的，得2分；经过集体会议协商、并咨询相关专家意见、且有文字材料的得2分。如无，则根据实际情况核定分数。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根据</w:t>
            </w:r>
            <w:r>
              <w:rPr>
                <w:rStyle w:val="56"/>
                <w:color w:val="auto"/>
                <w:lang w:val="en-US" w:eastAsia="zh-CN" w:bidi="ar"/>
              </w:rPr>
              <w:t>市工信局</w:t>
            </w:r>
            <w:r>
              <w:rPr>
                <w:rStyle w:val="55"/>
                <w:color w:val="auto"/>
                <w:lang w:val="en-US" w:eastAsia="zh-CN" w:bidi="ar"/>
              </w:rPr>
              <w:t>提供的《市政府工作会议决定事项通知书》（梅市府办会函〔2019〕221号），该项目是按照</w:t>
            </w:r>
            <w:r>
              <w:rPr>
                <w:rStyle w:val="55"/>
                <w:rFonts w:hint="eastAsia"/>
                <w:color w:val="auto"/>
                <w:lang w:val="en-US" w:eastAsia="zh-CN" w:bidi="ar"/>
              </w:rPr>
              <w:t>《梅州市人民政府（甲方）、阿里云计算有限公司（乙方）、广东客天下旅游产业园有限公司（丙方）、星火工场（梅州）创业投资有限公司（丁方）、星火工场（深圳）创业投资有限公司（戊方）合作协议》（以下简称“《合作协议》”）</w:t>
            </w:r>
            <w:r>
              <w:rPr>
                <w:rStyle w:val="55"/>
                <w:color w:val="auto"/>
                <w:lang w:val="en-US" w:eastAsia="zh-CN" w:bidi="ar"/>
              </w:rPr>
              <w:t>文件执行，</w:t>
            </w:r>
            <w:r>
              <w:rPr>
                <w:rStyle w:val="56"/>
                <w:color w:val="auto"/>
                <w:lang w:val="en-US" w:eastAsia="zh-CN" w:bidi="ar"/>
              </w:rPr>
              <w:t>项目论证较充分。</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目标设置</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完整性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依据相关基础信息和证据判断目标设置的完整性，即是否包含总目标和阶段性目标，是否包括预期提供的公共产品或服务的产出数量、质量、成本指标，预期达到的效果性指标，据此核定分数。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市工信局提供的《合作协议》与《项目绩效自评信息指标评分表》，市工信局按照资金的使用性质设置了预期总目标和2021年的阶段性目标，设置了相应的产出数量、质量、时效指标以及预期达到的效果性指标。</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合理性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依据相关基础信息和证据判断目标设置的相关性，即绩效目标是否与资金或项目属性特点、支出内容相关，体现决策意图，同时合乎客观实际，据此核定分数。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根据</w:t>
            </w:r>
            <w:r>
              <w:rPr>
                <w:rStyle w:val="56"/>
                <w:color w:val="auto"/>
                <w:lang w:val="en-US" w:eastAsia="zh-CN" w:bidi="ar"/>
              </w:rPr>
              <w:t>市工信局</w:t>
            </w:r>
            <w:r>
              <w:rPr>
                <w:rStyle w:val="55"/>
                <w:color w:val="auto"/>
                <w:lang w:val="en-US" w:eastAsia="zh-CN" w:bidi="ar"/>
              </w:rPr>
              <w:t>提供的《合作协议》、《项目绩效自评信息指标评分表》与财务明细账，市工信局设置的绩效目标与项目属性特点相关，与支出内容相关。</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可衡量性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依据相关基础信息和证据判断目标设置的可衡量性，即绩效目标设置是否有数据支撑、是否有可衡量性的产出和效果指标，据此核定分数。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根据市工信局提供的《合作协议》和《项目绩效自评信息指标评分表》，市工信局设置的预期总目标和2021年的阶段性目标可量化衡量，设置了相应的产出和效果性指标。</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保障措施</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制度完整性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依据相关基础信息和证据判断制度完整性和是否具备条件实施，根据实际情况核定分数。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6"/>
                <w:color w:val="auto"/>
                <w:lang w:val="en-US" w:eastAsia="zh-CN" w:bidi="ar"/>
              </w:rPr>
              <w:t>根据市工信局</w:t>
            </w:r>
            <w:r>
              <w:rPr>
                <w:rStyle w:val="55"/>
                <w:color w:val="auto"/>
                <w:lang w:val="en-US" w:eastAsia="zh-CN" w:bidi="ar"/>
              </w:rPr>
              <w:t>提供的《合作协议》及《梅州市工业和信息化局财政专项资金项目管理规定（2021年修订）》</w:t>
            </w:r>
            <w:r>
              <w:rPr>
                <w:rStyle w:val="56"/>
                <w:color w:val="auto"/>
                <w:lang w:val="en-US" w:eastAsia="zh-CN" w:bidi="ar"/>
              </w:rPr>
              <w:t>可知制度较完整，项目具备条件实施。</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计划安排合理性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依据工作进度计划等相关基础信息和证据判断，并根据实际情况核定分数。</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项目按照《合作协议》的约定执行，计划安排合理。</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资金落实</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资金分配</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资金分配合理性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依据相关信息和证据判断资金分配是否合理，是否有助于实现资金的绩效目标。</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根据《合作协议》约定的具体资金补贴内容、市工信局提供的《关于申请下达梅州市阿里云创新中心项目资金预算指标的函》以及项目支出明细账，体现了本项目资金按照《合作协议》分配，因此资金分配合理。</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w:t>
            </w:r>
          </w:p>
        </w:tc>
        <w:tc>
          <w:tcPr>
            <w:tcW w:w="2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资金管理</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资金支付</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资金支出率</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主要依据“支付额/预算额度*100*指标权重”计算核定得分，同时综合考虑工作进度，以及是否垫资或履行支付手续而影响支出率等因素适当调整最后得分。</w:t>
            </w:r>
          </w:p>
        </w:tc>
        <w:tc>
          <w:tcPr>
            <w:tcW w:w="15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根据市工信局提供的项目支出明细账、记账凭证及附单等佐证资料，项目到位资金175万元，实际支出175万元，支出率100%（支出率=实际支出金额/总到位金额*100%=175/175*100%=100%），故得分为3*100%=3分。</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支出规范性</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支出规范性</w:t>
            </w:r>
          </w:p>
        </w:tc>
        <w:tc>
          <w:tcPr>
            <w:tcW w:w="1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预算执行规范性2分，按规定履行调整报批手续或未发生调整的，且按事项完成进度支付资金的得满分，否则酌情扣分。2.事项支出的合规性8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1589" w:type="pct"/>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1.根据市工信局提供的《关于申请下达梅州市阿里云创新中心项目资金预算指标的函》及《关于批复2021年市直部门预算的通知》</w:t>
            </w:r>
            <w:r>
              <w:rPr>
                <w:rStyle w:val="56"/>
                <w:color w:val="auto"/>
                <w:lang w:val="en-US" w:eastAsia="zh-CN" w:bidi="ar"/>
              </w:rPr>
              <w:t>（梅市财预〔2021〕23号）</w:t>
            </w:r>
            <w:r>
              <w:rPr>
                <w:rStyle w:val="55"/>
                <w:color w:val="auto"/>
                <w:lang w:val="en-US" w:eastAsia="zh-CN" w:bidi="ar"/>
              </w:rPr>
              <w:t>，项目预算执行规范，未发生重大调整，不存在超概情况；根据《合作协议》和财务明细账、记账凭证及附单，市工信局按《合作协议》约定向市财政申请支付资金。</w:t>
            </w:r>
          </w:p>
        </w:tc>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15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Style w:val="55"/>
                <w:color w:val="auto"/>
                <w:lang w:val="en-US" w:eastAsia="zh-CN" w:bidi="ar"/>
              </w:rPr>
              <w:t>2.项目支出及管理符合</w:t>
            </w:r>
            <w:r>
              <w:rPr>
                <w:rStyle w:val="56"/>
                <w:color w:val="auto"/>
                <w:lang w:val="en-US" w:eastAsia="zh-CN" w:bidi="ar"/>
              </w:rPr>
              <w:t>《项目支出绩效评价管理办法》（财预〔2020〕10号）及</w:t>
            </w:r>
            <w:r>
              <w:rPr>
                <w:rStyle w:val="55"/>
                <w:color w:val="auto"/>
                <w:lang w:val="en-US" w:eastAsia="zh-CN" w:bidi="ar"/>
              </w:rPr>
              <w:t>《梅州市工业和信息化局财政专项资金项目管理规定（2021年修订）》</w:t>
            </w:r>
            <w:r>
              <w:rPr>
                <w:rStyle w:val="56"/>
                <w:color w:val="auto"/>
                <w:lang w:val="en-US" w:eastAsia="zh-CN" w:bidi="ar"/>
              </w:rPr>
              <w:t>的规定。</w:t>
            </w: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1589" w:type="pct"/>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Style w:val="56"/>
                <w:color w:val="auto"/>
                <w:lang w:val="en-US" w:eastAsia="zh-CN" w:bidi="ar"/>
              </w:rPr>
              <w:t>3.根据评价组现场核查情况，</w:t>
            </w:r>
            <w:r>
              <w:rPr>
                <w:rStyle w:val="57"/>
                <w:color w:val="auto"/>
                <w:lang w:val="en-US" w:eastAsia="zh-CN" w:bidi="ar"/>
              </w:rPr>
              <w:t>存在记账凭证未附财政直接支付凭证的情况，故扣1分。</w:t>
            </w: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事项管理</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实施程序</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程序规范性</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项目或方案按规定程序实施，包括项目或方案调整按规定履行报批手续，项目招投标、建设、验收等或方案实施严格执行相关制度规定的，得满分，否则酌情扣分。</w:t>
            </w:r>
          </w:p>
        </w:tc>
        <w:tc>
          <w:tcPr>
            <w:tcW w:w="1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该项目按照《合作协议》以及《梅州市工业和信息化局财政专项资金项目管理规定（2021年修订）》执行，考核的运营目标已完成第一、二年度阶段验收并提供了专家组验收意见，150万元阿里云创客补贴以代金券的形式发放给了28家符合《合作协议》约定条件的企业，市工信局提供了相关的佐证资料。</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管理情况</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监管有效性</w:t>
            </w:r>
          </w:p>
        </w:tc>
        <w:tc>
          <w:tcPr>
            <w:tcW w:w="1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资金使用单位或基层资金管理单位建立有效管理机制，且执行情况良好得2分，具体根据所提供的信息证据做出判断并核定分数。2.具体根据所提供的信息证据做出判断，如各级业务主管部门按规定对项目建设或方案实施开展有效的检查、监控、督促整改的，得3分；否则，视情况扣分。</w:t>
            </w:r>
          </w:p>
        </w:tc>
        <w:tc>
          <w:tcPr>
            <w:tcW w:w="1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1.根据市工信局提供的《梅州市工业和信息化局财政专项资金项目管理规定（2021年修订）》、梅州阿里云创新中心入驻管理办法及阿里云创客补贴代金券发放管理制度，资金使用单位制定了管理制度；</w:t>
            </w:r>
          </w:p>
        </w:tc>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158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2.根据市工信局提供的入驻阿里云项目的企业名单、阿里云代金券发放及使用情况表、《梅州市工业和信息化局关于加强项目合同履约和运营管理的函》及现场检查照片等佐证资料，市工信局于2022年3月21日及4月1日到阿里云创新中心就运营目标的完成及规范使用补贴资金等事项开展了检查、督促工作。</w:t>
            </w:r>
            <w:r>
              <w:rPr>
                <w:rStyle w:val="57"/>
                <w:color w:val="auto"/>
                <w:lang w:val="en-US" w:eastAsia="zh-CN" w:bidi="ar"/>
              </w:rPr>
              <w:t>但第二年度的阿里云代金券存在于第三年度即2022年5月7日后才发放的情况，具有滞后性，故扣2分。</w:t>
            </w: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产出</w:t>
            </w:r>
          </w:p>
        </w:tc>
        <w:tc>
          <w:tcPr>
            <w:tcW w:w="2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经济性</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预算控制</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预算控制</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在预算执行进度与事项完成进度基本匹配的前提下，实际支出未超过预算计划的，得满分；实际支出超过预算的，或者支出未能保障事项相应完成进度的，酌情扣分。</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根据市工信局提供的《关于批复2021年市直部门预算的通知》</w:t>
            </w:r>
            <w:r>
              <w:rPr>
                <w:rStyle w:val="56"/>
                <w:color w:val="auto"/>
                <w:lang w:val="en-US" w:eastAsia="zh-CN" w:bidi="ar"/>
              </w:rPr>
              <w:t>（梅市财预〔2021〕23号）、</w:t>
            </w:r>
            <w:r>
              <w:rPr>
                <w:rStyle w:val="55"/>
                <w:color w:val="auto"/>
                <w:lang w:val="en-US" w:eastAsia="zh-CN" w:bidi="ar"/>
              </w:rPr>
              <w:t>财务明细账、记账凭证及附单等财务资料，实际支出在预算范围内。</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成本控制</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成本节约（成本指标）</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项目根据《合作协议》约定的补贴资金进行支付，在预算范围内。</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效率性</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完成进度</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150万元的创客补贴以阿里云资源代金券的形式发放给符合《合作协议》约定条件企业的完成进度和消费进度</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预期实现值为：完成将150万元的创客补贴以阿里云资源代金券的形式发放给符合《合作协议》约定条件企业并消费完毕。</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梅州市工业和信息化局提供的阿里云代金券发放及使用情况表等佐证资料，150万元的创客补贴已经以阿里云资源代金券的形式发放给了符合《合作协议》约定条件的28家企业，代金券已使用1,436,043.97元，使用率达96%，剩余代金券在2023年初才到期，目前尚在使用期限内。</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线上及线下入驻企业7家、知识产权授权5个或进入审查环节发明专利1个、开展相关创业活动3场、引进硕士及以上人才5人</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预期实现值为：线上及线下入驻阿里云项目的企业7家、知识产权授权5个或进入审查环节发明专利1个、开展相关创业活动3场、引进硕士及以上人才5人。</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根据梅州市工业和信息化局提供的第一及第二年度项目验收专家组意见显示，项目运营第二年已完成线上入驻企业8家、线下入驻企业4家（由于第一年完成线下入驻企业26家，超额完成目标，根据《合作协议》约定第一年完成三年累计运营业绩中任何一项，第二年的同项目标不再考核）、所有入驻阿里云项目的企业（包括线上、线下）知识产权授权13个、相关创业活动的开展4场、线下入驻阿里云项目企业引进硕士及以上学位的创新型行业人才数为0人。</w:t>
            </w:r>
            <w:r>
              <w:rPr>
                <w:rStyle w:val="57"/>
                <w:color w:val="auto"/>
                <w:lang w:val="en-US" w:eastAsia="zh-CN" w:bidi="ar"/>
              </w:rPr>
              <w:t>按照运营目标数的比例扣：2（分值）/5（运营目标数）*1（未完成目标数）=0.4。</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1"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完成时间</w:t>
            </w: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资金按时支付、运营目标、阿里云代金券消费按时完成</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0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期实现值：1、根据协议约定，市政府需在项目正式运营（该项目实际于2020年5月8日正式投入运营）满一年后30个工作日内向阿里云计算有限公司支付第二笔创客补贴150万元、向星火工场（梅州）创业投资有限公司支付第二笔运营补贴25万元；按《合作协议》约定的第二年度运营目标在2022年5月7日前完成，得2分；2、阿里云代金券消费按时消费完毕，得2分。</w:t>
            </w:r>
          </w:p>
        </w:tc>
        <w:tc>
          <w:tcPr>
            <w:tcW w:w="1589" w:type="pct"/>
            <w:tcBorders>
              <w:top w:val="nil"/>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Style w:val="55"/>
                <w:color w:val="auto"/>
                <w:lang w:val="en-US" w:eastAsia="zh-CN" w:bidi="ar"/>
              </w:rPr>
              <w:t>1.根据市工信局提供的财务资料，市工信局在2022年6月18日向市财政局申请支付175万元的补贴资金，市财政局于2022年7月23日向阿里云计算有限公司支付了150万元的创客补贴，于2022年7月28日向星火工场（梅州）创业投资有限公司支付了25万元的运营补贴（根据合作协议约定因国库支付原因造成付款延时的不支付违约金）。</w:t>
            </w:r>
            <w:r>
              <w:rPr>
                <w:rStyle w:val="57"/>
                <w:color w:val="auto"/>
                <w:lang w:val="en-US" w:eastAsia="zh-CN" w:bidi="ar"/>
              </w:rPr>
              <w:t>但存在以下事项：根据市工信局提供的第二年度项目验收专家组意见等佐证资料，第二年度运营目标除引进硕士及以上人才5人未完成，其余目标已完成，所以此指标扣0.4分；</w:t>
            </w:r>
            <w:r>
              <w:rPr>
                <w:rStyle w:val="58"/>
                <w:color w:val="auto"/>
                <w:lang w:val="en-US" w:eastAsia="zh-CN" w:bidi="ar"/>
              </w:rPr>
              <w:t>2</w:t>
            </w:r>
            <w:r>
              <w:rPr>
                <w:rStyle w:val="58"/>
                <w:rFonts w:hint="eastAsia"/>
                <w:color w:val="auto"/>
                <w:lang w:val="en-US" w:eastAsia="zh-CN" w:bidi="ar"/>
              </w:rPr>
              <w:t>.</w:t>
            </w:r>
            <w:r>
              <w:rPr>
                <w:rStyle w:val="58"/>
                <w:color w:val="auto"/>
                <w:lang w:val="en-US" w:eastAsia="zh-CN" w:bidi="ar"/>
              </w:rPr>
              <w:t>根据市工信局提供的阿里云代金券发放及使用情况表等佐证资料，代金券已使用了1,436,043.97元，使用率达96%，剩余代金券于2023年初才到期，暂不能考量能否按时消费。</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完成质量</w:t>
            </w: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p>
        </w:tc>
        <w:tc>
          <w:tcPr>
            <w:tcW w:w="19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预期实现值：100%。达到预期值得满分，否则本指标分值=项目验收合格率*指标分值，其中：1、项目运营完成质量分值2分；2、阿里云代金券完成质量分值6分。</w:t>
            </w:r>
          </w:p>
        </w:tc>
        <w:tc>
          <w:tcPr>
            <w:tcW w:w="1589" w:type="pct"/>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top"/>
              <w:rPr>
                <w:rFonts w:hint="eastAsia" w:ascii="宋体" w:hAnsi="宋体" w:eastAsia="宋体" w:cs="宋体"/>
                <w:i w:val="0"/>
                <w:iCs w:val="0"/>
                <w:color w:val="auto"/>
                <w:sz w:val="22"/>
                <w:szCs w:val="22"/>
                <w:u w:val="none"/>
              </w:rPr>
            </w:pPr>
            <w:r>
              <w:rPr>
                <w:rStyle w:val="55"/>
                <w:color w:val="auto"/>
                <w:lang w:val="en-US" w:eastAsia="zh-CN" w:bidi="ar"/>
              </w:rPr>
              <w:t>1</w:t>
            </w:r>
            <w:r>
              <w:rPr>
                <w:rStyle w:val="55"/>
                <w:rFonts w:hint="eastAsia"/>
                <w:color w:val="auto"/>
                <w:lang w:val="en-US" w:eastAsia="zh-CN" w:bidi="ar"/>
              </w:rPr>
              <w:t>.</w:t>
            </w:r>
            <w:r>
              <w:rPr>
                <w:rStyle w:val="55"/>
                <w:color w:val="auto"/>
                <w:lang w:val="en-US" w:eastAsia="zh-CN" w:bidi="ar"/>
              </w:rPr>
              <w:t>根据梅州市工业和信息化局提供的第二年度项目验收专家组意见，该项目实际于2020年5月8日正式投入运营，项目正式运营第二年（2021年5月8日-2022年5月7日）新增线下入驻企业4家（前两年合计15家）、线上入驻企业8家、知识产权授权13个、活动4场、硕士及以上人才0人，对照《合作协议》第五条“丁方、戊方责任”第（三）点约定“第二年（新增），线下入驻企业7家，线上入驻企业7家，知识产权授权5个或进入审查环节发明专利1个，硕士及以上5人”的目标，总体完成率80%，</w:t>
            </w:r>
            <w:r>
              <w:rPr>
                <w:rStyle w:val="57"/>
                <w:color w:val="auto"/>
                <w:lang w:val="en-US" w:eastAsia="zh-CN" w:bidi="ar"/>
              </w:rPr>
              <w:t>项目运营验收合格率得分为80%*2=1.6；2</w:t>
            </w:r>
            <w:r>
              <w:rPr>
                <w:rStyle w:val="57"/>
                <w:rFonts w:hint="eastAsia"/>
                <w:color w:val="auto"/>
                <w:lang w:val="en-US" w:eastAsia="zh-CN" w:bidi="ar"/>
              </w:rPr>
              <w:t>.</w:t>
            </w:r>
            <w:bookmarkStart w:id="162" w:name="_GoBack"/>
            <w:bookmarkEnd w:id="162"/>
            <w:r>
              <w:rPr>
                <w:rStyle w:val="58"/>
                <w:color w:val="auto"/>
                <w:lang w:val="en-US" w:eastAsia="zh-CN" w:bidi="ar"/>
              </w:rPr>
              <w:t>根据市工信局提供的第二年度150万阿里云代金券发放及使用情况表等佐证资料，</w:t>
            </w:r>
            <w:r>
              <w:rPr>
                <w:rStyle w:val="57"/>
                <w:color w:val="auto"/>
                <w:lang w:val="en-US" w:eastAsia="zh-CN" w:bidi="ar"/>
              </w:rPr>
              <w:t>代金券已使用了1,436,043.97元，使用率达96%，故此指标得分96%*6</w:t>
            </w:r>
            <w:r>
              <w:rPr>
                <w:rStyle w:val="59"/>
                <w:rFonts w:eastAsia="宋体"/>
                <w:color w:val="auto"/>
                <w:lang w:val="en-US" w:eastAsia="zh-CN" w:bidi="ar"/>
              </w:rPr>
              <w:t>≈</w:t>
            </w:r>
            <w:r>
              <w:rPr>
                <w:rStyle w:val="57"/>
                <w:color w:val="auto"/>
                <w:lang w:val="en-US" w:eastAsia="zh-CN" w:bidi="ar"/>
              </w:rPr>
              <w:t>5.8分</w:t>
            </w:r>
          </w:p>
        </w:tc>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项目验收合格率</w:t>
            </w:r>
          </w:p>
        </w:tc>
        <w:tc>
          <w:tcPr>
            <w:tcW w:w="19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11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1589" w:type="pct"/>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效益</w:t>
            </w:r>
          </w:p>
        </w:tc>
        <w:tc>
          <w:tcPr>
            <w:tcW w:w="2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效果性</w:t>
            </w:r>
          </w:p>
        </w:tc>
        <w:tc>
          <w:tcPr>
            <w:tcW w:w="22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经济效益</w:t>
            </w:r>
          </w:p>
        </w:tc>
        <w:tc>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2021年度阿里云资源代金券使用率</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1、使用率60%以下（含60%），得0分；2、60%＜使用率≤80%，得10分；3、80%＜使用率≤100%，得15分；</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Style w:val="55"/>
                <w:color w:val="auto"/>
                <w:lang w:val="en-US" w:eastAsia="zh-CN" w:bidi="ar"/>
              </w:rPr>
              <w:t>根据市工信局提供的阿里云代金券发放及使用情况表等佐证资料，第二年度阿里云代金券总额为150万，已使用了1,436,043.97元，使用率=1,436,043.97/1,500,000</w:t>
            </w:r>
            <w:r>
              <w:rPr>
                <w:rStyle w:val="60"/>
                <w:rFonts w:eastAsia="宋体"/>
                <w:color w:val="auto"/>
                <w:lang w:val="en-US" w:eastAsia="zh-CN" w:bidi="ar"/>
              </w:rPr>
              <w:t>≈</w:t>
            </w:r>
            <w:r>
              <w:rPr>
                <w:rStyle w:val="55"/>
                <w:color w:val="auto"/>
                <w:lang w:val="en-US" w:eastAsia="zh-CN" w:bidi="ar"/>
              </w:rPr>
              <w:t>96%，故此指标得15分。</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社会效益</w:t>
            </w: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对创新创业具有一定的宣传作用，营造了创新创业的氛围</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i w:val="0"/>
                <w:iCs w:val="0"/>
                <w:color w:val="auto"/>
                <w:sz w:val="22"/>
                <w:szCs w:val="22"/>
                <w:u w:val="none"/>
              </w:rPr>
            </w:pP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通过实施梅州市阿里云创新中心项目，对创新创业具有一定的宣传作用，汇聚了一些创新创业型企业，营造了创新创业的氛围。</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7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创业潮的社会效应</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取得明显创业潮的社会效应，得8分，未取得明显创业潮的社会效应，酌情扣分。</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通过实施梅州市阿里云创新中心项目，第一、第二年度累计线下入驻的创新创业企业有30家，具有一定的创业潮效应。</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2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i w:val="0"/>
                <w:iCs w:val="0"/>
                <w:color w:val="auto"/>
                <w:sz w:val="22"/>
                <w:szCs w:val="22"/>
                <w:u w:val="none"/>
              </w:rPr>
            </w:pPr>
          </w:p>
        </w:tc>
        <w:tc>
          <w:tcPr>
            <w:tcW w:w="228"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公平性</w:t>
            </w:r>
          </w:p>
        </w:tc>
        <w:tc>
          <w:tcPr>
            <w:tcW w:w="22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满意度</w:t>
            </w:r>
          </w:p>
        </w:tc>
        <w:tc>
          <w:tcPr>
            <w:tcW w:w="20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群众满意度</w:t>
            </w:r>
          </w:p>
        </w:tc>
        <w:tc>
          <w:tcPr>
            <w:tcW w:w="19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0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表示满意的服务对象数/项目覆盖范围内接受调查的对象总数*指标分值</w:t>
            </w:r>
          </w:p>
        </w:tc>
        <w:tc>
          <w:tcPr>
            <w:tcW w:w="1589"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项目单位共发出问卷15份，收回有效满意度调查问卷15份。根据问卷调查结果，53.33%的群众对项目实施很满意，46.67%的群众对项目实施满意，因此服务对象满意度得分情况为：（8+7）/15*5=5。</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98" w:type="pct"/>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98" w:type="pct"/>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等级</w:t>
            </w:r>
          </w:p>
        </w:tc>
        <w:tc>
          <w:tcPr>
            <w:tcW w:w="30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备注：评价等级分为优、良、中、差四个等级，满分100分，其中90分（含）以上为优，80（含）～90分为良，60（含）～80分为中，60分以下为差。</w:t>
            </w:r>
          </w:p>
        </w:tc>
      </w:tr>
    </w:tbl>
    <w:p>
      <w:pPr>
        <w:pStyle w:val="2"/>
        <w:rPr>
          <w:rFonts w:hint="eastAsia"/>
        </w:rPr>
        <w:sectPr>
          <w:pgSz w:w="16838" w:h="11906" w:orient="landscape"/>
          <w:pgMar w:top="1843" w:right="1440" w:bottom="1701" w:left="1440" w:header="851" w:footer="992" w:gutter="0"/>
          <w:pgBorders>
            <w:top w:val="none" w:sz="0" w:space="0"/>
            <w:left w:val="none" w:sz="0" w:space="0"/>
            <w:bottom w:val="none" w:sz="0" w:space="0"/>
            <w:right w:val="none" w:sz="0" w:space="0"/>
          </w:pgBorders>
          <w:cols w:space="425" w:num="1"/>
          <w:docGrid w:type="lines" w:linePitch="435" w:charSpace="0"/>
        </w:sectPr>
      </w:pPr>
    </w:p>
    <w:p>
      <w:pPr>
        <w:pStyle w:val="3"/>
        <w:jc w:val="both"/>
        <w:rPr>
          <w:rFonts w:hint="eastAsia" w:ascii="宋体" w:hAnsi="宋体" w:eastAsia="宋体" w:cs="宋体"/>
        </w:rPr>
      </w:pPr>
      <w:bookmarkStart w:id="157" w:name="_Toc99814069"/>
      <w:bookmarkStart w:id="158" w:name="_Toc99813920"/>
      <w:bookmarkStart w:id="159" w:name="_Toc29366"/>
      <w:bookmarkStart w:id="160" w:name="_Toc32367"/>
      <w:bookmarkStart w:id="161" w:name="_Toc99814337"/>
      <w:r>
        <w:rPr>
          <w:rFonts w:hint="eastAsia" w:ascii="宋体" w:hAnsi="宋体" w:eastAsia="宋体" w:cs="宋体"/>
        </w:rPr>
        <w:t>附件3：服务对象满意度调查结果</w:t>
      </w:r>
      <w:bookmarkEnd w:id="157"/>
      <w:bookmarkEnd w:id="158"/>
      <w:bookmarkEnd w:id="159"/>
      <w:bookmarkEnd w:id="160"/>
      <w:bookmarkEnd w:id="161"/>
    </w:p>
    <w:p>
      <w:pPr>
        <w:adjustRightInd w:val="0"/>
        <w:ind w:left="0" w:firstLine="640" w:firstLineChars="200"/>
        <w:jc w:val="both"/>
        <w:rPr>
          <w:rFonts w:hint="eastAsia" w:ascii="宋体" w:hAnsi="宋体" w:eastAsia="宋体" w:cs="宋体"/>
          <w:lang w:eastAsia="zh-CN"/>
        </w:rPr>
      </w:pPr>
      <w:r>
        <w:rPr>
          <w:rFonts w:hint="eastAsia" w:ascii="宋体" w:hAnsi="宋体" w:eastAsia="宋体" w:cs="宋体"/>
          <w:kern w:val="0"/>
        </w:rPr>
        <w:t>本次满意度调查结果由</w:t>
      </w:r>
      <w:r>
        <w:rPr>
          <w:rFonts w:hint="eastAsia" w:ascii="宋体" w:hAnsi="宋体" w:eastAsia="宋体" w:cs="宋体"/>
          <w:kern w:val="0"/>
          <w:lang w:eastAsia="zh-CN"/>
        </w:rPr>
        <w:t>梅州</w:t>
      </w:r>
      <w:r>
        <w:rPr>
          <w:rFonts w:hint="eastAsia" w:ascii="宋体" w:hAnsi="宋体" w:eastAsia="宋体" w:cs="宋体"/>
          <w:kern w:val="0"/>
        </w:rPr>
        <w:t>市</w:t>
      </w:r>
      <w:r>
        <w:rPr>
          <w:rFonts w:hint="eastAsia" w:ascii="宋体" w:hAnsi="宋体" w:eastAsia="宋体" w:cs="宋体"/>
          <w:kern w:val="0"/>
          <w:lang w:eastAsia="zh-CN"/>
        </w:rPr>
        <w:t>工业和信息化局</w:t>
      </w:r>
      <w:r>
        <w:rPr>
          <w:rFonts w:hint="eastAsia" w:ascii="宋体" w:hAnsi="宋体" w:eastAsia="宋体" w:cs="宋体"/>
          <w:kern w:val="0"/>
        </w:rPr>
        <w:t>组织开展。满意度调查问卷共收</w:t>
      </w:r>
      <w:r>
        <w:rPr>
          <w:rFonts w:hint="eastAsia" w:ascii="宋体" w:hAnsi="宋体" w:eastAsia="宋体" w:cs="宋体"/>
          <w:color w:val="auto"/>
          <w:kern w:val="0"/>
        </w:rPr>
        <w:t>回</w:t>
      </w:r>
      <w:r>
        <w:rPr>
          <w:rFonts w:hint="eastAsia" w:ascii="宋体" w:hAnsi="宋体" w:eastAsia="宋体" w:cs="宋体"/>
          <w:color w:val="auto"/>
          <w:kern w:val="0"/>
          <w:lang w:val="en-US" w:eastAsia="zh-CN"/>
        </w:rPr>
        <w:t>15</w:t>
      </w:r>
      <w:r>
        <w:rPr>
          <w:rFonts w:hint="eastAsia" w:ascii="宋体" w:hAnsi="宋体" w:eastAsia="宋体" w:cs="宋体"/>
          <w:color w:val="auto"/>
          <w:kern w:val="0"/>
        </w:rPr>
        <w:t>份问卷，有效问卷</w:t>
      </w:r>
      <w:r>
        <w:rPr>
          <w:rFonts w:hint="eastAsia" w:ascii="宋体" w:hAnsi="宋体" w:eastAsia="宋体" w:cs="宋体"/>
          <w:color w:val="auto"/>
          <w:kern w:val="0"/>
          <w:highlight w:val="none"/>
          <w:lang w:val="en-US" w:eastAsia="zh-CN"/>
        </w:rPr>
        <w:t>15</w:t>
      </w:r>
      <w:r>
        <w:rPr>
          <w:rFonts w:hint="eastAsia" w:ascii="宋体" w:hAnsi="宋体" w:eastAsia="宋体" w:cs="宋体"/>
          <w:color w:val="auto"/>
          <w:kern w:val="0"/>
        </w:rPr>
        <w:t>份</w:t>
      </w:r>
      <w:r>
        <w:rPr>
          <w:rFonts w:hint="eastAsia" w:ascii="宋体" w:hAnsi="宋体" w:eastAsia="宋体" w:cs="宋体"/>
          <w:kern w:val="0"/>
        </w:rPr>
        <w:t>。调查对象为</w:t>
      </w:r>
      <w:r>
        <w:rPr>
          <w:rFonts w:hint="eastAsia" w:ascii="宋体" w:hAnsi="宋体" w:eastAsia="宋体" w:cs="宋体"/>
          <w:sz w:val="32"/>
          <w:szCs w:val="32"/>
        </w:rPr>
        <w:t>群众</w:t>
      </w:r>
      <w:r>
        <w:rPr>
          <w:rFonts w:hint="eastAsia" w:ascii="宋体" w:hAnsi="宋体" w:eastAsia="宋体" w:cs="宋体"/>
          <w:sz w:val="32"/>
          <w:szCs w:val="32"/>
          <w:lang w:eastAsia="zh-CN"/>
        </w:rPr>
        <w:t>、</w:t>
      </w:r>
      <w:r>
        <w:rPr>
          <w:rFonts w:hint="eastAsia" w:ascii="宋体" w:hAnsi="宋体" w:eastAsia="宋体" w:cs="宋体"/>
          <w:sz w:val="32"/>
          <w:szCs w:val="32"/>
        </w:rPr>
        <w:t>村、镇或财政部门干部</w:t>
      </w:r>
      <w:r>
        <w:rPr>
          <w:rFonts w:hint="eastAsia" w:ascii="宋体" w:hAnsi="宋体" w:eastAsia="宋体" w:cs="宋体"/>
          <w:sz w:val="32"/>
          <w:szCs w:val="32"/>
          <w:lang w:eastAsia="zh-CN"/>
        </w:rPr>
        <w:t>、项目单位代表。</w:t>
      </w:r>
    </w:p>
    <w:tbl>
      <w:tblPr>
        <w:tblStyle w:val="29"/>
        <w:tblW w:w="5023" w:type="pct"/>
        <w:jc w:val="center"/>
        <w:tblLayout w:type="autofit"/>
        <w:tblCellMar>
          <w:top w:w="0" w:type="dxa"/>
          <w:left w:w="0" w:type="dxa"/>
          <w:bottom w:w="0" w:type="dxa"/>
          <w:right w:w="0" w:type="dxa"/>
        </w:tblCellMar>
      </w:tblPr>
      <w:tblGrid>
        <w:gridCol w:w="663"/>
        <w:gridCol w:w="4113"/>
        <w:gridCol w:w="1201"/>
        <w:gridCol w:w="1294"/>
        <w:gridCol w:w="1161"/>
      </w:tblGrid>
      <w:tr>
        <w:tblPrEx>
          <w:tblCellMar>
            <w:top w:w="0" w:type="dxa"/>
            <w:left w:w="0" w:type="dxa"/>
            <w:bottom w:w="0" w:type="dxa"/>
            <w:right w:w="0" w:type="dxa"/>
          </w:tblCellMar>
        </w:tblPrEx>
        <w:trPr>
          <w:trHeight w:val="400" w:hRule="atLeast"/>
          <w:tblHeader/>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问题</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选项</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选项个数</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选项占比</w:t>
            </w:r>
          </w:p>
        </w:tc>
      </w:tr>
      <w:tr>
        <w:tblPrEx>
          <w:tblCellMar>
            <w:top w:w="0" w:type="dxa"/>
            <w:left w:w="0" w:type="dxa"/>
            <w:bottom w:w="0" w:type="dxa"/>
            <w:right w:w="0" w:type="dxa"/>
          </w:tblCellMar>
        </w:tblPrEx>
        <w:trPr>
          <w:trHeight w:val="432" w:hRule="atLeast"/>
          <w:jc w:val="center"/>
        </w:trPr>
        <w:tc>
          <w:tcPr>
            <w:tcW w:w="39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4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8"/>
              </w:rPr>
              <w:t>实施项目建设的必要性，您觉得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sz w:val="24"/>
                <w:szCs w:val="24"/>
              </w:rPr>
              <w:t>很有必要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r>
      <w:tr>
        <w:tblPrEx>
          <w:tblCellMar>
            <w:top w:w="0" w:type="dxa"/>
            <w:left w:w="0" w:type="dxa"/>
            <w:bottom w:w="0" w:type="dxa"/>
            <w:right w:w="0" w:type="dxa"/>
          </w:tblCellMar>
        </w:tblPrEx>
        <w:trPr>
          <w:trHeight w:val="427"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无所谓</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12"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没必要</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90" w:hRule="atLeast"/>
          <w:jc w:val="center"/>
        </w:trPr>
        <w:tc>
          <w:tcPr>
            <w:tcW w:w="39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4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8"/>
              </w:rPr>
              <w:t>项目实施对实体经济与互联网相互促进、同步提升</w:t>
            </w:r>
            <w:r>
              <w:rPr>
                <w:rFonts w:hint="eastAsia" w:ascii="宋体" w:hAnsi="宋体" w:eastAsia="宋体" w:cs="宋体"/>
                <w:sz w:val="24"/>
                <w:szCs w:val="28"/>
                <w:lang w:eastAsia="zh-CN"/>
              </w:rPr>
              <w:t>方面的效果</w:t>
            </w:r>
            <w:r>
              <w:rPr>
                <w:rFonts w:hint="eastAsia" w:ascii="宋体" w:hAnsi="宋体" w:eastAsia="宋体" w:cs="宋体"/>
                <w:sz w:val="24"/>
                <w:szCs w:val="28"/>
              </w:rPr>
              <w:t>，您觉得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很好</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66.67%</w:t>
            </w:r>
          </w:p>
        </w:tc>
      </w:tr>
      <w:tr>
        <w:tblPrEx>
          <w:tblCellMar>
            <w:top w:w="0" w:type="dxa"/>
            <w:left w:w="0" w:type="dxa"/>
            <w:bottom w:w="0" w:type="dxa"/>
            <w:right w:w="0" w:type="dxa"/>
          </w:tblCellMar>
        </w:tblPrEx>
        <w:trPr>
          <w:trHeight w:val="424"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33.33%</w:t>
            </w:r>
          </w:p>
        </w:tc>
      </w:tr>
      <w:tr>
        <w:tblPrEx>
          <w:tblCellMar>
            <w:top w:w="0" w:type="dxa"/>
            <w:left w:w="0" w:type="dxa"/>
            <w:bottom w:w="0" w:type="dxa"/>
            <w:right w:w="0" w:type="dxa"/>
          </w:tblCellMar>
        </w:tblPrEx>
        <w:trPr>
          <w:trHeight w:val="419"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1"/>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419" w:hRule="atLeast"/>
          <w:jc w:val="center"/>
        </w:trPr>
        <w:tc>
          <w:tcPr>
            <w:tcW w:w="39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sz w:val="21"/>
              </w:rPr>
            </w:pPr>
          </w:p>
        </w:tc>
        <w:tc>
          <w:tcPr>
            <w:tcW w:w="243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402" w:hRule="atLeast"/>
          <w:jc w:val="center"/>
        </w:trPr>
        <w:tc>
          <w:tcPr>
            <w:tcW w:w="39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43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8"/>
              </w:rPr>
              <w:t>项目实施对激发大众对创新创业的潜在活力和热情</w:t>
            </w:r>
            <w:r>
              <w:rPr>
                <w:rFonts w:hint="eastAsia" w:ascii="宋体" w:hAnsi="宋体" w:eastAsia="宋体" w:cs="宋体"/>
                <w:sz w:val="24"/>
                <w:szCs w:val="28"/>
                <w:lang w:eastAsia="zh-CN"/>
              </w:rPr>
              <w:t>方面的效果</w:t>
            </w:r>
            <w:r>
              <w:rPr>
                <w:rFonts w:hint="eastAsia" w:ascii="宋体" w:hAnsi="宋体" w:eastAsia="宋体" w:cs="宋体"/>
                <w:sz w:val="24"/>
                <w:szCs w:val="28"/>
              </w:rPr>
              <w:t>，您觉得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很好</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73.33%</w:t>
            </w:r>
          </w:p>
        </w:tc>
      </w:tr>
      <w:tr>
        <w:tblPrEx>
          <w:tblCellMar>
            <w:top w:w="0" w:type="dxa"/>
            <w:left w:w="0" w:type="dxa"/>
            <w:bottom w:w="0" w:type="dxa"/>
            <w:right w:w="0" w:type="dxa"/>
          </w:tblCellMar>
        </w:tblPrEx>
        <w:trPr>
          <w:trHeight w:val="417" w:hRule="atLeast"/>
          <w:jc w:val="center"/>
        </w:trPr>
        <w:tc>
          <w:tcPr>
            <w:tcW w:w="39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24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26.67%</w:t>
            </w:r>
          </w:p>
        </w:tc>
      </w:tr>
      <w:tr>
        <w:tblPrEx>
          <w:tblCellMar>
            <w:top w:w="0" w:type="dxa"/>
            <w:left w:w="0" w:type="dxa"/>
            <w:bottom w:w="0" w:type="dxa"/>
            <w:right w:w="0" w:type="dxa"/>
          </w:tblCellMar>
        </w:tblPrEx>
        <w:trPr>
          <w:trHeight w:val="402" w:hRule="atLeast"/>
          <w:jc w:val="center"/>
        </w:trPr>
        <w:tc>
          <w:tcPr>
            <w:tcW w:w="39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24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89"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8"/>
              </w:rPr>
              <w:t>项目实施对加大创新创业典型的宣传，营造浓厚的创新创业氛围</w:t>
            </w:r>
            <w:r>
              <w:rPr>
                <w:rFonts w:hint="eastAsia" w:ascii="宋体" w:hAnsi="宋体" w:eastAsia="宋体" w:cs="宋体"/>
                <w:sz w:val="24"/>
                <w:szCs w:val="28"/>
                <w:lang w:eastAsia="zh-CN"/>
              </w:rPr>
              <w:t>方面</w:t>
            </w:r>
            <w:r>
              <w:rPr>
                <w:rFonts w:hint="eastAsia" w:ascii="宋体" w:hAnsi="宋体" w:eastAsia="宋体" w:cs="宋体"/>
                <w:sz w:val="24"/>
                <w:szCs w:val="28"/>
              </w:rPr>
              <w:t>，您觉得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很好</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53.33%</w:t>
            </w:r>
          </w:p>
        </w:tc>
      </w:tr>
      <w:tr>
        <w:tblPrEx>
          <w:tblCellMar>
            <w:top w:w="0" w:type="dxa"/>
            <w:left w:w="0" w:type="dxa"/>
            <w:bottom w:w="0" w:type="dxa"/>
            <w:right w:w="0" w:type="dxa"/>
          </w:tblCellMar>
        </w:tblPrEx>
        <w:trPr>
          <w:trHeight w:val="36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好</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46.67</w:t>
            </w:r>
          </w:p>
        </w:tc>
      </w:tr>
      <w:tr>
        <w:tblPrEx>
          <w:tblCellMar>
            <w:top w:w="0" w:type="dxa"/>
            <w:left w:w="0" w:type="dxa"/>
            <w:bottom w:w="0" w:type="dxa"/>
            <w:right w:w="0" w:type="dxa"/>
          </w:tblCellMar>
        </w:tblPrEx>
        <w:trPr>
          <w:trHeight w:val="367"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72" w:hRule="atLeast"/>
          <w:jc w:val="center"/>
        </w:trPr>
        <w:tc>
          <w:tcPr>
            <w:tcW w:w="39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243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差</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544"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sz w:val="24"/>
                <w:szCs w:val="28"/>
                <w:lang w:eastAsia="zh-CN"/>
              </w:rPr>
              <w:t>项目实施是否对梅州的创新创业有持续影响，您觉得</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100%</w:t>
            </w:r>
          </w:p>
        </w:tc>
      </w:tr>
      <w:tr>
        <w:tblPrEx>
          <w:tblCellMar>
            <w:top w:w="0" w:type="dxa"/>
            <w:left w:w="0" w:type="dxa"/>
            <w:bottom w:w="0" w:type="dxa"/>
            <w:right w:w="0" w:type="dxa"/>
          </w:tblCellMar>
        </w:tblPrEx>
        <w:trPr>
          <w:trHeight w:val="484"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否</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394" w:hRule="atLeast"/>
          <w:jc w:val="center"/>
        </w:trPr>
        <w:tc>
          <w:tcPr>
            <w:tcW w:w="39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lef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43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sz w:val="24"/>
                <w:szCs w:val="28"/>
              </w:rPr>
              <w:t>综合前5项调查，您对项目实施的总体满意度是</w:t>
            </w: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很</w:t>
            </w:r>
            <w:r>
              <w:rPr>
                <w:rFonts w:hint="eastAsia" w:ascii="宋体" w:hAnsi="宋体" w:eastAsia="宋体" w:cs="宋体"/>
                <w:color w:val="000000"/>
                <w:kern w:val="0"/>
                <w:sz w:val="24"/>
                <w:szCs w:val="24"/>
              </w:rPr>
              <w:t>满意</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left="142" w:leftChars="0"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53.33%</w:t>
            </w:r>
          </w:p>
        </w:tc>
      </w:tr>
      <w:tr>
        <w:tblPrEx>
          <w:tblCellMar>
            <w:top w:w="0" w:type="dxa"/>
            <w:left w:w="0" w:type="dxa"/>
            <w:bottom w:w="0" w:type="dxa"/>
            <w:right w:w="0" w:type="dxa"/>
          </w:tblCellMar>
        </w:tblPrEx>
        <w:trPr>
          <w:trHeight w:val="44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满意</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46.67%</w:t>
            </w:r>
          </w:p>
        </w:tc>
      </w:tr>
      <w:tr>
        <w:tblPrEx>
          <w:tblCellMar>
            <w:top w:w="0" w:type="dxa"/>
            <w:left w:w="0" w:type="dxa"/>
            <w:bottom w:w="0" w:type="dxa"/>
            <w:right w:w="0" w:type="dxa"/>
          </w:tblCellMar>
        </w:tblPrEx>
        <w:trPr>
          <w:trHeight w:val="464"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r>
        <w:tblPrEx>
          <w:tblCellMar>
            <w:top w:w="0" w:type="dxa"/>
            <w:left w:w="0" w:type="dxa"/>
            <w:bottom w:w="0" w:type="dxa"/>
            <w:right w:w="0" w:type="dxa"/>
          </w:tblCellMar>
        </w:tblPrEx>
        <w:trPr>
          <w:trHeight w:val="459" w:hRule="atLeast"/>
          <w:jc w:val="center"/>
        </w:trPr>
        <w:tc>
          <w:tcPr>
            <w:tcW w:w="39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243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pacing w:line="240" w:lineRule="auto"/>
              <w:ind w:firstLine="0" w:firstLineChars="0"/>
              <w:jc w:val="center"/>
              <w:rPr>
                <w:rFonts w:hint="eastAsia" w:ascii="宋体" w:hAnsi="宋体" w:eastAsia="宋体" w:cs="宋体"/>
                <w:sz w:val="21"/>
              </w:rPr>
            </w:pPr>
          </w:p>
        </w:tc>
        <w:tc>
          <w:tcPr>
            <w:tcW w:w="71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不满意</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pacing w:line="240" w:lineRule="auto"/>
              <w:ind w:firstLine="0" w:firstLineChars="0"/>
              <w:jc w:val="center"/>
              <w:textAlignment w:val="center"/>
              <w:rPr>
                <w:rFonts w:hint="eastAsia" w:ascii="宋体" w:hAnsi="宋体" w:eastAsia="宋体" w:cs="宋体"/>
                <w:color w:val="000000"/>
                <w:kern w:val="0"/>
                <w:sz w:val="24"/>
                <w:szCs w:val="24"/>
              </w:rPr>
            </w:pPr>
          </w:p>
        </w:tc>
      </w:tr>
    </w:tbl>
    <w:p>
      <w:pPr>
        <w:ind w:left="0" w:leftChars="0" w:firstLine="0" w:firstLineChars="0"/>
        <w:jc w:val="center"/>
        <w:rPr>
          <w:rFonts w:hint="eastAsia" w:ascii="仿宋" w:hAnsi="仿宋" w:eastAsia="仿宋" w:cs="仿宋"/>
        </w:rPr>
      </w:pPr>
    </w:p>
    <w:sectPr>
      <w:pgSz w:w="11906" w:h="16838"/>
      <w:pgMar w:top="1440" w:right="1700" w:bottom="1440" w:left="1843"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4"/>
      </w:pPr>
      <w:r>
        <w:separator/>
      </w:r>
    </w:p>
  </w:endnote>
  <w:endnote w:type="continuationSeparator" w:id="1">
    <w:p>
      <w:pPr>
        <w:spacing w:line="240" w:lineRule="auto"/>
        <w:ind w:firstLine="7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D...">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firstLine="0" w:firstLineChars="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7830" cy="19685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17830" cy="196850"/>
                      </a:xfrm>
                      <a:prstGeom prst="rect">
                        <a:avLst/>
                      </a:prstGeom>
                      <a:noFill/>
                      <a:ln>
                        <a:noFill/>
                      </a:ln>
                      <a:effectLst/>
                    </wps:spPr>
                    <wps:txbx>
                      <w:txbxContent>
                        <w:p>
                          <w:pPr>
                            <w:pStyle w:val="18"/>
                            <w:ind w:firstLine="396"/>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pt;width:32.9pt;mso-position-horizontal:center;mso-position-horizontal-relative:margin;mso-wrap-style:none;z-index:251660288;mso-width-relative:page;mso-height-relative:page;" filled="f" stroked="f" coordsize="21600,21600" o:gfxdata="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YrdEAAAADAQAADwAAAAAAAAABACAAAAAiAAAAZHJzL2Rvd25yZXYu&#10;eG1sUEsBAhQAFAAAAAgAh07iQOjFRWwCAgAAEgQAAA4AAAAAAAAAAQAgAAAAIAEAAGRycy9lMm9E&#10;b2MueG1sUEsFBgAAAAAGAAYAWQEAAJQFAAAAAA==&#10;">
              <v:fill on="f" focussize="0,0"/>
              <v:stroke on="f"/>
              <v:imagedata o:title=""/>
              <o:lock v:ext="edit" aspectratio="f"/>
              <v:textbox inset="0mm,0mm,0mm,0mm" style="mso-fit-shape-to-text:t;">
                <w:txbxContent>
                  <w:p>
                    <w:pPr>
                      <w:pStyle w:val="18"/>
                      <w:ind w:firstLine="39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616"/>
      <w:jc w:val="right"/>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left="0" w:firstLine="0" w:firstLineChars="0"/>
                            <w:rPr>
                              <w:rStyle w:val="32"/>
                              <w:sz w:val="24"/>
                              <w:szCs w:val="24"/>
                            </w:rPr>
                          </w:pPr>
                          <w:r>
                            <w:rPr>
                              <w:sz w:val="24"/>
                              <w:szCs w:val="24"/>
                            </w:rPr>
                            <w:fldChar w:fldCharType="begin"/>
                          </w:r>
                          <w:r>
                            <w:rPr>
                              <w:rStyle w:val="32"/>
                              <w:sz w:val="24"/>
                              <w:szCs w:val="24"/>
                            </w:rPr>
                            <w:instrText xml:space="preserve">PAGE  </w:instrText>
                          </w:r>
                          <w:r>
                            <w:rPr>
                              <w:sz w:val="24"/>
                              <w:szCs w:val="24"/>
                            </w:rPr>
                            <w:fldChar w:fldCharType="separate"/>
                          </w:r>
                          <w:r>
                            <w:rPr>
                              <w:rStyle w:val="32"/>
                              <w:sz w:val="24"/>
                              <w:szCs w:val="24"/>
                            </w:rPr>
                            <w:t>25</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18"/>
                      <w:ind w:left="0" w:firstLine="0" w:firstLineChars="0"/>
                      <w:rPr>
                        <w:rStyle w:val="32"/>
                        <w:sz w:val="24"/>
                        <w:szCs w:val="24"/>
                      </w:rPr>
                    </w:pPr>
                    <w:r>
                      <w:rPr>
                        <w:sz w:val="24"/>
                        <w:szCs w:val="24"/>
                      </w:rPr>
                      <w:fldChar w:fldCharType="begin"/>
                    </w:r>
                    <w:r>
                      <w:rPr>
                        <w:rStyle w:val="32"/>
                        <w:sz w:val="24"/>
                        <w:szCs w:val="24"/>
                      </w:rPr>
                      <w:instrText xml:space="preserve">PAGE  </w:instrText>
                    </w:r>
                    <w:r>
                      <w:rPr>
                        <w:sz w:val="24"/>
                        <w:szCs w:val="24"/>
                      </w:rPr>
                      <w:fldChar w:fldCharType="separate"/>
                    </w:r>
                    <w:r>
                      <w:rPr>
                        <w:rStyle w:val="32"/>
                        <w:sz w:val="24"/>
                        <w:szCs w:val="24"/>
                      </w:rPr>
                      <w:t>25</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6565" cy="19685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56565" cy="196850"/>
                      </a:xfrm>
                      <a:prstGeom prst="rect">
                        <a:avLst/>
                      </a:prstGeom>
                      <a:noFill/>
                      <a:ln>
                        <a:noFill/>
                      </a:ln>
                      <a:effectLst/>
                    </wps:spPr>
                    <wps:txbx>
                      <w:txbxContent>
                        <w:p>
                          <w:pPr>
                            <w:pStyle w:val="18"/>
                            <w:ind w:firstLine="396"/>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5.5pt;width:35.95pt;mso-position-horizontal:center;mso-position-horizontal-relative:margin;mso-wrap-style:none;z-index:251659264;mso-width-relative:page;mso-height-relative:page;" filled="f" stroked="f" coordsize="21600,21600" o:gfxdata="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xQSm0QAAAAMBAAAPAAAAAAAAAAEAIAAAACIAAABkcnMvZG93bnJldi54&#10;bWxQSwECFAAUAAAACACHTuJApsHZtAECAAASBAAADgAAAAAAAAABACAAAAAgAQAAZHJzL2Uyb0Rv&#10;Yy54bWxQSwUGAAAAAAYABgBZAQAAkwUAAAAA&#10;">
              <v:fill on="f" focussize="0,0"/>
              <v:stroke on="f"/>
              <v:imagedata o:title=""/>
              <o:lock v:ext="edit" aspectratio="f"/>
              <v:textbox inset="0mm,0mm,0mm,0mm" style="mso-fit-shape-to-text:t;">
                <w:txbxContent>
                  <w:p>
                    <w:pPr>
                      <w:pStyle w:val="18"/>
                      <w:ind w:firstLine="39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04"/>
      </w:pPr>
      <w:r>
        <w:separator/>
      </w:r>
    </w:p>
  </w:footnote>
  <w:footnote w:type="continuationSeparator" w:id="1">
    <w:p>
      <w:pPr>
        <w:spacing w:line="360" w:lineRule="auto"/>
        <w:ind w:firstLine="70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85E12"/>
    <w:multiLevelType w:val="singleLevel"/>
    <w:tmpl w:val="83685E12"/>
    <w:lvl w:ilvl="0" w:tentative="0">
      <w:start w:val="2"/>
      <w:numFmt w:val="chineseCounting"/>
      <w:suff w:val="nothing"/>
      <w:lvlText w:val="（%1）"/>
      <w:lvlJc w:val="left"/>
      <w:rPr>
        <w:rFonts w:hint="eastAsia"/>
      </w:rPr>
    </w:lvl>
  </w:abstractNum>
  <w:abstractNum w:abstractNumId="1">
    <w:nsid w:val="86D83332"/>
    <w:multiLevelType w:val="singleLevel"/>
    <w:tmpl w:val="86D83332"/>
    <w:lvl w:ilvl="0" w:tentative="0">
      <w:start w:val="2"/>
      <w:numFmt w:val="decimal"/>
      <w:suff w:val="nothing"/>
      <w:lvlText w:val="（%1）"/>
      <w:lvlJc w:val="left"/>
      <w:rPr>
        <w:rFonts w:hint="default"/>
        <w:b/>
        <w:bCs/>
      </w:rPr>
    </w:lvl>
  </w:abstractNum>
  <w:abstractNum w:abstractNumId="2">
    <w:nsid w:val="B5B03182"/>
    <w:multiLevelType w:val="singleLevel"/>
    <w:tmpl w:val="B5B03182"/>
    <w:lvl w:ilvl="0" w:tentative="0">
      <w:start w:val="1"/>
      <w:numFmt w:val="decimal"/>
      <w:lvlText w:val="%1."/>
      <w:lvlJc w:val="left"/>
      <w:pPr>
        <w:tabs>
          <w:tab w:val="left" w:pos="312"/>
        </w:tabs>
      </w:pPr>
    </w:lvl>
  </w:abstractNum>
  <w:abstractNum w:abstractNumId="3">
    <w:nsid w:val="2797F3B8"/>
    <w:multiLevelType w:val="singleLevel"/>
    <w:tmpl w:val="2797F3B8"/>
    <w:lvl w:ilvl="0" w:tentative="0">
      <w:start w:val="2"/>
      <w:numFmt w:val="decimal"/>
      <w:suff w:val="nothing"/>
      <w:lvlText w:val="（%1）"/>
      <w:lvlJc w:val="left"/>
      <w:rPr>
        <w:rFonts w:hint="default"/>
        <w:b/>
        <w:bCs/>
      </w:rPr>
    </w:lvl>
  </w:abstractNum>
  <w:abstractNum w:abstractNumId="4">
    <w:nsid w:val="586DDFB6"/>
    <w:multiLevelType w:val="singleLevel"/>
    <w:tmpl w:val="586DDFB6"/>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DdlNzI4NGEyYjVmNmI0N2Q5YTZlNWYzZTIyYjgifQ=="/>
  </w:docVars>
  <w:rsids>
    <w:rsidRoot w:val="15A22416"/>
    <w:rsid w:val="000078C5"/>
    <w:rsid w:val="00011FC5"/>
    <w:rsid w:val="0001433D"/>
    <w:rsid w:val="000145F0"/>
    <w:rsid w:val="00022F15"/>
    <w:rsid w:val="0002553B"/>
    <w:rsid w:val="000257E8"/>
    <w:rsid w:val="000261EC"/>
    <w:rsid w:val="00027A42"/>
    <w:rsid w:val="00027A79"/>
    <w:rsid w:val="00030128"/>
    <w:rsid w:val="000304E6"/>
    <w:rsid w:val="000311A5"/>
    <w:rsid w:val="00037666"/>
    <w:rsid w:val="00037C20"/>
    <w:rsid w:val="00037C46"/>
    <w:rsid w:val="00040AA0"/>
    <w:rsid w:val="00051465"/>
    <w:rsid w:val="00051E50"/>
    <w:rsid w:val="00053706"/>
    <w:rsid w:val="00057B2D"/>
    <w:rsid w:val="00061AF1"/>
    <w:rsid w:val="0006773D"/>
    <w:rsid w:val="00070F7E"/>
    <w:rsid w:val="00071567"/>
    <w:rsid w:val="000715D7"/>
    <w:rsid w:val="00072F7B"/>
    <w:rsid w:val="00075BD2"/>
    <w:rsid w:val="00077566"/>
    <w:rsid w:val="0008063A"/>
    <w:rsid w:val="00080D26"/>
    <w:rsid w:val="00081D16"/>
    <w:rsid w:val="00090A17"/>
    <w:rsid w:val="00091AEC"/>
    <w:rsid w:val="00094FFD"/>
    <w:rsid w:val="000951FF"/>
    <w:rsid w:val="00097F41"/>
    <w:rsid w:val="000A228C"/>
    <w:rsid w:val="000A2F41"/>
    <w:rsid w:val="000A35C7"/>
    <w:rsid w:val="000A7235"/>
    <w:rsid w:val="000B0979"/>
    <w:rsid w:val="000B7C47"/>
    <w:rsid w:val="000B7CBD"/>
    <w:rsid w:val="000C0665"/>
    <w:rsid w:val="000C2B19"/>
    <w:rsid w:val="000C3692"/>
    <w:rsid w:val="000C3B96"/>
    <w:rsid w:val="000C51D3"/>
    <w:rsid w:val="000C6288"/>
    <w:rsid w:val="000D1EB0"/>
    <w:rsid w:val="000E3596"/>
    <w:rsid w:val="000F0371"/>
    <w:rsid w:val="000F2B97"/>
    <w:rsid w:val="000F481A"/>
    <w:rsid w:val="0010357D"/>
    <w:rsid w:val="00103EF4"/>
    <w:rsid w:val="001048D5"/>
    <w:rsid w:val="00104A1D"/>
    <w:rsid w:val="00111273"/>
    <w:rsid w:val="00113AEF"/>
    <w:rsid w:val="00113FB3"/>
    <w:rsid w:val="00117E58"/>
    <w:rsid w:val="00121D62"/>
    <w:rsid w:val="00123E11"/>
    <w:rsid w:val="00127CCA"/>
    <w:rsid w:val="001315B0"/>
    <w:rsid w:val="00134D4A"/>
    <w:rsid w:val="001369D3"/>
    <w:rsid w:val="00136EE8"/>
    <w:rsid w:val="00137254"/>
    <w:rsid w:val="00141E3C"/>
    <w:rsid w:val="00146AD4"/>
    <w:rsid w:val="00147ECB"/>
    <w:rsid w:val="00150988"/>
    <w:rsid w:val="0015159C"/>
    <w:rsid w:val="001554A5"/>
    <w:rsid w:val="00162975"/>
    <w:rsid w:val="00167922"/>
    <w:rsid w:val="00173779"/>
    <w:rsid w:val="0017564E"/>
    <w:rsid w:val="00180025"/>
    <w:rsid w:val="00180802"/>
    <w:rsid w:val="0018154A"/>
    <w:rsid w:val="001833DB"/>
    <w:rsid w:val="001846D4"/>
    <w:rsid w:val="001904AD"/>
    <w:rsid w:val="00190D83"/>
    <w:rsid w:val="00193A55"/>
    <w:rsid w:val="00193B50"/>
    <w:rsid w:val="001948B0"/>
    <w:rsid w:val="0019660E"/>
    <w:rsid w:val="001970F6"/>
    <w:rsid w:val="00197CAE"/>
    <w:rsid w:val="001A046C"/>
    <w:rsid w:val="001A168B"/>
    <w:rsid w:val="001A24FF"/>
    <w:rsid w:val="001A2968"/>
    <w:rsid w:val="001A3ABE"/>
    <w:rsid w:val="001A4B76"/>
    <w:rsid w:val="001B1001"/>
    <w:rsid w:val="001B59EB"/>
    <w:rsid w:val="001C055B"/>
    <w:rsid w:val="001C7C34"/>
    <w:rsid w:val="001D064C"/>
    <w:rsid w:val="001D0C6D"/>
    <w:rsid w:val="001D2BD2"/>
    <w:rsid w:val="001D4206"/>
    <w:rsid w:val="001E110C"/>
    <w:rsid w:val="001F0807"/>
    <w:rsid w:val="001F2974"/>
    <w:rsid w:val="001F2EA9"/>
    <w:rsid w:val="001F3C74"/>
    <w:rsid w:val="001F6948"/>
    <w:rsid w:val="001F7B11"/>
    <w:rsid w:val="002000FF"/>
    <w:rsid w:val="00200C36"/>
    <w:rsid w:val="0020105E"/>
    <w:rsid w:val="00203493"/>
    <w:rsid w:val="002050C8"/>
    <w:rsid w:val="002074DD"/>
    <w:rsid w:val="00211684"/>
    <w:rsid w:val="00217A03"/>
    <w:rsid w:val="00227819"/>
    <w:rsid w:val="0023001B"/>
    <w:rsid w:val="0023058B"/>
    <w:rsid w:val="00230C52"/>
    <w:rsid w:val="002311D9"/>
    <w:rsid w:val="00232F36"/>
    <w:rsid w:val="002338D7"/>
    <w:rsid w:val="00233BF7"/>
    <w:rsid w:val="002340AC"/>
    <w:rsid w:val="0023446F"/>
    <w:rsid w:val="002405A2"/>
    <w:rsid w:val="00243B1A"/>
    <w:rsid w:val="00244144"/>
    <w:rsid w:val="0025406F"/>
    <w:rsid w:val="002543E1"/>
    <w:rsid w:val="0026083E"/>
    <w:rsid w:val="00260C5D"/>
    <w:rsid w:val="00263082"/>
    <w:rsid w:val="00263AC6"/>
    <w:rsid w:val="00263B39"/>
    <w:rsid w:val="0026592F"/>
    <w:rsid w:val="00266298"/>
    <w:rsid w:val="002662A4"/>
    <w:rsid w:val="00266E86"/>
    <w:rsid w:val="00271BC7"/>
    <w:rsid w:val="002729CA"/>
    <w:rsid w:val="00273B72"/>
    <w:rsid w:val="00275267"/>
    <w:rsid w:val="00275838"/>
    <w:rsid w:val="0027587B"/>
    <w:rsid w:val="00277CE8"/>
    <w:rsid w:val="00287361"/>
    <w:rsid w:val="00292079"/>
    <w:rsid w:val="00292550"/>
    <w:rsid w:val="0029280C"/>
    <w:rsid w:val="00292A1C"/>
    <w:rsid w:val="00292BAB"/>
    <w:rsid w:val="002941D6"/>
    <w:rsid w:val="00295069"/>
    <w:rsid w:val="002961DE"/>
    <w:rsid w:val="002A4741"/>
    <w:rsid w:val="002A76AB"/>
    <w:rsid w:val="002B1E68"/>
    <w:rsid w:val="002B245E"/>
    <w:rsid w:val="002B2E81"/>
    <w:rsid w:val="002B3CC0"/>
    <w:rsid w:val="002B68B2"/>
    <w:rsid w:val="002C26D5"/>
    <w:rsid w:val="002C2D5B"/>
    <w:rsid w:val="002C3CE0"/>
    <w:rsid w:val="002C76AE"/>
    <w:rsid w:val="002D0823"/>
    <w:rsid w:val="002D3B53"/>
    <w:rsid w:val="002D403D"/>
    <w:rsid w:val="002D73E4"/>
    <w:rsid w:val="002E2D60"/>
    <w:rsid w:val="002E61A6"/>
    <w:rsid w:val="002E7D73"/>
    <w:rsid w:val="002F01C3"/>
    <w:rsid w:val="002F0483"/>
    <w:rsid w:val="002F36B0"/>
    <w:rsid w:val="002F4FEE"/>
    <w:rsid w:val="002F5CC8"/>
    <w:rsid w:val="002F5EA9"/>
    <w:rsid w:val="002F7CFF"/>
    <w:rsid w:val="0030156E"/>
    <w:rsid w:val="00301D1A"/>
    <w:rsid w:val="003067A7"/>
    <w:rsid w:val="00311A93"/>
    <w:rsid w:val="003202E9"/>
    <w:rsid w:val="00321F6B"/>
    <w:rsid w:val="003246FB"/>
    <w:rsid w:val="0033015D"/>
    <w:rsid w:val="003339DD"/>
    <w:rsid w:val="00333F07"/>
    <w:rsid w:val="0033573D"/>
    <w:rsid w:val="00344275"/>
    <w:rsid w:val="003477DD"/>
    <w:rsid w:val="00366889"/>
    <w:rsid w:val="0036720B"/>
    <w:rsid w:val="00371F23"/>
    <w:rsid w:val="00375274"/>
    <w:rsid w:val="00375A16"/>
    <w:rsid w:val="003760B0"/>
    <w:rsid w:val="00376558"/>
    <w:rsid w:val="00376FBF"/>
    <w:rsid w:val="00377F92"/>
    <w:rsid w:val="00383074"/>
    <w:rsid w:val="00386BDD"/>
    <w:rsid w:val="00392CB3"/>
    <w:rsid w:val="003A03F1"/>
    <w:rsid w:val="003A0C81"/>
    <w:rsid w:val="003A2A14"/>
    <w:rsid w:val="003A34E2"/>
    <w:rsid w:val="003A4ADF"/>
    <w:rsid w:val="003B3350"/>
    <w:rsid w:val="003C026D"/>
    <w:rsid w:val="003C335A"/>
    <w:rsid w:val="003C4985"/>
    <w:rsid w:val="003C5BF6"/>
    <w:rsid w:val="003C793B"/>
    <w:rsid w:val="003D0022"/>
    <w:rsid w:val="003D0189"/>
    <w:rsid w:val="003D034B"/>
    <w:rsid w:val="003D1520"/>
    <w:rsid w:val="003D3AFA"/>
    <w:rsid w:val="003D442A"/>
    <w:rsid w:val="003D4FDF"/>
    <w:rsid w:val="003D50D9"/>
    <w:rsid w:val="003D596A"/>
    <w:rsid w:val="003D5ABA"/>
    <w:rsid w:val="003E3BA9"/>
    <w:rsid w:val="003E5845"/>
    <w:rsid w:val="003E7D3B"/>
    <w:rsid w:val="003F1BD9"/>
    <w:rsid w:val="0040223A"/>
    <w:rsid w:val="00402354"/>
    <w:rsid w:val="00402D34"/>
    <w:rsid w:val="00403B6C"/>
    <w:rsid w:val="00404CF5"/>
    <w:rsid w:val="004116AE"/>
    <w:rsid w:val="00420275"/>
    <w:rsid w:val="00422397"/>
    <w:rsid w:val="0042468B"/>
    <w:rsid w:val="00424C73"/>
    <w:rsid w:val="00425FB7"/>
    <w:rsid w:val="00430811"/>
    <w:rsid w:val="004318C6"/>
    <w:rsid w:val="00433323"/>
    <w:rsid w:val="00435143"/>
    <w:rsid w:val="00435D8B"/>
    <w:rsid w:val="00436CA2"/>
    <w:rsid w:val="004411A5"/>
    <w:rsid w:val="00441793"/>
    <w:rsid w:val="00450E2B"/>
    <w:rsid w:val="00454002"/>
    <w:rsid w:val="00454804"/>
    <w:rsid w:val="004557D6"/>
    <w:rsid w:val="00456C39"/>
    <w:rsid w:val="004628CE"/>
    <w:rsid w:val="0046489D"/>
    <w:rsid w:val="00465B9E"/>
    <w:rsid w:val="00466C1D"/>
    <w:rsid w:val="00474E0B"/>
    <w:rsid w:val="0047556B"/>
    <w:rsid w:val="00480D92"/>
    <w:rsid w:val="004821B7"/>
    <w:rsid w:val="00482363"/>
    <w:rsid w:val="00482545"/>
    <w:rsid w:val="00484194"/>
    <w:rsid w:val="00484645"/>
    <w:rsid w:val="00484AEB"/>
    <w:rsid w:val="004861B1"/>
    <w:rsid w:val="00487357"/>
    <w:rsid w:val="00490888"/>
    <w:rsid w:val="00491A91"/>
    <w:rsid w:val="00491D84"/>
    <w:rsid w:val="00496947"/>
    <w:rsid w:val="004A0CF9"/>
    <w:rsid w:val="004A180A"/>
    <w:rsid w:val="004A1969"/>
    <w:rsid w:val="004A21CA"/>
    <w:rsid w:val="004A47BC"/>
    <w:rsid w:val="004B6672"/>
    <w:rsid w:val="004C31BE"/>
    <w:rsid w:val="004C4588"/>
    <w:rsid w:val="004C464D"/>
    <w:rsid w:val="004C4729"/>
    <w:rsid w:val="004C586D"/>
    <w:rsid w:val="004D1666"/>
    <w:rsid w:val="004D2806"/>
    <w:rsid w:val="004D37F5"/>
    <w:rsid w:val="004D47DF"/>
    <w:rsid w:val="004E575F"/>
    <w:rsid w:val="004E5CA6"/>
    <w:rsid w:val="004F136C"/>
    <w:rsid w:val="004F6B85"/>
    <w:rsid w:val="00500EEB"/>
    <w:rsid w:val="00501AD0"/>
    <w:rsid w:val="0050347B"/>
    <w:rsid w:val="005060E2"/>
    <w:rsid w:val="0051167C"/>
    <w:rsid w:val="0051258F"/>
    <w:rsid w:val="005135BF"/>
    <w:rsid w:val="00514245"/>
    <w:rsid w:val="005176FA"/>
    <w:rsid w:val="00521107"/>
    <w:rsid w:val="0052230E"/>
    <w:rsid w:val="00524281"/>
    <w:rsid w:val="0052544F"/>
    <w:rsid w:val="00526B97"/>
    <w:rsid w:val="00530501"/>
    <w:rsid w:val="00533E1D"/>
    <w:rsid w:val="00534737"/>
    <w:rsid w:val="005363E8"/>
    <w:rsid w:val="0054147A"/>
    <w:rsid w:val="005421B1"/>
    <w:rsid w:val="0054640A"/>
    <w:rsid w:val="00547688"/>
    <w:rsid w:val="00547A92"/>
    <w:rsid w:val="00552327"/>
    <w:rsid w:val="00555447"/>
    <w:rsid w:val="00557FBD"/>
    <w:rsid w:val="00561A0A"/>
    <w:rsid w:val="0056230E"/>
    <w:rsid w:val="00563695"/>
    <w:rsid w:val="0056522D"/>
    <w:rsid w:val="00574101"/>
    <w:rsid w:val="0057644D"/>
    <w:rsid w:val="0058070C"/>
    <w:rsid w:val="00581C47"/>
    <w:rsid w:val="005905E7"/>
    <w:rsid w:val="0059170C"/>
    <w:rsid w:val="00595A50"/>
    <w:rsid w:val="005A127A"/>
    <w:rsid w:val="005A574E"/>
    <w:rsid w:val="005B2F39"/>
    <w:rsid w:val="005B3B12"/>
    <w:rsid w:val="005B4E21"/>
    <w:rsid w:val="005C06CF"/>
    <w:rsid w:val="005C1846"/>
    <w:rsid w:val="005C451E"/>
    <w:rsid w:val="005C7CF9"/>
    <w:rsid w:val="005D0BCE"/>
    <w:rsid w:val="005D5937"/>
    <w:rsid w:val="005D7E7F"/>
    <w:rsid w:val="005E6158"/>
    <w:rsid w:val="005E6766"/>
    <w:rsid w:val="005F02BF"/>
    <w:rsid w:val="005F2CA0"/>
    <w:rsid w:val="005F3A13"/>
    <w:rsid w:val="005F531E"/>
    <w:rsid w:val="005F5557"/>
    <w:rsid w:val="005F6DA0"/>
    <w:rsid w:val="006015CE"/>
    <w:rsid w:val="00603161"/>
    <w:rsid w:val="006043DF"/>
    <w:rsid w:val="0060552F"/>
    <w:rsid w:val="00606C98"/>
    <w:rsid w:val="006074B8"/>
    <w:rsid w:val="006106AC"/>
    <w:rsid w:val="006173F8"/>
    <w:rsid w:val="0062017C"/>
    <w:rsid w:val="006211A8"/>
    <w:rsid w:val="006236DD"/>
    <w:rsid w:val="00624D67"/>
    <w:rsid w:val="0062629C"/>
    <w:rsid w:val="00630411"/>
    <w:rsid w:val="00637747"/>
    <w:rsid w:val="00637F2B"/>
    <w:rsid w:val="00641842"/>
    <w:rsid w:val="00642B54"/>
    <w:rsid w:val="00642F66"/>
    <w:rsid w:val="00644BC1"/>
    <w:rsid w:val="00645AA5"/>
    <w:rsid w:val="006510C1"/>
    <w:rsid w:val="00651BBB"/>
    <w:rsid w:val="006607BE"/>
    <w:rsid w:val="00661CB2"/>
    <w:rsid w:val="0066392F"/>
    <w:rsid w:val="00664A8F"/>
    <w:rsid w:val="00664E5F"/>
    <w:rsid w:val="006677C6"/>
    <w:rsid w:val="006729D2"/>
    <w:rsid w:val="00672CA6"/>
    <w:rsid w:val="00673C86"/>
    <w:rsid w:val="00681646"/>
    <w:rsid w:val="00684F27"/>
    <w:rsid w:val="00685C27"/>
    <w:rsid w:val="00690946"/>
    <w:rsid w:val="00691001"/>
    <w:rsid w:val="00693545"/>
    <w:rsid w:val="00697821"/>
    <w:rsid w:val="006A051A"/>
    <w:rsid w:val="006A1478"/>
    <w:rsid w:val="006A5F33"/>
    <w:rsid w:val="006B1B3B"/>
    <w:rsid w:val="006B1B9B"/>
    <w:rsid w:val="006B2681"/>
    <w:rsid w:val="006C00B0"/>
    <w:rsid w:val="006C279C"/>
    <w:rsid w:val="006C44E7"/>
    <w:rsid w:val="006C5B4A"/>
    <w:rsid w:val="006E47BF"/>
    <w:rsid w:val="006F0418"/>
    <w:rsid w:val="006F265C"/>
    <w:rsid w:val="006F5CD0"/>
    <w:rsid w:val="00703A2F"/>
    <w:rsid w:val="00706C2B"/>
    <w:rsid w:val="0071026A"/>
    <w:rsid w:val="00711F87"/>
    <w:rsid w:val="00712703"/>
    <w:rsid w:val="007179F7"/>
    <w:rsid w:val="007200AE"/>
    <w:rsid w:val="00723C31"/>
    <w:rsid w:val="0072407D"/>
    <w:rsid w:val="007333E7"/>
    <w:rsid w:val="00734EEB"/>
    <w:rsid w:val="00737BD5"/>
    <w:rsid w:val="00743724"/>
    <w:rsid w:val="00746B26"/>
    <w:rsid w:val="00747006"/>
    <w:rsid w:val="00751411"/>
    <w:rsid w:val="007535FB"/>
    <w:rsid w:val="00755065"/>
    <w:rsid w:val="00756D7C"/>
    <w:rsid w:val="00757B9E"/>
    <w:rsid w:val="007609A6"/>
    <w:rsid w:val="00762D73"/>
    <w:rsid w:val="007638CE"/>
    <w:rsid w:val="00764EFD"/>
    <w:rsid w:val="007738F5"/>
    <w:rsid w:val="00773982"/>
    <w:rsid w:val="007774E4"/>
    <w:rsid w:val="0078040A"/>
    <w:rsid w:val="0078040C"/>
    <w:rsid w:val="0078192F"/>
    <w:rsid w:val="00782770"/>
    <w:rsid w:val="0078616E"/>
    <w:rsid w:val="00787C96"/>
    <w:rsid w:val="00790173"/>
    <w:rsid w:val="007934CB"/>
    <w:rsid w:val="007956BF"/>
    <w:rsid w:val="007974E8"/>
    <w:rsid w:val="007A04E0"/>
    <w:rsid w:val="007A21F1"/>
    <w:rsid w:val="007A3026"/>
    <w:rsid w:val="007A3940"/>
    <w:rsid w:val="007B06DC"/>
    <w:rsid w:val="007B0E1D"/>
    <w:rsid w:val="007B0F62"/>
    <w:rsid w:val="007B3F47"/>
    <w:rsid w:val="007B5065"/>
    <w:rsid w:val="007B751D"/>
    <w:rsid w:val="007B7FDA"/>
    <w:rsid w:val="007D05F8"/>
    <w:rsid w:val="007D18DB"/>
    <w:rsid w:val="007D290E"/>
    <w:rsid w:val="007D3B3F"/>
    <w:rsid w:val="007D3D81"/>
    <w:rsid w:val="007E174C"/>
    <w:rsid w:val="007E1DE2"/>
    <w:rsid w:val="007E25F1"/>
    <w:rsid w:val="007E41B7"/>
    <w:rsid w:val="007E5E35"/>
    <w:rsid w:val="007F006B"/>
    <w:rsid w:val="007F03DB"/>
    <w:rsid w:val="007F2DD3"/>
    <w:rsid w:val="007F46CB"/>
    <w:rsid w:val="007F56AA"/>
    <w:rsid w:val="007F63C7"/>
    <w:rsid w:val="007F6948"/>
    <w:rsid w:val="007F7A2A"/>
    <w:rsid w:val="00806887"/>
    <w:rsid w:val="00807A3D"/>
    <w:rsid w:val="008143F5"/>
    <w:rsid w:val="0082155F"/>
    <w:rsid w:val="00830770"/>
    <w:rsid w:val="00831A73"/>
    <w:rsid w:val="008322BB"/>
    <w:rsid w:val="0083249D"/>
    <w:rsid w:val="00832522"/>
    <w:rsid w:val="0083344B"/>
    <w:rsid w:val="00834C0C"/>
    <w:rsid w:val="0083589F"/>
    <w:rsid w:val="00841F31"/>
    <w:rsid w:val="00842B33"/>
    <w:rsid w:val="008432B3"/>
    <w:rsid w:val="008439CA"/>
    <w:rsid w:val="00843D41"/>
    <w:rsid w:val="0085288D"/>
    <w:rsid w:val="00854224"/>
    <w:rsid w:val="00857307"/>
    <w:rsid w:val="00861ED7"/>
    <w:rsid w:val="00863B8A"/>
    <w:rsid w:val="00864A1A"/>
    <w:rsid w:val="0086589D"/>
    <w:rsid w:val="008659DD"/>
    <w:rsid w:val="008716D2"/>
    <w:rsid w:val="00871972"/>
    <w:rsid w:val="00872A56"/>
    <w:rsid w:val="00872BC4"/>
    <w:rsid w:val="00872DE6"/>
    <w:rsid w:val="0087729C"/>
    <w:rsid w:val="00880680"/>
    <w:rsid w:val="008836D5"/>
    <w:rsid w:val="00891A63"/>
    <w:rsid w:val="008929D2"/>
    <w:rsid w:val="00892D38"/>
    <w:rsid w:val="008933DC"/>
    <w:rsid w:val="008938E9"/>
    <w:rsid w:val="0089550F"/>
    <w:rsid w:val="008A105E"/>
    <w:rsid w:val="008A32A0"/>
    <w:rsid w:val="008A351A"/>
    <w:rsid w:val="008A689E"/>
    <w:rsid w:val="008B3822"/>
    <w:rsid w:val="008C3018"/>
    <w:rsid w:val="008C55DD"/>
    <w:rsid w:val="008C6CB9"/>
    <w:rsid w:val="008C74FE"/>
    <w:rsid w:val="008D0D35"/>
    <w:rsid w:val="008D41DF"/>
    <w:rsid w:val="008D6BB3"/>
    <w:rsid w:val="008E0A60"/>
    <w:rsid w:val="008E0FC0"/>
    <w:rsid w:val="008E4CB6"/>
    <w:rsid w:val="008F00DD"/>
    <w:rsid w:val="008F1FD5"/>
    <w:rsid w:val="008F27F4"/>
    <w:rsid w:val="008F3469"/>
    <w:rsid w:val="008F3F82"/>
    <w:rsid w:val="008F5CE9"/>
    <w:rsid w:val="008F6EB2"/>
    <w:rsid w:val="0090473A"/>
    <w:rsid w:val="009057B5"/>
    <w:rsid w:val="009059AE"/>
    <w:rsid w:val="00910517"/>
    <w:rsid w:val="00911FAC"/>
    <w:rsid w:val="00912B4C"/>
    <w:rsid w:val="00913C05"/>
    <w:rsid w:val="00915213"/>
    <w:rsid w:val="00920B3B"/>
    <w:rsid w:val="00920C34"/>
    <w:rsid w:val="00923A42"/>
    <w:rsid w:val="00926E35"/>
    <w:rsid w:val="00930E5F"/>
    <w:rsid w:val="00932290"/>
    <w:rsid w:val="0093311A"/>
    <w:rsid w:val="00937016"/>
    <w:rsid w:val="00937D56"/>
    <w:rsid w:val="0095276D"/>
    <w:rsid w:val="00952D2D"/>
    <w:rsid w:val="00953DD1"/>
    <w:rsid w:val="009578BB"/>
    <w:rsid w:val="00962B7E"/>
    <w:rsid w:val="00965A7B"/>
    <w:rsid w:val="009675D9"/>
    <w:rsid w:val="0096793E"/>
    <w:rsid w:val="0097099B"/>
    <w:rsid w:val="00970B4A"/>
    <w:rsid w:val="00972DE2"/>
    <w:rsid w:val="009769B9"/>
    <w:rsid w:val="0098003F"/>
    <w:rsid w:val="00981C02"/>
    <w:rsid w:val="00985573"/>
    <w:rsid w:val="00987BBE"/>
    <w:rsid w:val="009919D6"/>
    <w:rsid w:val="00993BCE"/>
    <w:rsid w:val="00994597"/>
    <w:rsid w:val="009955A5"/>
    <w:rsid w:val="009A01ED"/>
    <w:rsid w:val="009A1113"/>
    <w:rsid w:val="009A2C19"/>
    <w:rsid w:val="009A6BD4"/>
    <w:rsid w:val="009B445E"/>
    <w:rsid w:val="009B5EF7"/>
    <w:rsid w:val="009B6D63"/>
    <w:rsid w:val="009C1B5B"/>
    <w:rsid w:val="009C51F7"/>
    <w:rsid w:val="009C64AD"/>
    <w:rsid w:val="009D0B0B"/>
    <w:rsid w:val="009D3D80"/>
    <w:rsid w:val="009D4A23"/>
    <w:rsid w:val="009E0F31"/>
    <w:rsid w:val="009E511B"/>
    <w:rsid w:val="009E65B0"/>
    <w:rsid w:val="009E7861"/>
    <w:rsid w:val="009F0E37"/>
    <w:rsid w:val="009F1BEF"/>
    <w:rsid w:val="009F411B"/>
    <w:rsid w:val="009F4EBA"/>
    <w:rsid w:val="009F503C"/>
    <w:rsid w:val="009F7AC3"/>
    <w:rsid w:val="00A027BB"/>
    <w:rsid w:val="00A02C3B"/>
    <w:rsid w:val="00A060E2"/>
    <w:rsid w:val="00A065CC"/>
    <w:rsid w:val="00A1120F"/>
    <w:rsid w:val="00A1429D"/>
    <w:rsid w:val="00A1438C"/>
    <w:rsid w:val="00A1770A"/>
    <w:rsid w:val="00A22858"/>
    <w:rsid w:val="00A22898"/>
    <w:rsid w:val="00A23FCF"/>
    <w:rsid w:val="00A24479"/>
    <w:rsid w:val="00A24FDC"/>
    <w:rsid w:val="00A25F6E"/>
    <w:rsid w:val="00A275C9"/>
    <w:rsid w:val="00A312FA"/>
    <w:rsid w:val="00A31FE5"/>
    <w:rsid w:val="00A32B20"/>
    <w:rsid w:val="00A3479D"/>
    <w:rsid w:val="00A34EDE"/>
    <w:rsid w:val="00A409BE"/>
    <w:rsid w:val="00A5119D"/>
    <w:rsid w:val="00A62217"/>
    <w:rsid w:val="00A64602"/>
    <w:rsid w:val="00A64F69"/>
    <w:rsid w:val="00A65B40"/>
    <w:rsid w:val="00A70E4D"/>
    <w:rsid w:val="00A71AA5"/>
    <w:rsid w:val="00A72B77"/>
    <w:rsid w:val="00A73A2E"/>
    <w:rsid w:val="00A7460C"/>
    <w:rsid w:val="00A76CC0"/>
    <w:rsid w:val="00A77B4A"/>
    <w:rsid w:val="00A827C5"/>
    <w:rsid w:val="00A82A18"/>
    <w:rsid w:val="00A83FFA"/>
    <w:rsid w:val="00A84938"/>
    <w:rsid w:val="00A94064"/>
    <w:rsid w:val="00A941F0"/>
    <w:rsid w:val="00A9544E"/>
    <w:rsid w:val="00A96409"/>
    <w:rsid w:val="00AA0572"/>
    <w:rsid w:val="00AA7559"/>
    <w:rsid w:val="00AB0FA1"/>
    <w:rsid w:val="00AB1B03"/>
    <w:rsid w:val="00AB1EC0"/>
    <w:rsid w:val="00AB4F28"/>
    <w:rsid w:val="00AC326B"/>
    <w:rsid w:val="00AC5B66"/>
    <w:rsid w:val="00AD03E4"/>
    <w:rsid w:val="00AD2522"/>
    <w:rsid w:val="00AE06C2"/>
    <w:rsid w:val="00AE19C6"/>
    <w:rsid w:val="00AE1F11"/>
    <w:rsid w:val="00AE2B87"/>
    <w:rsid w:val="00AF17A2"/>
    <w:rsid w:val="00AF34F1"/>
    <w:rsid w:val="00AF37DB"/>
    <w:rsid w:val="00B0054E"/>
    <w:rsid w:val="00B018C8"/>
    <w:rsid w:val="00B02E6B"/>
    <w:rsid w:val="00B04E92"/>
    <w:rsid w:val="00B05993"/>
    <w:rsid w:val="00B14398"/>
    <w:rsid w:val="00B155E7"/>
    <w:rsid w:val="00B166DF"/>
    <w:rsid w:val="00B17AA2"/>
    <w:rsid w:val="00B20698"/>
    <w:rsid w:val="00B2095F"/>
    <w:rsid w:val="00B214A2"/>
    <w:rsid w:val="00B268AC"/>
    <w:rsid w:val="00B279EA"/>
    <w:rsid w:val="00B3026B"/>
    <w:rsid w:val="00B32B09"/>
    <w:rsid w:val="00B32E33"/>
    <w:rsid w:val="00B34171"/>
    <w:rsid w:val="00B34393"/>
    <w:rsid w:val="00B354A0"/>
    <w:rsid w:val="00B36126"/>
    <w:rsid w:val="00B37220"/>
    <w:rsid w:val="00B465F3"/>
    <w:rsid w:val="00B47FEC"/>
    <w:rsid w:val="00B50CB9"/>
    <w:rsid w:val="00B50EC0"/>
    <w:rsid w:val="00B51487"/>
    <w:rsid w:val="00B5207E"/>
    <w:rsid w:val="00B5360C"/>
    <w:rsid w:val="00B54D70"/>
    <w:rsid w:val="00B54F7C"/>
    <w:rsid w:val="00B56409"/>
    <w:rsid w:val="00B6491A"/>
    <w:rsid w:val="00B65129"/>
    <w:rsid w:val="00B6698D"/>
    <w:rsid w:val="00B66BE1"/>
    <w:rsid w:val="00B71F65"/>
    <w:rsid w:val="00B73156"/>
    <w:rsid w:val="00B734BB"/>
    <w:rsid w:val="00B74D7F"/>
    <w:rsid w:val="00B752DB"/>
    <w:rsid w:val="00B75500"/>
    <w:rsid w:val="00B7631B"/>
    <w:rsid w:val="00B81C32"/>
    <w:rsid w:val="00B9498E"/>
    <w:rsid w:val="00B95B16"/>
    <w:rsid w:val="00B97542"/>
    <w:rsid w:val="00BA362D"/>
    <w:rsid w:val="00BA3AF1"/>
    <w:rsid w:val="00BA6363"/>
    <w:rsid w:val="00BB57EF"/>
    <w:rsid w:val="00BC19FD"/>
    <w:rsid w:val="00BC1D65"/>
    <w:rsid w:val="00BC37CF"/>
    <w:rsid w:val="00BC5873"/>
    <w:rsid w:val="00BD151B"/>
    <w:rsid w:val="00BD77FA"/>
    <w:rsid w:val="00BE198F"/>
    <w:rsid w:val="00BE327E"/>
    <w:rsid w:val="00BE71B1"/>
    <w:rsid w:val="00BF1D7D"/>
    <w:rsid w:val="00BF23CF"/>
    <w:rsid w:val="00BF283A"/>
    <w:rsid w:val="00BF2AA2"/>
    <w:rsid w:val="00BF3DFD"/>
    <w:rsid w:val="00BF6E44"/>
    <w:rsid w:val="00C01410"/>
    <w:rsid w:val="00C05540"/>
    <w:rsid w:val="00C15B78"/>
    <w:rsid w:val="00C21EFB"/>
    <w:rsid w:val="00C25073"/>
    <w:rsid w:val="00C2694D"/>
    <w:rsid w:val="00C27695"/>
    <w:rsid w:val="00C32A3C"/>
    <w:rsid w:val="00C364DA"/>
    <w:rsid w:val="00C36A9E"/>
    <w:rsid w:val="00C37668"/>
    <w:rsid w:val="00C37C01"/>
    <w:rsid w:val="00C45E46"/>
    <w:rsid w:val="00C5091E"/>
    <w:rsid w:val="00C55602"/>
    <w:rsid w:val="00C608EC"/>
    <w:rsid w:val="00C6306F"/>
    <w:rsid w:val="00C65D41"/>
    <w:rsid w:val="00C7040C"/>
    <w:rsid w:val="00C75516"/>
    <w:rsid w:val="00C7613D"/>
    <w:rsid w:val="00C77838"/>
    <w:rsid w:val="00C77954"/>
    <w:rsid w:val="00C77FCC"/>
    <w:rsid w:val="00C87CE5"/>
    <w:rsid w:val="00C92BFE"/>
    <w:rsid w:val="00C9538B"/>
    <w:rsid w:val="00CA1356"/>
    <w:rsid w:val="00CA28E1"/>
    <w:rsid w:val="00CA3C84"/>
    <w:rsid w:val="00CA54D4"/>
    <w:rsid w:val="00CB1D93"/>
    <w:rsid w:val="00CB4856"/>
    <w:rsid w:val="00CB5C78"/>
    <w:rsid w:val="00CC4159"/>
    <w:rsid w:val="00CC5F24"/>
    <w:rsid w:val="00CC61A0"/>
    <w:rsid w:val="00CC6530"/>
    <w:rsid w:val="00CC6916"/>
    <w:rsid w:val="00CD06F0"/>
    <w:rsid w:val="00CD165D"/>
    <w:rsid w:val="00CD1DE9"/>
    <w:rsid w:val="00CD3226"/>
    <w:rsid w:val="00CD6063"/>
    <w:rsid w:val="00CE2431"/>
    <w:rsid w:val="00CE40C0"/>
    <w:rsid w:val="00CE5107"/>
    <w:rsid w:val="00CE589B"/>
    <w:rsid w:val="00CF4980"/>
    <w:rsid w:val="00CF6C8C"/>
    <w:rsid w:val="00D002E5"/>
    <w:rsid w:val="00D019C4"/>
    <w:rsid w:val="00D033D8"/>
    <w:rsid w:val="00D05B12"/>
    <w:rsid w:val="00D05CF5"/>
    <w:rsid w:val="00D0708B"/>
    <w:rsid w:val="00D07358"/>
    <w:rsid w:val="00D07896"/>
    <w:rsid w:val="00D07C64"/>
    <w:rsid w:val="00D1466A"/>
    <w:rsid w:val="00D16128"/>
    <w:rsid w:val="00D17D70"/>
    <w:rsid w:val="00D247B8"/>
    <w:rsid w:val="00D24853"/>
    <w:rsid w:val="00D24900"/>
    <w:rsid w:val="00D30DEC"/>
    <w:rsid w:val="00D3430E"/>
    <w:rsid w:val="00D363B4"/>
    <w:rsid w:val="00D370D4"/>
    <w:rsid w:val="00D37405"/>
    <w:rsid w:val="00D41077"/>
    <w:rsid w:val="00D42B17"/>
    <w:rsid w:val="00D4367D"/>
    <w:rsid w:val="00D450AD"/>
    <w:rsid w:val="00D603AB"/>
    <w:rsid w:val="00D62A14"/>
    <w:rsid w:val="00D637B2"/>
    <w:rsid w:val="00D63D5C"/>
    <w:rsid w:val="00D6631C"/>
    <w:rsid w:val="00D67185"/>
    <w:rsid w:val="00D7078E"/>
    <w:rsid w:val="00D70E2B"/>
    <w:rsid w:val="00D76C5F"/>
    <w:rsid w:val="00D76CD7"/>
    <w:rsid w:val="00D90807"/>
    <w:rsid w:val="00D91894"/>
    <w:rsid w:val="00D943FD"/>
    <w:rsid w:val="00D9460F"/>
    <w:rsid w:val="00D975D0"/>
    <w:rsid w:val="00D97E21"/>
    <w:rsid w:val="00DA336B"/>
    <w:rsid w:val="00DA5EC9"/>
    <w:rsid w:val="00DB00E0"/>
    <w:rsid w:val="00DB2C87"/>
    <w:rsid w:val="00DB4440"/>
    <w:rsid w:val="00DB5355"/>
    <w:rsid w:val="00DC1596"/>
    <w:rsid w:val="00DC18F8"/>
    <w:rsid w:val="00DC2306"/>
    <w:rsid w:val="00DC2C47"/>
    <w:rsid w:val="00DC4634"/>
    <w:rsid w:val="00DC5E0D"/>
    <w:rsid w:val="00DC7085"/>
    <w:rsid w:val="00DD1DF1"/>
    <w:rsid w:val="00DD26C5"/>
    <w:rsid w:val="00DD39CD"/>
    <w:rsid w:val="00DD5214"/>
    <w:rsid w:val="00DD7973"/>
    <w:rsid w:val="00DE3131"/>
    <w:rsid w:val="00DE4B53"/>
    <w:rsid w:val="00DE602B"/>
    <w:rsid w:val="00DE6836"/>
    <w:rsid w:val="00DF0A80"/>
    <w:rsid w:val="00DF1581"/>
    <w:rsid w:val="00DF5DE1"/>
    <w:rsid w:val="00DF723E"/>
    <w:rsid w:val="00DF7564"/>
    <w:rsid w:val="00DF7ADF"/>
    <w:rsid w:val="00E00FE8"/>
    <w:rsid w:val="00E01657"/>
    <w:rsid w:val="00E01D59"/>
    <w:rsid w:val="00E03543"/>
    <w:rsid w:val="00E07D41"/>
    <w:rsid w:val="00E11312"/>
    <w:rsid w:val="00E1431C"/>
    <w:rsid w:val="00E15234"/>
    <w:rsid w:val="00E1601E"/>
    <w:rsid w:val="00E1735F"/>
    <w:rsid w:val="00E205FD"/>
    <w:rsid w:val="00E26326"/>
    <w:rsid w:val="00E270B2"/>
    <w:rsid w:val="00E270C6"/>
    <w:rsid w:val="00E31533"/>
    <w:rsid w:val="00E329FB"/>
    <w:rsid w:val="00E35E4E"/>
    <w:rsid w:val="00E36D6D"/>
    <w:rsid w:val="00E40C9A"/>
    <w:rsid w:val="00E41F27"/>
    <w:rsid w:val="00E43BED"/>
    <w:rsid w:val="00E43D03"/>
    <w:rsid w:val="00E5176F"/>
    <w:rsid w:val="00E531BA"/>
    <w:rsid w:val="00E53257"/>
    <w:rsid w:val="00E5692B"/>
    <w:rsid w:val="00E641E3"/>
    <w:rsid w:val="00E71D0D"/>
    <w:rsid w:val="00E7243F"/>
    <w:rsid w:val="00E80001"/>
    <w:rsid w:val="00E80171"/>
    <w:rsid w:val="00E81E1F"/>
    <w:rsid w:val="00E838C2"/>
    <w:rsid w:val="00E87408"/>
    <w:rsid w:val="00E87546"/>
    <w:rsid w:val="00E90537"/>
    <w:rsid w:val="00E9200D"/>
    <w:rsid w:val="00E94F79"/>
    <w:rsid w:val="00EA1245"/>
    <w:rsid w:val="00EA1D24"/>
    <w:rsid w:val="00EA65AB"/>
    <w:rsid w:val="00EB087E"/>
    <w:rsid w:val="00EB1E37"/>
    <w:rsid w:val="00EB6D22"/>
    <w:rsid w:val="00EB737F"/>
    <w:rsid w:val="00EC1D49"/>
    <w:rsid w:val="00EC3888"/>
    <w:rsid w:val="00EC4F05"/>
    <w:rsid w:val="00ED5440"/>
    <w:rsid w:val="00ED7351"/>
    <w:rsid w:val="00EE067C"/>
    <w:rsid w:val="00EE1C97"/>
    <w:rsid w:val="00EE287A"/>
    <w:rsid w:val="00EE3074"/>
    <w:rsid w:val="00EE7601"/>
    <w:rsid w:val="00EE7890"/>
    <w:rsid w:val="00EF0B4C"/>
    <w:rsid w:val="00EF2C11"/>
    <w:rsid w:val="00EF3580"/>
    <w:rsid w:val="00EF519C"/>
    <w:rsid w:val="00EF69C9"/>
    <w:rsid w:val="00EF6DAC"/>
    <w:rsid w:val="00F014D6"/>
    <w:rsid w:val="00F0374B"/>
    <w:rsid w:val="00F04A48"/>
    <w:rsid w:val="00F1534D"/>
    <w:rsid w:val="00F15CA9"/>
    <w:rsid w:val="00F20C20"/>
    <w:rsid w:val="00F210E6"/>
    <w:rsid w:val="00F23F7E"/>
    <w:rsid w:val="00F24AAC"/>
    <w:rsid w:val="00F257BE"/>
    <w:rsid w:val="00F31B09"/>
    <w:rsid w:val="00F369CB"/>
    <w:rsid w:val="00F36DE7"/>
    <w:rsid w:val="00F37CAE"/>
    <w:rsid w:val="00F42C92"/>
    <w:rsid w:val="00F43B8E"/>
    <w:rsid w:val="00F456EF"/>
    <w:rsid w:val="00F46D15"/>
    <w:rsid w:val="00F5030A"/>
    <w:rsid w:val="00F556E7"/>
    <w:rsid w:val="00F567E5"/>
    <w:rsid w:val="00F56E19"/>
    <w:rsid w:val="00F578EC"/>
    <w:rsid w:val="00F57A91"/>
    <w:rsid w:val="00F63F8F"/>
    <w:rsid w:val="00F64EC5"/>
    <w:rsid w:val="00F655CC"/>
    <w:rsid w:val="00F709A8"/>
    <w:rsid w:val="00F71C07"/>
    <w:rsid w:val="00F729D6"/>
    <w:rsid w:val="00F80602"/>
    <w:rsid w:val="00F80FEF"/>
    <w:rsid w:val="00F829C0"/>
    <w:rsid w:val="00F85ED7"/>
    <w:rsid w:val="00F864EC"/>
    <w:rsid w:val="00F9042F"/>
    <w:rsid w:val="00F90B40"/>
    <w:rsid w:val="00F93470"/>
    <w:rsid w:val="00F9615F"/>
    <w:rsid w:val="00F97C4A"/>
    <w:rsid w:val="00FA1DFB"/>
    <w:rsid w:val="00FA2477"/>
    <w:rsid w:val="00FA3DF8"/>
    <w:rsid w:val="00FB1D61"/>
    <w:rsid w:val="00FB2C8A"/>
    <w:rsid w:val="00FB3ADC"/>
    <w:rsid w:val="00FB7879"/>
    <w:rsid w:val="00FC39FE"/>
    <w:rsid w:val="00FC6F63"/>
    <w:rsid w:val="00FD181A"/>
    <w:rsid w:val="00FD49EB"/>
    <w:rsid w:val="00FE003E"/>
    <w:rsid w:val="00FE13A2"/>
    <w:rsid w:val="00FE6999"/>
    <w:rsid w:val="00FE7547"/>
    <w:rsid w:val="00FE77AA"/>
    <w:rsid w:val="00FF281B"/>
    <w:rsid w:val="00FF2D5A"/>
    <w:rsid w:val="00FF3DC0"/>
    <w:rsid w:val="00FF47EF"/>
    <w:rsid w:val="00FF7CB8"/>
    <w:rsid w:val="01086C64"/>
    <w:rsid w:val="011078C7"/>
    <w:rsid w:val="011949CD"/>
    <w:rsid w:val="01207B0A"/>
    <w:rsid w:val="01253372"/>
    <w:rsid w:val="01303AC5"/>
    <w:rsid w:val="01317F69"/>
    <w:rsid w:val="013730A5"/>
    <w:rsid w:val="013E2686"/>
    <w:rsid w:val="014B08FF"/>
    <w:rsid w:val="014E3493"/>
    <w:rsid w:val="014E38E8"/>
    <w:rsid w:val="01527EDF"/>
    <w:rsid w:val="017B1407"/>
    <w:rsid w:val="017F400A"/>
    <w:rsid w:val="01891B53"/>
    <w:rsid w:val="019404F8"/>
    <w:rsid w:val="01947205"/>
    <w:rsid w:val="01AA3877"/>
    <w:rsid w:val="01B14C06"/>
    <w:rsid w:val="01B82438"/>
    <w:rsid w:val="01C42B8B"/>
    <w:rsid w:val="01D31020"/>
    <w:rsid w:val="01E90844"/>
    <w:rsid w:val="01F62F61"/>
    <w:rsid w:val="02092C94"/>
    <w:rsid w:val="021234BD"/>
    <w:rsid w:val="021B4775"/>
    <w:rsid w:val="02327432"/>
    <w:rsid w:val="02462677"/>
    <w:rsid w:val="0264611C"/>
    <w:rsid w:val="02661E94"/>
    <w:rsid w:val="02691984"/>
    <w:rsid w:val="027433E3"/>
    <w:rsid w:val="02816CCE"/>
    <w:rsid w:val="02AE55E9"/>
    <w:rsid w:val="02BC5324"/>
    <w:rsid w:val="02C32E43"/>
    <w:rsid w:val="02D068C5"/>
    <w:rsid w:val="02D50DC8"/>
    <w:rsid w:val="02DC3F04"/>
    <w:rsid w:val="02E20FEB"/>
    <w:rsid w:val="02E66B31"/>
    <w:rsid w:val="03092820"/>
    <w:rsid w:val="03231B33"/>
    <w:rsid w:val="03253AFD"/>
    <w:rsid w:val="03321D76"/>
    <w:rsid w:val="03327FC8"/>
    <w:rsid w:val="034A70C0"/>
    <w:rsid w:val="035179D4"/>
    <w:rsid w:val="03575C81"/>
    <w:rsid w:val="035919AC"/>
    <w:rsid w:val="03624ABC"/>
    <w:rsid w:val="03675F31"/>
    <w:rsid w:val="036D7252"/>
    <w:rsid w:val="037E4FBC"/>
    <w:rsid w:val="03936CB9"/>
    <w:rsid w:val="039E11BA"/>
    <w:rsid w:val="03B60BF9"/>
    <w:rsid w:val="03B86720"/>
    <w:rsid w:val="03B92498"/>
    <w:rsid w:val="03BB6210"/>
    <w:rsid w:val="03BC7892"/>
    <w:rsid w:val="03C33F93"/>
    <w:rsid w:val="03C54999"/>
    <w:rsid w:val="03CA2420"/>
    <w:rsid w:val="03CC3F79"/>
    <w:rsid w:val="03D35307"/>
    <w:rsid w:val="03F31506"/>
    <w:rsid w:val="04025252"/>
    <w:rsid w:val="040F3E66"/>
    <w:rsid w:val="041E70BC"/>
    <w:rsid w:val="04446205"/>
    <w:rsid w:val="04694FAB"/>
    <w:rsid w:val="04695C6C"/>
    <w:rsid w:val="046B19E4"/>
    <w:rsid w:val="047F0FEB"/>
    <w:rsid w:val="04804BE5"/>
    <w:rsid w:val="04A05C73"/>
    <w:rsid w:val="04A5262D"/>
    <w:rsid w:val="04B6445A"/>
    <w:rsid w:val="04BC5D9C"/>
    <w:rsid w:val="04BD4B21"/>
    <w:rsid w:val="04C70F47"/>
    <w:rsid w:val="04F274DA"/>
    <w:rsid w:val="04F55751"/>
    <w:rsid w:val="04F96FF0"/>
    <w:rsid w:val="050634BB"/>
    <w:rsid w:val="05092FAB"/>
    <w:rsid w:val="050D4849"/>
    <w:rsid w:val="052B1173"/>
    <w:rsid w:val="0543056B"/>
    <w:rsid w:val="05471F86"/>
    <w:rsid w:val="05502988"/>
    <w:rsid w:val="055B4938"/>
    <w:rsid w:val="055F2BCB"/>
    <w:rsid w:val="0580326D"/>
    <w:rsid w:val="059636B8"/>
    <w:rsid w:val="059D0625"/>
    <w:rsid w:val="05AA2F4D"/>
    <w:rsid w:val="05AD532C"/>
    <w:rsid w:val="05AF36B3"/>
    <w:rsid w:val="05B178CA"/>
    <w:rsid w:val="05B72A07"/>
    <w:rsid w:val="05BD1C9A"/>
    <w:rsid w:val="05DE7F94"/>
    <w:rsid w:val="05E85DE2"/>
    <w:rsid w:val="05EC26B0"/>
    <w:rsid w:val="05F11A75"/>
    <w:rsid w:val="061E65E2"/>
    <w:rsid w:val="06257970"/>
    <w:rsid w:val="063302DF"/>
    <w:rsid w:val="0639166E"/>
    <w:rsid w:val="063F7FC7"/>
    <w:rsid w:val="06473D8B"/>
    <w:rsid w:val="0660078A"/>
    <w:rsid w:val="06613239"/>
    <w:rsid w:val="0662756F"/>
    <w:rsid w:val="066623C4"/>
    <w:rsid w:val="06811A5F"/>
    <w:rsid w:val="06860357"/>
    <w:rsid w:val="06862B05"/>
    <w:rsid w:val="068A3C77"/>
    <w:rsid w:val="06930D7E"/>
    <w:rsid w:val="06A30473"/>
    <w:rsid w:val="06AA3375"/>
    <w:rsid w:val="06AD6F44"/>
    <w:rsid w:val="06AE0477"/>
    <w:rsid w:val="06B31420"/>
    <w:rsid w:val="06CC4290"/>
    <w:rsid w:val="07500A1D"/>
    <w:rsid w:val="07603356"/>
    <w:rsid w:val="07723089"/>
    <w:rsid w:val="07750484"/>
    <w:rsid w:val="07837045"/>
    <w:rsid w:val="07953417"/>
    <w:rsid w:val="07972AF0"/>
    <w:rsid w:val="07983F38"/>
    <w:rsid w:val="07A86AAB"/>
    <w:rsid w:val="07AA45D1"/>
    <w:rsid w:val="07AF1BE8"/>
    <w:rsid w:val="07B23486"/>
    <w:rsid w:val="07B90CB8"/>
    <w:rsid w:val="07C35693"/>
    <w:rsid w:val="07CA4C73"/>
    <w:rsid w:val="07EF4411"/>
    <w:rsid w:val="07FE66CB"/>
    <w:rsid w:val="081859DF"/>
    <w:rsid w:val="081D7FA8"/>
    <w:rsid w:val="0824366F"/>
    <w:rsid w:val="08257F87"/>
    <w:rsid w:val="08275C22"/>
    <w:rsid w:val="08332819"/>
    <w:rsid w:val="083363BC"/>
    <w:rsid w:val="08337AC1"/>
    <w:rsid w:val="083640B7"/>
    <w:rsid w:val="08584C96"/>
    <w:rsid w:val="086C5D2B"/>
    <w:rsid w:val="0874698D"/>
    <w:rsid w:val="08762705"/>
    <w:rsid w:val="088A6040"/>
    <w:rsid w:val="08A41020"/>
    <w:rsid w:val="08A70B11"/>
    <w:rsid w:val="08B80F70"/>
    <w:rsid w:val="08C6368D"/>
    <w:rsid w:val="09000221"/>
    <w:rsid w:val="090C3459"/>
    <w:rsid w:val="090D306A"/>
    <w:rsid w:val="094840A2"/>
    <w:rsid w:val="09555E2F"/>
    <w:rsid w:val="09815806"/>
    <w:rsid w:val="09862E1C"/>
    <w:rsid w:val="09AB4631"/>
    <w:rsid w:val="09B74D83"/>
    <w:rsid w:val="09D43B87"/>
    <w:rsid w:val="09D6733E"/>
    <w:rsid w:val="09D92F4C"/>
    <w:rsid w:val="09DE4A06"/>
    <w:rsid w:val="09ED69F7"/>
    <w:rsid w:val="09F45FD8"/>
    <w:rsid w:val="0A044693"/>
    <w:rsid w:val="0A0501E5"/>
    <w:rsid w:val="0A154394"/>
    <w:rsid w:val="0A171CC6"/>
    <w:rsid w:val="0A4505CB"/>
    <w:rsid w:val="0A54608B"/>
    <w:rsid w:val="0A5627EE"/>
    <w:rsid w:val="0A604F22"/>
    <w:rsid w:val="0A6A629A"/>
    <w:rsid w:val="0A6D2B20"/>
    <w:rsid w:val="0A961435"/>
    <w:rsid w:val="0A9E5F43"/>
    <w:rsid w:val="0AA26A8E"/>
    <w:rsid w:val="0AD55E09"/>
    <w:rsid w:val="0ADC6D6F"/>
    <w:rsid w:val="0AE7556B"/>
    <w:rsid w:val="0AF43AE9"/>
    <w:rsid w:val="0B0D7E01"/>
    <w:rsid w:val="0B1701D0"/>
    <w:rsid w:val="0B1A060C"/>
    <w:rsid w:val="0B1D330C"/>
    <w:rsid w:val="0B226B74"/>
    <w:rsid w:val="0B495EAF"/>
    <w:rsid w:val="0B574A70"/>
    <w:rsid w:val="0B6B4077"/>
    <w:rsid w:val="0B6D6042"/>
    <w:rsid w:val="0B6E1DBA"/>
    <w:rsid w:val="0B756CA4"/>
    <w:rsid w:val="0B81389B"/>
    <w:rsid w:val="0BB772BD"/>
    <w:rsid w:val="0BCB720C"/>
    <w:rsid w:val="0BCF2858"/>
    <w:rsid w:val="0BD936D7"/>
    <w:rsid w:val="0BDC6D23"/>
    <w:rsid w:val="0BE502CE"/>
    <w:rsid w:val="0C3A3E18"/>
    <w:rsid w:val="0C3C77C2"/>
    <w:rsid w:val="0C410101"/>
    <w:rsid w:val="0C434FF4"/>
    <w:rsid w:val="0C450D6C"/>
    <w:rsid w:val="0C4F1BEB"/>
    <w:rsid w:val="0C4F5747"/>
    <w:rsid w:val="0C566AD6"/>
    <w:rsid w:val="0C774C9E"/>
    <w:rsid w:val="0C81702D"/>
    <w:rsid w:val="0C874EE1"/>
    <w:rsid w:val="0C932B21"/>
    <w:rsid w:val="0C970E9C"/>
    <w:rsid w:val="0CA43CE5"/>
    <w:rsid w:val="0CA5180B"/>
    <w:rsid w:val="0CAA6E21"/>
    <w:rsid w:val="0CB101B0"/>
    <w:rsid w:val="0CB16402"/>
    <w:rsid w:val="0CB437FC"/>
    <w:rsid w:val="0CB47CA0"/>
    <w:rsid w:val="0CBB102F"/>
    <w:rsid w:val="0CFB767D"/>
    <w:rsid w:val="0D076022"/>
    <w:rsid w:val="0D2554AD"/>
    <w:rsid w:val="0D350DE1"/>
    <w:rsid w:val="0D4B4161"/>
    <w:rsid w:val="0D690A8B"/>
    <w:rsid w:val="0D6D7B31"/>
    <w:rsid w:val="0D782A7C"/>
    <w:rsid w:val="0D7F7652"/>
    <w:rsid w:val="0D892CEA"/>
    <w:rsid w:val="0D8E5F16"/>
    <w:rsid w:val="0D9267A4"/>
    <w:rsid w:val="0DA0554B"/>
    <w:rsid w:val="0DA27AF9"/>
    <w:rsid w:val="0DA50DBC"/>
    <w:rsid w:val="0DC83A03"/>
    <w:rsid w:val="0DD26630"/>
    <w:rsid w:val="0DDA7292"/>
    <w:rsid w:val="0DE801A6"/>
    <w:rsid w:val="0DF93BBD"/>
    <w:rsid w:val="0E0802A4"/>
    <w:rsid w:val="0E0D1416"/>
    <w:rsid w:val="0E27060B"/>
    <w:rsid w:val="0E2B0A69"/>
    <w:rsid w:val="0E370B89"/>
    <w:rsid w:val="0E721BC1"/>
    <w:rsid w:val="0E7476E7"/>
    <w:rsid w:val="0E7A5484"/>
    <w:rsid w:val="0EA24254"/>
    <w:rsid w:val="0EB83A78"/>
    <w:rsid w:val="0EB84C8D"/>
    <w:rsid w:val="0ECC12D1"/>
    <w:rsid w:val="0EDB59B8"/>
    <w:rsid w:val="0EEF3211"/>
    <w:rsid w:val="0EF23F2A"/>
    <w:rsid w:val="0EFB3964"/>
    <w:rsid w:val="0F0547E3"/>
    <w:rsid w:val="0F1B7B63"/>
    <w:rsid w:val="0F3330FE"/>
    <w:rsid w:val="0F3A0CD9"/>
    <w:rsid w:val="0F3D21CF"/>
    <w:rsid w:val="0F3D5D2B"/>
    <w:rsid w:val="0F655282"/>
    <w:rsid w:val="0F6B6D3C"/>
    <w:rsid w:val="0F712797"/>
    <w:rsid w:val="0F8C6CB2"/>
    <w:rsid w:val="0FA67D74"/>
    <w:rsid w:val="0FA83AEC"/>
    <w:rsid w:val="0FB26719"/>
    <w:rsid w:val="0FB707DF"/>
    <w:rsid w:val="0FBD187A"/>
    <w:rsid w:val="0FC7596C"/>
    <w:rsid w:val="0FDA5C70"/>
    <w:rsid w:val="10030D22"/>
    <w:rsid w:val="10086339"/>
    <w:rsid w:val="10240C99"/>
    <w:rsid w:val="10284C2D"/>
    <w:rsid w:val="102A6B5E"/>
    <w:rsid w:val="102D5D9F"/>
    <w:rsid w:val="103C57E5"/>
    <w:rsid w:val="10480E2B"/>
    <w:rsid w:val="104F21BA"/>
    <w:rsid w:val="10802373"/>
    <w:rsid w:val="10A32505"/>
    <w:rsid w:val="10A36062"/>
    <w:rsid w:val="10AC13BA"/>
    <w:rsid w:val="10B464C1"/>
    <w:rsid w:val="10B77D5F"/>
    <w:rsid w:val="10BD35C7"/>
    <w:rsid w:val="10E5667A"/>
    <w:rsid w:val="10E723F2"/>
    <w:rsid w:val="10EC17B7"/>
    <w:rsid w:val="10F7429D"/>
    <w:rsid w:val="110A069A"/>
    <w:rsid w:val="1125116C"/>
    <w:rsid w:val="11366ED6"/>
    <w:rsid w:val="116A4DD1"/>
    <w:rsid w:val="116E48C1"/>
    <w:rsid w:val="116F3D82"/>
    <w:rsid w:val="11763776"/>
    <w:rsid w:val="117874EE"/>
    <w:rsid w:val="118916FB"/>
    <w:rsid w:val="11911E2E"/>
    <w:rsid w:val="119F0F1F"/>
    <w:rsid w:val="11BB459F"/>
    <w:rsid w:val="11DC7A7D"/>
    <w:rsid w:val="11ED1C8A"/>
    <w:rsid w:val="11F33019"/>
    <w:rsid w:val="1212349F"/>
    <w:rsid w:val="12142C25"/>
    <w:rsid w:val="12266F4A"/>
    <w:rsid w:val="122B630F"/>
    <w:rsid w:val="12486EC1"/>
    <w:rsid w:val="12577104"/>
    <w:rsid w:val="12665599"/>
    <w:rsid w:val="127D453A"/>
    <w:rsid w:val="12806A64"/>
    <w:rsid w:val="129220FD"/>
    <w:rsid w:val="12A8795F"/>
    <w:rsid w:val="12AA0077"/>
    <w:rsid w:val="12B02CB8"/>
    <w:rsid w:val="12B409FA"/>
    <w:rsid w:val="12C70D3C"/>
    <w:rsid w:val="12CD1ABC"/>
    <w:rsid w:val="12D13DD4"/>
    <w:rsid w:val="12E64C41"/>
    <w:rsid w:val="12F37155"/>
    <w:rsid w:val="12FB2AB5"/>
    <w:rsid w:val="12FC701A"/>
    <w:rsid w:val="13060D26"/>
    <w:rsid w:val="13076D7C"/>
    <w:rsid w:val="130A686C"/>
    <w:rsid w:val="13117BFA"/>
    <w:rsid w:val="13581385"/>
    <w:rsid w:val="136C3083"/>
    <w:rsid w:val="13720BF4"/>
    <w:rsid w:val="137361BF"/>
    <w:rsid w:val="137633A8"/>
    <w:rsid w:val="137A50AD"/>
    <w:rsid w:val="13B87BDC"/>
    <w:rsid w:val="13C91FE9"/>
    <w:rsid w:val="13D12EE6"/>
    <w:rsid w:val="13D80718"/>
    <w:rsid w:val="13DF1AA7"/>
    <w:rsid w:val="13E1581F"/>
    <w:rsid w:val="14137EF4"/>
    <w:rsid w:val="142B0848"/>
    <w:rsid w:val="14506500"/>
    <w:rsid w:val="145664E6"/>
    <w:rsid w:val="145C30F7"/>
    <w:rsid w:val="146E6986"/>
    <w:rsid w:val="14861F22"/>
    <w:rsid w:val="14956609"/>
    <w:rsid w:val="14BE09E0"/>
    <w:rsid w:val="14E530ED"/>
    <w:rsid w:val="14F3101C"/>
    <w:rsid w:val="1517701E"/>
    <w:rsid w:val="151E215B"/>
    <w:rsid w:val="153100E0"/>
    <w:rsid w:val="154047C7"/>
    <w:rsid w:val="15453B8B"/>
    <w:rsid w:val="155041B0"/>
    <w:rsid w:val="1557566D"/>
    <w:rsid w:val="15A00DC2"/>
    <w:rsid w:val="15A22416"/>
    <w:rsid w:val="15B42D81"/>
    <w:rsid w:val="15DD3DC4"/>
    <w:rsid w:val="15E213DA"/>
    <w:rsid w:val="15E92769"/>
    <w:rsid w:val="16092E0B"/>
    <w:rsid w:val="161517B0"/>
    <w:rsid w:val="161D2412"/>
    <w:rsid w:val="16465E0D"/>
    <w:rsid w:val="164D0F49"/>
    <w:rsid w:val="165D4F05"/>
    <w:rsid w:val="166D15EC"/>
    <w:rsid w:val="166F4D71"/>
    <w:rsid w:val="167A5AB7"/>
    <w:rsid w:val="167C70F8"/>
    <w:rsid w:val="168C0BC1"/>
    <w:rsid w:val="16970417"/>
    <w:rsid w:val="169D3553"/>
    <w:rsid w:val="16D026BB"/>
    <w:rsid w:val="16F21AF1"/>
    <w:rsid w:val="17033CFE"/>
    <w:rsid w:val="17171557"/>
    <w:rsid w:val="17255A22"/>
    <w:rsid w:val="173914CE"/>
    <w:rsid w:val="173E0892"/>
    <w:rsid w:val="17514A69"/>
    <w:rsid w:val="17563E2E"/>
    <w:rsid w:val="176D1177"/>
    <w:rsid w:val="17797B1C"/>
    <w:rsid w:val="178D5376"/>
    <w:rsid w:val="1798334E"/>
    <w:rsid w:val="179C380B"/>
    <w:rsid w:val="17A032FB"/>
    <w:rsid w:val="17A133F8"/>
    <w:rsid w:val="17A27073"/>
    <w:rsid w:val="17A80401"/>
    <w:rsid w:val="17AA4179"/>
    <w:rsid w:val="17BB1EE3"/>
    <w:rsid w:val="17CF3BE0"/>
    <w:rsid w:val="17E72CD8"/>
    <w:rsid w:val="17F41CE7"/>
    <w:rsid w:val="17F81389"/>
    <w:rsid w:val="17FD699F"/>
    <w:rsid w:val="180E64B6"/>
    <w:rsid w:val="18133ACD"/>
    <w:rsid w:val="182932F0"/>
    <w:rsid w:val="18352A02"/>
    <w:rsid w:val="184B770B"/>
    <w:rsid w:val="186345A3"/>
    <w:rsid w:val="18690202"/>
    <w:rsid w:val="18694035"/>
    <w:rsid w:val="18722EE9"/>
    <w:rsid w:val="187D53EA"/>
    <w:rsid w:val="187F5606"/>
    <w:rsid w:val="1888270D"/>
    <w:rsid w:val="1895584B"/>
    <w:rsid w:val="18B51028"/>
    <w:rsid w:val="18E30C2C"/>
    <w:rsid w:val="18E45469"/>
    <w:rsid w:val="19197809"/>
    <w:rsid w:val="19255993"/>
    <w:rsid w:val="192F2B88"/>
    <w:rsid w:val="193C6A19"/>
    <w:rsid w:val="19404D95"/>
    <w:rsid w:val="195F2DDD"/>
    <w:rsid w:val="1966231E"/>
    <w:rsid w:val="19706CFD"/>
    <w:rsid w:val="199614F3"/>
    <w:rsid w:val="199B6E4C"/>
    <w:rsid w:val="19B337B9"/>
    <w:rsid w:val="19D83220"/>
    <w:rsid w:val="19F16090"/>
    <w:rsid w:val="19F8741E"/>
    <w:rsid w:val="1A0062D3"/>
    <w:rsid w:val="1A295829"/>
    <w:rsid w:val="1A450189"/>
    <w:rsid w:val="1A473F02"/>
    <w:rsid w:val="1A4D2F56"/>
    <w:rsid w:val="1A4E34E2"/>
    <w:rsid w:val="1A516B2E"/>
    <w:rsid w:val="1A6745A4"/>
    <w:rsid w:val="1A6A7BF0"/>
    <w:rsid w:val="1A87613A"/>
    <w:rsid w:val="1A8C400A"/>
    <w:rsid w:val="1A907657"/>
    <w:rsid w:val="1AC70992"/>
    <w:rsid w:val="1AD31C39"/>
    <w:rsid w:val="1AD5150D"/>
    <w:rsid w:val="1AD559B1"/>
    <w:rsid w:val="1AD76D32"/>
    <w:rsid w:val="1AE6663D"/>
    <w:rsid w:val="1AF23E6D"/>
    <w:rsid w:val="1B16664C"/>
    <w:rsid w:val="1B1C0EEA"/>
    <w:rsid w:val="1B1D07A3"/>
    <w:rsid w:val="1B211D4A"/>
    <w:rsid w:val="1B2304CB"/>
    <w:rsid w:val="1B23218B"/>
    <w:rsid w:val="1B240CF4"/>
    <w:rsid w:val="1B324BB2"/>
    <w:rsid w:val="1B3C158C"/>
    <w:rsid w:val="1B4346C9"/>
    <w:rsid w:val="1B4F12C0"/>
    <w:rsid w:val="1B5015AA"/>
    <w:rsid w:val="1B662AAD"/>
    <w:rsid w:val="1B9C64CF"/>
    <w:rsid w:val="1BA50C53"/>
    <w:rsid w:val="1BAE5D6E"/>
    <w:rsid w:val="1BB11F7A"/>
    <w:rsid w:val="1BB455C7"/>
    <w:rsid w:val="1BC31CAE"/>
    <w:rsid w:val="1BCB1E79"/>
    <w:rsid w:val="1BD619E1"/>
    <w:rsid w:val="1BD67A30"/>
    <w:rsid w:val="1BE20386"/>
    <w:rsid w:val="1BFE4A94"/>
    <w:rsid w:val="1C0227D6"/>
    <w:rsid w:val="1C026332"/>
    <w:rsid w:val="1C0302FC"/>
    <w:rsid w:val="1C055E22"/>
    <w:rsid w:val="1C19367C"/>
    <w:rsid w:val="1C346708"/>
    <w:rsid w:val="1C6A2129"/>
    <w:rsid w:val="1C7C5104"/>
    <w:rsid w:val="1C8651B5"/>
    <w:rsid w:val="1C9571A6"/>
    <w:rsid w:val="1C9B1C69"/>
    <w:rsid w:val="1CB82E95"/>
    <w:rsid w:val="1CBC0BD7"/>
    <w:rsid w:val="1CC23D13"/>
    <w:rsid w:val="1CC7757C"/>
    <w:rsid w:val="1CCB1BEA"/>
    <w:rsid w:val="1CCC4B92"/>
    <w:rsid w:val="1CD221A8"/>
    <w:rsid w:val="1CD75A11"/>
    <w:rsid w:val="1CF33ECD"/>
    <w:rsid w:val="1CF77E61"/>
    <w:rsid w:val="1CF814E3"/>
    <w:rsid w:val="1D0C238B"/>
    <w:rsid w:val="1D0D1432"/>
    <w:rsid w:val="1D1075D0"/>
    <w:rsid w:val="1D1F1166"/>
    <w:rsid w:val="1D250EDA"/>
    <w:rsid w:val="1D2624F4"/>
    <w:rsid w:val="1D2B7B0B"/>
    <w:rsid w:val="1D2E3157"/>
    <w:rsid w:val="1D6923E1"/>
    <w:rsid w:val="1D76522A"/>
    <w:rsid w:val="1D807E56"/>
    <w:rsid w:val="1D8965DF"/>
    <w:rsid w:val="1D9308DA"/>
    <w:rsid w:val="1DA578BD"/>
    <w:rsid w:val="1DBA2C3C"/>
    <w:rsid w:val="1DBA49EB"/>
    <w:rsid w:val="1DCF493A"/>
    <w:rsid w:val="1DE859FC"/>
    <w:rsid w:val="1DED4DC0"/>
    <w:rsid w:val="1DF60118"/>
    <w:rsid w:val="1E046070"/>
    <w:rsid w:val="1E2E78B2"/>
    <w:rsid w:val="1E334EC9"/>
    <w:rsid w:val="1E537319"/>
    <w:rsid w:val="1E5B7F7C"/>
    <w:rsid w:val="1E5D4451"/>
    <w:rsid w:val="1E767F60"/>
    <w:rsid w:val="1E9F255E"/>
    <w:rsid w:val="1E9F7817"/>
    <w:rsid w:val="1EA5569B"/>
    <w:rsid w:val="1EA90CE7"/>
    <w:rsid w:val="1EB15DEE"/>
    <w:rsid w:val="1EC21DA9"/>
    <w:rsid w:val="1ED61CF8"/>
    <w:rsid w:val="1EE47F71"/>
    <w:rsid w:val="1EE876ED"/>
    <w:rsid w:val="1EEB1CFA"/>
    <w:rsid w:val="1F176598"/>
    <w:rsid w:val="1F1D3483"/>
    <w:rsid w:val="1F212F73"/>
    <w:rsid w:val="1F231B7F"/>
    <w:rsid w:val="1F2667DB"/>
    <w:rsid w:val="1F29007A"/>
    <w:rsid w:val="1F336601"/>
    <w:rsid w:val="1F3F164B"/>
    <w:rsid w:val="1F3F33F9"/>
    <w:rsid w:val="1F5570C1"/>
    <w:rsid w:val="1F6D61B8"/>
    <w:rsid w:val="1F7E03C6"/>
    <w:rsid w:val="1F9A5406"/>
    <w:rsid w:val="1FC833B6"/>
    <w:rsid w:val="1FD71884"/>
    <w:rsid w:val="1FDF221A"/>
    <w:rsid w:val="1FEF3071"/>
    <w:rsid w:val="1FEF4E1F"/>
    <w:rsid w:val="1FF70178"/>
    <w:rsid w:val="1FF774BF"/>
    <w:rsid w:val="2000527E"/>
    <w:rsid w:val="2007660D"/>
    <w:rsid w:val="20166850"/>
    <w:rsid w:val="202645B9"/>
    <w:rsid w:val="202A22FB"/>
    <w:rsid w:val="20322F5E"/>
    <w:rsid w:val="20384A18"/>
    <w:rsid w:val="20457135"/>
    <w:rsid w:val="204607B7"/>
    <w:rsid w:val="20522BB1"/>
    <w:rsid w:val="20547378"/>
    <w:rsid w:val="205E3C5D"/>
    <w:rsid w:val="206D21E8"/>
    <w:rsid w:val="206F123B"/>
    <w:rsid w:val="20706283"/>
    <w:rsid w:val="208539D6"/>
    <w:rsid w:val="208C266E"/>
    <w:rsid w:val="2096173F"/>
    <w:rsid w:val="20A025BE"/>
    <w:rsid w:val="20AC0F62"/>
    <w:rsid w:val="20B120D5"/>
    <w:rsid w:val="20BF6E96"/>
    <w:rsid w:val="20BF7061"/>
    <w:rsid w:val="20CC33B3"/>
    <w:rsid w:val="20D3029D"/>
    <w:rsid w:val="20D34741"/>
    <w:rsid w:val="20E424AA"/>
    <w:rsid w:val="20EE3329"/>
    <w:rsid w:val="20F3339F"/>
    <w:rsid w:val="20F52909"/>
    <w:rsid w:val="20F63F8C"/>
    <w:rsid w:val="21022930"/>
    <w:rsid w:val="21116CEC"/>
    <w:rsid w:val="211865F8"/>
    <w:rsid w:val="212C5BFF"/>
    <w:rsid w:val="21350F58"/>
    <w:rsid w:val="213934C6"/>
    <w:rsid w:val="213C22E6"/>
    <w:rsid w:val="21466CC1"/>
    <w:rsid w:val="216B497A"/>
    <w:rsid w:val="21701F90"/>
    <w:rsid w:val="217A2E0F"/>
    <w:rsid w:val="217F21D3"/>
    <w:rsid w:val="217F456C"/>
    <w:rsid w:val="219519F6"/>
    <w:rsid w:val="21B26104"/>
    <w:rsid w:val="21BF0821"/>
    <w:rsid w:val="21C978F2"/>
    <w:rsid w:val="21DE15EF"/>
    <w:rsid w:val="21E5391D"/>
    <w:rsid w:val="21F901D7"/>
    <w:rsid w:val="22123047"/>
    <w:rsid w:val="22162B37"/>
    <w:rsid w:val="22347461"/>
    <w:rsid w:val="223C0AB6"/>
    <w:rsid w:val="224A0A33"/>
    <w:rsid w:val="226C09A9"/>
    <w:rsid w:val="226E2973"/>
    <w:rsid w:val="227D6367"/>
    <w:rsid w:val="22806203"/>
    <w:rsid w:val="228F28EA"/>
    <w:rsid w:val="229E0D7F"/>
    <w:rsid w:val="22AA14D2"/>
    <w:rsid w:val="22AF4D3A"/>
    <w:rsid w:val="22C2681B"/>
    <w:rsid w:val="22CF0F38"/>
    <w:rsid w:val="22FC115A"/>
    <w:rsid w:val="230010F2"/>
    <w:rsid w:val="231828DF"/>
    <w:rsid w:val="2322375E"/>
    <w:rsid w:val="232748D0"/>
    <w:rsid w:val="23403BE4"/>
    <w:rsid w:val="23582CDC"/>
    <w:rsid w:val="235F3CEC"/>
    <w:rsid w:val="23616034"/>
    <w:rsid w:val="23694EE9"/>
    <w:rsid w:val="23775858"/>
    <w:rsid w:val="23A14683"/>
    <w:rsid w:val="23A45F21"/>
    <w:rsid w:val="23AE4FF1"/>
    <w:rsid w:val="23BF71FF"/>
    <w:rsid w:val="23DA7B95"/>
    <w:rsid w:val="23DE7685"/>
    <w:rsid w:val="23F41E93"/>
    <w:rsid w:val="24387D3B"/>
    <w:rsid w:val="245A52B1"/>
    <w:rsid w:val="24671BF6"/>
    <w:rsid w:val="24B228BF"/>
    <w:rsid w:val="24C525F3"/>
    <w:rsid w:val="24DC16EA"/>
    <w:rsid w:val="24E24F53"/>
    <w:rsid w:val="250550E5"/>
    <w:rsid w:val="250D7AF6"/>
    <w:rsid w:val="25216A19"/>
    <w:rsid w:val="25276E09"/>
    <w:rsid w:val="252E63EA"/>
    <w:rsid w:val="25333A00"/>
    <w:rsid w:val="25527C11"/>
    <w:rsid w:val="255C3341"/>
    <w:rsid w:val="256B319A"/>
    <w:rsid w:val="258318D8"/>
    <w:rsid w:val="25983863"/>
    <w:rsid w:val="25B82157"/>
    <w:rsid w:val="25D074A1"/>
    <w:rsid w:val="25DF76E4"/>
    <w:rsid w:val="260929B3"/>
    <w:rsid w:val="26217CFD"/>
    <w:rsid w:val="26316C03"/>
    <w:rsid w:val="263A58E6"/>
    <w:rsid w:val="265E1035"/>
    <w:rsid w:val="266279B6"/>
    <w:rsid w:val="266F373E"/>
    <w:rsid w:val="2673573D"/>
    <w:rsid w:val="267B565F"/>
    <w:rsid w:val="26981E89"/>
    <w:rsid w:val="26A10E3D"/>
    <w:rsid w:val="26A1499A"/>
    <w:rsid w:val="26B24DF9"/>
    <w:rsid w:val="26BB1EFF"/>
    <w:rsid w:val="26CF1507"/>
    <w:rsid w:val="26CF6A37"/>
    <w:rsid w:val="26D3175F"/>
    <w:rsid w:val="26E054C2"/>
    <w:rsid w:val="26E1123A"/>
    <w:rsid w:val="26E86A6C"/>
    <w:rsid w:val="26EA4592"/>
    <w:rsid w:val="26F40F6D"/>
    <w:rsid w:val="271138CD"/>
    <w:rsid w:val="27165388"/>
    <w:rsid w:val="27247AA4"/>
    <w:rsid w:val="2729330D"/>
    <w:rsid w:val="272A3F3B"/>
    <w:rsid w:val="273677D8"/>
    <w:rsid w:val="27421CD9"/>
    <w:rsid w:val="274A6DDF"/>
    <w:rsid w:val="2767173F"/>
    <w:rsid w:val="27675BE3"/>
    <w:rsid w:val="2769195B"/>
    <w:rsid w:val="27767BD4"/>
    <w:rsid w:val="27840543"/>
    <w:rsid w:val="278422F1"/>
    <w:rsid w:val="279B3ADF"/>
    <w:rsid w:val="27A40BE5"/>
    <w:rsid w:val="27AE736E"/>
    <w:rsid w:val="27BB7CDD"/>
    <w:rsid w:val="27C070A1"/>
    <w:rsid w:val="27C9064C"/>
    <w:rsid w:val="27DA4607"/>
    <w:rsid w:val="27EC4921"/>
    <w:rsid w:val="27EE00B2"/>
    <w:rsid w:val="27F03E2A"/>
    <w:rsid w:val="27FD02F5"/>
    <w:rsid w:val="27FF5E1C"/>
    <w:rsid w:val="280E2503"/>
    <w:rsid w:val="281A740B"/>
    <w:rsid w:val="28277120"/>
    <w:rsid w:val="28772BCA"/>
    <w:rsid w:val="2890116A"/>
    <w:rsid w:val="289742A6"/>
    <w:rsid w:val="28CA7800"/>
    <w:rsid w:val="28CF57EE"/>
    <w:rsid w:val="28D17481"/>
    <w:rsid w:val="28E17C20"/>
    <w:rsid w:val="28EE11C9"/>
    <w:rsid w:val="28F96D0F"/>
    <w:rsid w:val="28FB2A87"/>
    <w:rsid w:val="290F6532"/>
    <w:rsid w:val="2919115F"/>
    <w:rsid w:val="29226266"/>
    <w:rsid w:val="29347D47"/>
    <w:rsid w:val="29736AC1"/>
    <w:rsid w:val="29746395"/>
    <w:rsid w:val="297A7E50"/>
    <w:rsid w:val="29995DFC"/>
    <w:rsid w:val="299D769A"/>
    <w:rsid w:val="29B50E88"/>
    <w:rsid w:val="29BD5F8E"/>
    <w:rsid w:val="29C15A7E"/>
    <w:rsid w:val="29D07A70"/>
    <w:rsid w:val="29D55086"/>
    <w:rsid w:val="29D63161"/>
    <w:rsid w:val="29EE5620"/>
    <w:rsid w:val="29F311DA"/>
    <w:rsid w:val="29FB0865"/>
    <w:rsid w:val="2A157B78"/>
    <w:rsid w:val="2A2102CB"/>
    <w:rsid w:val="2A291581"/>
    <w:rsid w:val="2A41271B"/>
    <w:rsid w:val="2A49191A"/>
    <w:rsid w:val="2A5266D7"/>
    <w:rsid w:val="2A64465C"/>
    <w:rsid w:val="2A6B7798"/>
    <w:rsid w:val="2A7A5C2D"/>
    <w:rsid w:val="2A84085A"/>
    <w:rsid w:val="2A846AAC"/>
    <w:rsid w:val="2A8B3997"/>
    <w:rsid w:val="2A925800"/>
    <w:rsid w:val="2AA36F32"/>
    <w:rsid w:val="2AA50EFC"/>
    <w:rsid w:val="2AA67581"/>
    <w:rsid w:val="2ABB3E95"/>
    <w:rsid w:val="2AC33130"/>
    <w:rsid w:val="2AC375D4"/>
    <w:rsid w:val="2AD96DF8"/>
    <w:rsid w:val="2AEC6B2B"/>
    <w:rsid w:val="2AFA28CA"/>
    <w:rsid w:val="2B08148B"/>
    <w:rsid w:val="2B0B2D29"/>
    <w:rsid w:val="2B0B4AD7"/>
    <w:rsid w:val="2B1B0EFE"/>
    <w:rsid w:val="2B1B11BE"/>
    <w:rsid w:val="2B2F4C6A"/>
    <w:rsid w:val="2B391645"/>
    <w:rsid w:val="2B3D7387"/>
    <w:rsid w:val="2B4A03A1"/>
    <w:rsid w:val="2B593A95"/>
    <w:rsid w:val="2B6E5792"/>
    <w:rsid w:val="2B732DA8"/>
    <w:rsid w:val="2B77216D"/>
    <w:rsid w:val="2B88437A"/>
    <w:rsid w:val="2B8A1EA0"/>
    <w:rsid w:val="2B940A47"/>
    <w:rsid w:val="2B9D0E3A"/>
    <w:rsid w:val="2BA03472"/>
    <w:rsid w:val="2BCC4267"/>
    <w:rsid w:val="2BD1187D"/>
    <w:rsid w:val="2BEE0681"/>
    <w:rsid w:val="2BF51A0F"/>
    <w:rsid w:val="2BF77448"/>
    <w:rsid w:val="2C097269"/>
    <w:rsid w:val="2C151290"/>
    <w:rsid w:val="2C2A5838"/>
    <w:rsid w:val="2C3562B0"/>
    <w:rsid w:val="2C372028"/>
    <w:rsid w:val="2C3C763E"/>
    <w:rsid w:val="2C53629D"/>
    <w:rsid w:val="2C5B55EB"/>
    <w:rsid w:val="2C6170A5"/>
    <w:rsid w:val="2C655DC1"/>
    <w:rsid w:val="2C8114F5"/>
    <w:rsid w:val="2C86043D"/>
    <w:rsid w:val="2C867F83"/>
    <w:rsid w:val="2C8F2065"/>
    <w:rsid w:val="2C932FD6"/>
    <w:rsid w:val="2C9A4365"/>
    <w:rsid w:val="2C9C00DD"/>
    <w:rsid w:val="2C9C632F"/>
    <w:rsid w:val="2CB01DDA"/>
    <w:rsid w:val="2CB03B88"/>
    <w:rsid w:val="2CC9735F"/>
    <w:rsid w:val="2CD71FBF"/>
    <w:rsid w:val="2CDF446E"/>
    <w:rsid w:val="2D012636"/>
    <w:rsid w:val="2D0B0DBF"/>
    <w:rsid w:val="2D177764"/>
    <w:rsid w:val="2D1E4F96"/>
    <w:rsid w:val="2D2A56E9"/>
    <w:rsid w:val="2D306A77"/>
    <w:rsid w:val="2D314CC9"/>
    <w:rsid w:val="2D377E06"/>
    <w:rsid w:val="2D39516F"/>
    <w:rsid w:val="2D652BC5"/>
    <w:rsid w:val="2D6A01DB"/>
    <w:rsid w:val="2D6D7CCB"/>
    <w:rsid w:val="2D6E1DB9"/>
    <w:rsid w:val="2D7E3C87"/>
    <w:rsid w:val="2D825525"/>
    <w:rsid w:val="2D8F379E"/>
    <w:rsid w:val="2DAA05D8"/>
    <w:rsid w:val="2DB31B82"/>
    <w:rsid w:val="2DDF7A77"/>
    <w:rsid w:val="2DFA7936"/>
    <w:rsid w:val="2E3D31FA"/>
    <w:rsid w:val="2E400F3C"/>
    <w:rsid w:val="2E497DF1"/>
    <w:rsid w:val="2E5844D8"/>
    <w:rsid w:val="2E5F13C2"/>
    <w:rsid w:val="2E6115DE"/>
    <w:rsid w:val="2E666BF4"/>
    <w:rsid w:val="2E7A61FC"/>
    <w:rsid w:val="2E7F1A64"/>
    <w:rsid w:val="2E8B0409"/>
    <w:rsid w:val="2E974057"/>
    <w:rsid w:val="2E9C43C4"/>
    <w:rsid w:val="2EBD258D"/>
    <w:rsid w:val="2ED7364E"/>
    <w:rsid w:val="2EE6563F"/>
    <w:rsid w:val="2EED2E72"/>
    <w:rsid w:val="2EED4C20"/>
    <w:rsid w:val="2EF73CF0"/>
    <w:rsid w:val="2F012349"/>
    <w:rsid w:val="2F2E268D"/>
    <w:rsid w:val="2F324D29"/>
    <w:rsid w:val="2F5B6E36"/>
    <w:rsid w:val="2F61560E"/>
    <w:rsid w:val="2F650C5A"/>
    <w:rsid w:val="2F6E0AAD"/>
    <w:rsid w:val="2F75733C"/>
    <w:rsid w:val="2F7B66D0"/>
    <w:rsid w:val="2F805A94"/>
    <w:rsid w:val="2F9E416C"/>
    <w:rsid w:val="2FA23802"/>
    <w:rsid w:val="2FAA0D63"/>
    <w:rsid w:val="2FB76FDC"/>
    <w:rsid w:val="2FB83480"/>
    <w:rsid w:val="2FBD0A96"/>
    <w:rsid w:val="2FC5794B"/>
    <w:rsid w:val="2FC75471"/>
    <w:rsid w:val="2FCD4A51"/>
    <w:rsid w:val="2FCE7120"/>
    <w:rsid w:val="2FD14541"/>
    <w:rsid w:val="2FD8767E"/>
    <w:rsid w:val="2FD91648"/>
    <w:rsid w:val="2FD96B30"/>
    <w:rsid w:val="2FDA7965"/>
    <w:rsid w:val="2FE73D65"/>
    <w:rsid w:val="2FEB70C0"/>
    <w:rsid w:val="2FED0C50"/>
    <w:rsid w:val="2FED29FE"/>
    <w:rsid w:val="2FF24A22"/>
    <w:rsid w:val="2FF26266"/>
    <w:rsid w:val="2FF43D8C"/>
    <w:rsid w:val="2FFD0E93"/>
    <w:rsid w:val="3006424D"/>
    <w:rsid w:val="3011493E"/>
    <w:rsid w:val="30246C81"/>
    <w:rsid w:val="303625F7"/>
    <w:rsid w:val="3045674E"/>
    <w:rsid w:val="30456BE5"/>
    <w:rsid w:val="30515A9D"/>
    <w:rsid w:val="30760C45"/>
    <w:rsid w:val="307849BD"/>
    <w:rsid w:val="3078676B"/>
    <w:rsid w:val="30786C91"/>
    <w:rsid w:val="307A24E3"/>
    <w:rsid w:val="307F5D4C"/>
    <w:rsid w:val="309754BA"/>
    <w:rsid w:val="309F1F4A"/>
    <w:rsid w:val="30A47560"/>
    <w:rsid w:val="30AB4D93"/>
    <w:rsid w:val="30C10112"/>
    <w:rsid w:val="30C22B15"/>
    <w:rsid w:val="30D37E45"/>
    <w:rsid w:val="30D66B62"/>
    <w:rsid w:val="30D70D99"/>
    <w:rsid w:val="30F524B2"/>
    <w:rsid w:val="30FE1366"/>
    <w:rsid w:val="3117664E"/>
    <w:rsid w:val="311E1A89"/>
    <w:rsid w:val="312863E3"/>
    <w:rsid w:val="31294F6D"/>
    <w:rsid w:val="31374878"/>
    <w:rsid w:val="31464ABB"/>
    <w:rsid w:val="314825E1"/>
    <w:rsid w:val="314B0324"/>
    <w:rsid w:val="315D128C"/>
    <w:rsid w:val="316D2048"/>
    <w:rsid w:val="317909ED"/>
    <w:rsid w:val="317B29B7"/>
    <w:rsid w:val="317F3B29"/>
    <w:rsid w:val="318B0720"/>
    <w:rsid w:val="319B26BD"/>
    <w:rsid w:val="31A87524"/>
    <w:rsid w:val="31AB491E"/>
    <w:rsid w:val="31B16C98"/>
    <w:rsid w:val="31BE28A4"/>
    <w:rsid w:val="31CF5350"/>
    <w:rsid w:val="31DB16A7"/>
    <w:rsid w:val="31E0281A"/>
    <w:rsid w:val="31EC7411"/>
    <w:rsid w:val="31F14A27"/>
    <w:rsid w:val="31FB7654"/>
    <w:rsid w:val="320C360F"/>
    <w:rsid w:val="321626E0"/>
    <w:rsid w:val="322748ED"/>
    <w:rsid w:val="322F554F"/>
    <w:rsid w:val="323F3C5C"/>
    <w:rsid w:val="32494863"/>
    <w:rsid w:val="324A05DB"/>
    <w:rsid w:val="32543208"/>
    <w:rsid w:val="32870EE7"/>
    <w:rsid w:val="32892EB1"/>
    <w:rsid w:val="32AC4DF2"/>
    <w:rsid w:val="32B31CDC"/>
    <w:rsid w:val="32B85545"/>
    <w:rsid w:val="32C43EEA"/>
    <w:rsid w:val="32E26A66"/>
    <w:rsid w:val="32F52668"/>
    <w:rsid w:val="32FF15C5"/>
    <w:rsid w:val="33264BA4"/>
    <w:rsid w:val="33323549"/>
    <w:rsid w:val="33451470"/>
    <w:rsid w:val="334B63B9"/>
    <w:rsid w:val="335222FD"/>
    <w:rsid w:val="33550FE6"/>
    <w:rsid w:val="335A65FC"/>
    <w:rsid w:val="33664FA1"/>
    <w:rsid w:val="336C1169"/>
    <w:rsid w:val="336D4581"/>
    <w:rsid w:val="33784CD4"/>
    <w:rsid w:val="338B2C59"/>
    <w:rsid w:val="33900270"/>
    <w:rsid w:val="339E298D"/>
    <w:rsid w:val="33A22E75"/>
    <w:rsid w:val="33C139E6"/>
    <w:rsid w:val="33C54A49"/>
    <w:rsid w:val="33D068BE"/>
    <w:rsid w:val="33F56E0F"/>
    <w:rsid w:val="34050C5E"/>
    <w:rsid w:val="34071E2D"/>
    <w:rsid w:val="34076784"/>
    <w:rsid w:val="34132A26"/>
    <w:rsid w:val="34237336"/>
    <w:rsid w:val="342412BF"/>
    <w:rsid w:val="34311A53"/>
    <w:rsid w:val="34533777"/>
    <w:rsid w:val="345614B9"/>
    <w:rsid w:val="34812602"/>
    <w:rsid w:val="348E1204"/>
    <w:rsid w:val="3491429F"/>
    <w:rsid w:val="34967B08"/>
    <w:rsid w:val="349F4C0E"/>
    <w:rsid w:val="34B8182C"/>
    <w:rsid w:val="34CB66B6"/>
    <w:rsid w:val="34E33507"/>
    <w:rsid w:val="34E6283D"/>
    <w:rsid w:val="34E72111"/>
    <w:rsid w:val="352670DE"/>
    <w:rsid w:val="35335357"/>
    <w:rsid w:val="354033DE"/>
    <w:rsid w:val="355C2AFF"/>
    <w:rsid w:val="35633552"/>
    <w:rsid w:val="356814A4"/>
    <w:rsid w:val="3569521C"/>
    <w:rsid w:val="357D65D2"/>
    <w:rsid w:val="359E4EC6"/>
    <w:rsid w:val="359F29EC"/>
    <w:rsid w:val="35A149B6"/>
    <w:rsid w:val="35AE6AFE"/>
    <w:rsid w:val="35BC70FA"/>
    <w:rsid w:val="35D22DC1"/>
    <w:rsid w:val="35D6383A"/>
    <w:rsid w:val="35E52AF5"/>
    <w:rsid w:val="35FA7C22"/>
    <w:rsid w:val="36080591"/>
    <w:rsid w:val="360A60B7"/>
    <w:rsid w:val="361231BE"/>
    <w:rsid w:val="361A2073"/>
    <w:rsid w:val="36625D12"/>
    <w:rsid w:val="366A124C"/>
    <w:rsid w:val="36716136"/>
    <w:rsid w:val="3679148F"/>
    <w:rsid w:val="368D0A96"/>
    <w:rsid w:val="369260AD"/>
    <w:rsid w:val="369B31B3"/>
    <w:rsid w:val="36A04C6E"/>
    <w:rsid w:val="36C344B8"/>
    <w:rsid w:val="36CC5A63"/>
    <w:rsid w:val="36DB7A54"/>
    <w:rsid w:val="36EF0C5C"/>
    <w:rsid w:val="36FC6348"/>
    <w:rsid w:val="37023232"/>
    <w:rsid w:val="37052E82"/>
    <w:rsid w:val="37060F75"/>
    <w:rsid w:val="370F16D6"/>
    <w:rsid w:val="3710426F"/>
    <w:rsid w:val="37184804"/>
    <w:rsid w:val="37215DAE"/>
    <w:rsid w:val="37256F21"/>
    <w:rsid w:val="372907BF"/>
    <w:rsid w:val="374C2700"/>
    <w:rsid w:val="376A540A"/>
    <w:rsid w:val="376F3C74"/>
    <w:rsid w:val="37797999"/>
    <w:rsid w:val="37936580"/>
    <w:rsid w:val="37A12A4B"/>
    <w:rsid w:val="37C11451"/>
    <w:rsid w:val="37C41312"/>
    <w:rsid w:val="37C8622A"/>
    <w:rsid w:val="37DE77FC"/>
    <w:rsid w:val="37E8067A"/>
    <w:rsid w:val="37E868CC"/>
    <w:rsid w:val="37EC52CF"/>
    <w:rsid w:val="38107BD1"/>
    <w:rsid w:val="38194CD8"/>
    <w:rsid w:val="3825367C"/>
    <w:rsid w:val="38262F51"/>
    <w:rsid w:val="383A69FC"/>
    <w:rsid w:val="386F35F2"/>
    <w:rsid w:val="389425B0"/>
    <w:rsid w:val="389B393F"/>
    <w:rsid w:val="38A728B6"/>
    <w:rsid w:val="38C5276A"/>
    <w:rsid w:val="38CC3AF8"/>
    <w:rsid w:val="38CE5AC2"/>
    <w:rsid w:val="38D40BFF"/>
    <w:rsid w:val="38D74A30"/>
    <w:rsid w:val="38DB01DF"/>
    <w:rsid w:val="38DE55D9"/>
    <w:rsid w:val="38EF3C8A"/>
    <w:rsid w:val="38F4304F"/>
    <w:rsid w:val="38FB43DD"/>
    <w:rsid w:val="38FC5E93"/>
    <w:rsid w:val="38FF3ECD"/>
    <w:rsid w:val="39072D82"/>
    <w:rsid w:val="391536F1"/>
    <w:rsid w:val="392576AC"/>
    <w:rsid w:val="392D6C00"/>
    <w:rsid w:val="39311BAD"/>
    <w:rsid w:val="393431D1"/>
    <w:rsid w:val="393D2C48"/>
    <w:rsid w:val="39445D84"/>
    <w:rsid w:val="395835DE"/>
    <w:rsid w:val="395D0BF4"/>
    <w:rsid w:val="39677CC5"/>
    <w:rsid w:val="397B5680"/>
    <w:rsid w:val="39810D86"/>
    <w:rsid w:val="39934616"/>
    <w:rsid w:val="39A24EA2"/>
    <w:rsid w:val="39B225A5"/>
    <w:rsid w:val="39BA4340"/>
    <w:rsid w:val="39C12F31"/>
    <w:rsid w:val="39C72511"/>
    <w:rsid w:val="39CB3DB0"/>
    <w:rsid w:val="39CE38A0"/>
    <w:rsid w:val="39D92970"/>
    <w:rsid w:val="39E34706"/>
    <w:rsid w:val="39F36786"/>
    <w:rsid w:val="39FE23D7"/>
    <w:rsid w:val="3A0B4AF4"/>
    <w:rsid w:val="3A0F6392"/>
    <w:rsid w:val="3A125E82"/>
    <w:rsid w:val="3A192D6D"/>
    <w:rsid w:val="3A2A4F7A"/>
    <w:rsid w:val="3A3E2FC1"/>
    <w:rsid w:val="3A4818A4"/>
    <w:rsid w:val="3A540249"/>
    <w:rsid w:val="3A573895"/>
    <w:rsid w:val="3A577D39"/>
    <w:rsid w:val="3A5B15D7"/>
    <w:rsid w:val="3A661D2A"/>
    <w:rsid w:val="3A7461F5"/>
    <w:rsid w:val="3A802DEC"/>
    <w:rsid w:val="3AC21656"/>
    <w:rsid w:val="3ADB2718"/>
    <w:rsid w:val="3AEA295B"/>
    <w:rsid w:val="3AEF1E1C"/>
    <w:rsid w:val="3AF85078"/>
    <w:rsid w:val="3B0D21A6"/>
    <w:rsid w:val="3B0F5F1E"/>
    <w:rsid w:val="3B143534"/>
    <w:rsid w:val="3B2714BA"/>
    <w:rsid w:val="3B451940"/>
    <w:rsid w:val="3B4A51A8"/>
    <w:rsid w:val="3B533E85"/>
    <w:rsid w:val="3B5953EB"/>
    <w:rsid w:val="3B675D5A"/>
    <w:rsid w:val="3B69436B"/>
    <w:rsid w:val="3B7F30A4"/>
    <w:rsid w:val="3B8C756F"/>
    <w:rsid w:val="3B96663F"/>
    <w:rsid w:val="3B9C1EA7"/>
    <w:rsid w:val="3BA66882"/>
    <w:rsid w:val="3BB16FD5"/>
    <w:rsid w:val="3BB645EB"/>
    <w:rsid w:val="3BBD597A"/>
    <w:rsid w:val="3BDD426E"/>
    <w:rsid w:val="3BDD601C"/>
    <w:rsid w:val="3BF05D4F"/>
    <w:rsid w:val="3BF70E8C"/>
    <w:rsid w:val="3BF910A8"/>
    <w:rsid w:val="3BFD046C"/>
    <w:rsid w:val="3C1A101E"/>
    <w:rsid w:val="3C1D3823"/>
    <w:rsid w:val="3C2854E9"/>
    <w:rsid w:val="3C3321FE"/>
    <w:rsid w:val="3C4D13F4"/>
    <w:rsid w:val="3C544530"/>
    <w:rsid w:val="3C5462DE"/>
    <w:rsid w:val="3C640A27"/>
    <w:rsid w:val="3C6E4D87"/>
    <w:rsid w:val="3C7C3A87"/>
    <w:rsid w:val="3C9568F7"/>
    <w:rsid w:val="3C995D4C"/>
    <w:rsid w:val="3CB46D7D"/>
    <w:rsid w:val="3CC6262B"/>
    <w:rsid w:val="3CC65551"/>
    <w:rsid w:val="3CCF1E09"/>
    <w:rsid w:val="3CD4741F"/>
    <w:rsid w:val="3CE43A2A"/>
    <w:rsid w:val="3CEB6CA3"/>
    <w:rsid w:val="3CEF384F"/>
    <w:rsid w:val="3D2959BD"/>
    <w:rsid w:val="3D2C39C5"/>
    <w:rsid w:val="3D344362"/>
    <w:rsid w:val="3D4A3ED1"/>
    <w:rsid w:val="3D51281E"/>
    <w:rsid w:val="3D5524D5"/>
    <w:rsid w:val="3D5F13DF"/>
    <w:rsid w:val="3D6407A3"/>
    <w:rsid w:val="3D785FFC"/>
    <w:rsid w:val="3D840E45"/>
    <w:rsid w:val="3D8A5D30"/>
    <w:rsid w:val="3D8E5820"/>
    <w:rsid w:val="3D9848F1"/>
    <w:rsid w:val="3DA2751D"/>
    <w:rsid w:val="3DB01C3A"/>
    <w:rsid w:val="3DB334D8"/>
    <w:rsid w:val="3DDB1C35"/>
    <w:rsid w:val="3DE77CAD"/>
    <w:rsid w:val="3DFD6502"/>
    <w:rsid w:val="3DFF227A"/>
    <w:rsid w:val="3E1D0952"/>
    <w:rsid w:val="3E1D4DF6"/>
    <w:rsid w:val="3E43485C"/>
    <w:rsid w:val="3E444130"/>
    <w:rsid w:val="3E455836"/>
    <w:rsid w:val="3E4660FB"/>
    <w:rsid w:val="3E5C147A"/>
    <w:rsid w:val="3E611186"/>
    <w:rsid w:val="3E6A003B"/>
    <w:rsid w:val="3E75078E"/>
    <w:rsid w:val="3E952BDE"/>
    <w:rsid w:val="3EAB41B0"/>
    <w:rsid w:val="3EB968CD"/>
    <w:rsid w:val="3EC55271"/>
    <w:rsid w:val="3EC60FE9"/>
    <w:rsid w:val="3EC727C6"/>
    <w:rsid w:val="3ED100BA"/>
    <w:rsid w:val="3ED454B4"/>
    <w:rsid w:val="3ED84022"/>
    <w:rsid w:val="3EEB0939"/>
    <w:rsid w:val="3EF913BF"/>
    <w:rsid w:val="3F1C6E5B"/>
    <w:rsid w:val="3F47671E"/>
    <w:rsid w:val="3F4B4C6D"/>
    <w:rsid w:val="3F4C7741"/>
    <w:rsid w:val="3F512FA9"/>
    <w:rsid w:val="3F6A5E19"/>
    <w:rsid w:val="3F731171"/>
    <w:rsid w:val="3F7D3D9E"/>
    <w:rsid w:val="3F8769CB"/>
    <w:rsid w:val="3F95733A"/>
    <w:rsid w:val="3FCC262F"/>
    <w:rsid w:val="3FF04570"/>
    <w:rsid w:val="3FF73B50"/>
    <w:rsid w:val="400242A3"/>
    <w:rsid w:val="40045E83"/>
    <w:rsid w:val="401364B0"/>
    <w:rsid w:val="401726DE"/>
    <w:rsid w:val="40300E10"/>
    <w:rsid w:val="40302BBE"/>
    <w:rsid w:val="40307062"/>
    <w:rsid w:val="403326AF"/>
    <w:rsid w:val="404E573A"/>
    <w:rsid w:val="40532D51"/>
    <w:rsid w:val="405A5E8D"/>
    <w:rsid w:val="405D597D"/>
    <w:rsid w:val="40912673"/>
    <w:rsid w:val="40A9350C"/>
    <w:rsid w:val="40BE01CA"/>
    <w:rsid w:val="40C17CBA"/>
    <w:rsid w:val="40C94DC1"/>
    <w:rsid w:val="40CF284C"/>
    <w:rsid w:val="40D75730"/>
    <w:rsid w:val="40E816EB"/>
    <w:rsid w:val="40EB3103"/>
    <w:rsid w:val="41061B71"/>
    <w:rsid w:val="41087697"/>
    <w:rsid w:val="411B561D"/>
    <w:rsid w:val="411B61D7"/>
    <w:rsid w:val="411C1395"/>
    <w:rsid w:val="41273581"/>
    <w:rsid w:val="412C5A7C"/>
    <w:rsid w:val="412D70FE"/>
    <w:rsid w:val="41393CF5"/>
    <w:rsid w:val="41406E31"/>
    <w:rsid w:val="414F176A"/>
    <w:rsid w:val="41605725"/>
    <w:rsid w:val="41B17D2F"/>
    <w:rsid w:val="41C757A4"/>
    <w:rsid w:val="41CA0DF1"/>
    <w:rsid w:val="41D34149"/>
    <w:rsid w:val="41D37CA5"/>
    <w:rsid w:val="41E41EB2"/>
    <w:rsid w:val="41FB544E"/>
    <w:rsid w:val="41FD11C6"/>
    <w:rsid w:val="41FF4F3E"/>
    <w:rsid w:val="420662CD"/>
    <w:rsid w:val="42276243"/>
    <w:rsid w:val="42360234"/>
    <w:rsid w:val="423746D8"/>
    <w:rsid w:val="425C413F"/>
    <w:rsid w:val="42613503"/>
    <w:rsid w:val="42630326"/>
    <w:rsid w:val="4267663F"/>
    <w:rsid w:val="42723962"/>
    <w:rsid w:val="42725710"/>
    <w:rsid w:val="42814D0F"/>
    <w:rsid w:val="429D6505"/>
    <w:rsid w:val="429F235C"/>
    <w:rsid w:val="42C83582"/>
    <w:rsid w:val="42CB6BCE"/>
    <w:rsid w:val="42DA5063"/>
    <w:rsid w:val="42E303BC"/>
    <w:rsid w:val="42E3216A"/>
    <w:rsid w:val="42FE51F6"/>
    <w:rsid w:val="43034C16"/>
    <w:rsid w:val="431F1D78"/>
    <w:rsid w:val="43244531"/>
    <w:rsid w:val="434A3F97"/>
    <w:rsid w:val="434F5A51"/>
    <w:rsid w:val="43686B13"/>
    <w:rsid w:val="436F1C50"/>
    <w:rsid w:val="43824AC0"/>
    <w:rsid w:val="43851473"/>
    <w:rsid w:val="438D657A"/>
    <w:rsid w:val="43A5279B"/>
    <w:rsid w:val="43B12268"/>
    <w:rsid w:val="43DD305D"/>
    <w:rsid w:val="43EE526A"/>
    <w:rsid w:val="43F25C18"/>
    <w:rsid w:val="4401693D"/>
    <w:rsid w:val="442944F4"/>
    <w:rsid w:val="444430DC"/>
    <w:rsid w:val="445157F9"/>
    <w:rsid w:val="445B0F9E"/>
    <w:rsid w:val="446E0159"/>
    <w:rsid w:val="447361F2"/>
    <w:rsid w:val="448E25A9"/>
    <w:rsid w:val="449B0822"/>
    <w:rsid w:val="449F47B6"/>
    <w:rsid w:val="44B12EE4"/>
    <w:rsid w:val="44BC2C73"/>
    <w:rsid w:val="44D2693A"/>
    <w:rsid w:val="450D34CE"/>
    <w:rsid w:val="4513485D"/>
    <w:rsid w:val="45156827"/>
    <w:rsid w:val="452141B9"/>
    <w:rsid w:val="45344EFF"/>
    <w:rsid w:val="45392515"/>
    <w:rsid w:val="453F38EB"/>
    <w:rsid w:val="45401AF6"/>
    <w:rsid w:val="454F3AE7"/>
    <w:rsid w:val="45513D03"/>
    <w:rsid w:val="45581B00"/>
    <w:rsid w:val="455E01CE"/>
    <w:rsid w:val="456F23DB"/>
    <w:rsid w:val="457C2402"/>
    <w:rsid w:val="457F1EF2"/>
    <w:rsid w:val="45800144"/>
    <w:rsid w:val="45825EE2"/>
    <w:rsid w:val="45833790"/>
    <w:rsid w:val="45A831F7"/>
    <w:rsid w:val="45B63B66"/>
    <w:rsid w:val="45BF76C2"/>
    <w:rsid w:val="45C06792"/>
    <w:rsid w:val="45C75D73"/>
    <w:rsid w:val="45D76F43"/>
    <w:rsid w:val="45EA5DBA"/>
    <w:rsid w:val="45EA700D"/>
    <w:rsid w:val="45EC427F"/>
    <w:rsid w:val="45EE1552"/>
    <w:rsid w:val="45F66658"/>
    <w:rsid w:val="45F96148"/>
    <w:rsid w:val="460A6A25"/>
    <w:rsid w:val="460E39A2"/>
    <w:rsid w:val="4613541F"/>
    <w:rsid w:val="461940F5"/>
    <w:rsid w:val="462B1998"/>
    <w:rsid w:val="46317690"/>
    <w:rsid w:val="46326F64"/>
    <w:rsid w:val="46580093"/>
    <w:rsid w:val="465B17F1"/>
    <w:rsid w:val="46640542"/>
    <w:rsid w:val="4677531C"/>
    <w:rsid w:val="46786335"/>
    <w:rsid w:val="46827EEC"/>
    <w:rsid w:val="469A7B31"/>
    <w:rsid w:val="469B5B16"/>
    <w:rsid w:val="46A77952"/>
    <w:rsid w:val="46B81B60"/>
    <w:rsid w:val="46BA1434"/>
    <w:rsid w:val="46BD2CD2"/>
    <w:rsid w:val="46BF6A4A"/>
    <w:rsid w:val="46C73B51"/>
    <w:rsid w:val="46C74DB1"/>
    <w:rsid w:val="46CD560B"/>
    <w:rsid w:val="46D36999"/>
    <w:rsid w:val="46D544C0"/>
    <w:rsid w:val="46DF3663"/>
    <w:rsid w:val="46F25071"/>
    <w:rsid w:val="471274C2"/>
    <w:rsid w:val="47170634"/>
    <w:rsid w:val="4732546E"/>
    <w:rsid w:val="47573126"/>
    <w:rsid w:val="476475F1"/>
    <w:rsid w:val="47685334"/>
    <w:rsid w:val="476B1F28"/>
    <w:rsid w:val="477E6905"/>
    <w:rsid w:val="477F61D9"/>
    <w:rsid w:val="479223B1"/>
    <w:rsid w:val="479C322F"/>
    <w:rsid w:val="47B02837"/>
    <w:rsid w:val="47C36A0E"/>
    <w:rsid w:val="47CA38F8"/>
    <w:rsid w:val="47CA56A6"/>
    <w:rsid w:val="47DA570D"/>
    <w:rsid w:val="47DE1152"/>
    <w:rsid w:val="47EC1AC1"/>
    <w:rsid w:val="48205C0E"/>
    <w:rsid w:val="482F7BFF"/>
    <w:rsid w:val="48401E0D"/>
    <w:rsid w:val="4841585F"/>
    <w:rsid w:val="484A4A39"/>
    <w:rsid w:val="484B579E"/>
    <w:rsid w:val="48517B76"/>
    <w:rsid w:val="485224A4"/>
    <w:rsid w:val="48643D4D"/>
    <w:rsid w:val="48866D52"/>
    <w:rsid w:val="48981C49"/>
    <w:rsid w:val="489B5295"/>
    <w:rsid w:val="48A56114"/>
    <w:rsid w:val="48AA3747"/>
    <w:rsid w:val="48B306AC"/>
    <w:rsid w:val="48BF71D5"/>
    <w:rsid w:val="48D013E2"/>
    <w:rsid w:val="48D23AD9"/>
    <w:rsid w:val="48DD3AFF"/>
    <w:rsid w:val="48E823CD"/>
    <w:rsid w:val="48F52BF7"/>
    <w:rsid w:val="49035633"/>
    <w:rsid w:val="490B5F77"/>
    <w:rsid w:val="49137521"/>
    <w:rsid w:val="492B3565"/>
    <w:rsid w:val="49371C22"/>
    <w:rsid w:val="493C25D4"/>
    <w:rsid w:val="493D00FA"/>
    <w:rsid w:val="49417BEA"/>
    <w:rsid w:val="49557B3A"/>
    <w:rsid w:val="495913D8"/>
    <w:rsid w:val="4970227E"/>
    <w:rsid w:val="498279FF"/>
    <w:rsid w:val="49843F7B"/>
    <w:rsid w:val="49861AA1"/>
    <w:rsid w:val="49900B72"/>
    <w:rsid w:val="49AB59AC"/>
    <w:rsid w:val="49B219F6"/>
    <w:rsid w:val="49BA799D"/>
    <w:rsid w:val="49BF4FB3"/>
    <w:rsid w:val="49DE7B2F"/>
    <w:rsid w:val="49E35145"/>
    <w:rsid w:val="49E36EF3"/>
    <w:rsid w:val="49E70AD6"/>
    <w:rsid w:val="49E8275C"/>
    <w:rsid w:val="49EB498A"/>
    <w:rsid w:val="4A056842"/>
    <w:rsid w:val="4A1B668D"/>
    <w:rsid w:val="4A46477D"/>
    <w:rsid w:val="4A4D0811"/>
    <w:rsid w:val="4A600544"/>
    <w:rsid w:val="4A742241"/>
    <w:rsid w:val="4AB663B6"/>
    <w:rsid w:val="4AB83EDC"/>
    <w:rsid w:val="4AC00FE3"/>
    <w:rsid w:val="4AD33ADA"/>
    <w:rsid w:val="4AEC1DD8"/>
    <w:rsid w:val="4AF21B2D"/>
    <w:rsid w:val="4AFF7D5D"/>
    <w:rsid w:val="4B007631"/>
    <w:rsid w:val="4B04712E"/>
    <w:rsid w:val="4B0B4954"/>
    <w:rsid w:val="4B1D01E3"/>
    <w:rsid w:val="4B223A4B"/>
    <w:rsid w:val="4B2E7EB5"/>
    <w:rsid w:val="4B3043BA"/>
    <w:rsid w:val="4B38326F"/>
    <w:rsid w:val="4B38501D"/>
    <w:rsid w:val="4B45613C"/>
    <w:rsid w:val="4B533C05"/>
    <w:rsid w:val="4B616322"/>
    <w:rsid w:val="4B636E79"/>
    <w:rsid w:val="4B6E4EE3"/>
    <w:rsid w:val="4B92297F"/>
    <w:rsid w:val="4BB23021"/>
    <w:rsid w:val="4BB328F5"/>
    <w:rsid w:val="4BCE3117"/>
    <w:rsid w:val="4BE8304A"/>
    <w:rsid w:val="4BEA737D"/>
    <w:rsid w:val="4C03562B"/>
    <w:rsid w:val="4C0B7B39"/>
    <w:rsid w:val="4C101AF6"/>
    <w:rsid w:val="4C1211CC"/>
    <w:rsid w:val="4C167B54"/>
    <w:rsid w:val="4C1E7262"/>
    <w:rsid w:val="4C2B58E2"/>
    <w:rsid w:val="4C2D26A8"/>
    <w:rsid w:val="4C39729F"/>
    <w:rsid w:val="4C4D68A6"/>
    <w:rsid w:val="4C58179D"/>
    <w:rsid w:val="4C5B5467"/>
    <w:rsid w:val="4C5E253C"/>
    <w:rsid w:val="4C667968"/>
    <w:rsid w:val="4C6B0D41"/>
    <w:rsid w:val="4C742085"/>
    <w:rsid w:val="4C8F5111"/>
    <w:rsid w:val="4C96649F"/>
    <w:rsid w:val="4CA50490"/>
    <w:rsid w:val="4CB1386B"/>
    <w:rsid w:val="4CB37051"/>
    <w:rsid w:val="4CC56D84"/>
    <w:rsid w:val="4CCE3E8B"/>
    <w:rsid w:val="4CD36AAB"/>
    <w:rsid w:val="4CE94821"/>
    <w:rsid w:val="4CEF5BAF"/>
    <w:rsid w:val="4D265A75"/>
    <w:rsid w:val="4D2910C1"/>
    <w:rsid w:val="4D331F40"/>
    <w:rsid w:val="4D573E80"/>
    <w:rsid w:val="4D5A3970"/>
    <w:rsid w:val="4D622825"/>
    <w:rsid w:val="4DB0533F"/>
    <w:rsid w:val="4DB07B52"/>
    <w:rsid w:val="4DB766CD"/>
    <w:rsid w:val="4DC66910"/>
    <w:rsid w:val="4DCB3F26"/>
    <w:rsid w:val="4DCD7C9F"/>
    <w:rsid w:val="4DD21759"/>
    <w:rsid w:val="4DD361CC"/>
    <w:rsid w:val="4DD63967"/>
    <w:rsid w:val="4E102281"/>
    <w:rsid w:val="4E147549"/>
    <w:rsid w:val="4E235B10"/>
    <w:rsid w:val="4E3221F7"/>
    <w:rsid w:val="4E413429"/>
    <w:rsid w:val="4E4A12EF"/>
    <w:rsid w:val="4E555EE6"/>
    <w:rsid w:val="4E6A24DF"/>
    <w:rsid w:val="4E6D76D3"/>
    <w:rsid w:val="4E704ACE"/>
    <w:rsid w:val="4E7E368F"/>
    <w:rsid w:val="4EA2379D"/>
    <w:rsid w:val="4EA672BC"/>
    <w:rsid w:val="4EAC01FC"/>
    <w:rsid w:val="4EAD5D22"/>
    <w:rsid w:val="4EB33338"/>
    <w:rsid w:val="4EC81E09"/>
    <w:rsid w:val="4ED211D4"/>
    <w:rsid w:val="4EDB463D"/>
    <w:rsid w:val="4EDC1AF2"/>
    <w:rsid w:val="4EDE412D"/>
    <w:rsid w:val="4EDF4BC9"/>
    <w:rsid w:val="4EEC4CDB"/>
    <w:rsid w:val="4EF31987"/>
    <w:rsid w:val="4F0040A4"/>
    <w:rsid w:val="4F204A3C"/>
    <w:rsid w:val="4F22755F"/>
    <w:rsid w:val="4F391364"/>
    <w:rsid w:val="4F433D3D"/>
    <w:rsid w:val="4F5945E4"/>
    <w:rsid w:val="4F741600"/>
    <w:rsid w:val="4F7A0F29"/>
    <w:rsid w:val="4F886A14"/>
    <w:rsid w:val="4F9059A7"/>
    <w:rsid w:val="4F9C3DCC"/>
    <w:rsid w:val="4FAE1D52"/>
    <w:rsid w:val="4FB8672C"/>
    <w:rsid w:val="4FC41575"/>
    <w:rsid w:val="4FE14544"/>
    <w:rsid w:val="4FE63299"/>
    <w:rsid w:val="4FE94B38"/>
    <w:rsid w:val="4FF359B6"/>
    <w:rsid w:val="4FF43C08"/>
    <w:rsid w:val="4FF512DD"/>
    <w:rsid w:val="4FFF6840"/>
    <w:rsid w:val="50081462"/>
    <w:rsid w:val="501716A5"/>
    <w:rsid w:val="5023629C"/>
    <w:rsid w:val="502E2498"/>
    <w:rsid w:val="503C110B"/>
    <w:rsid w:val="504B75A0"/>
    <w:rsid w:val="507A7F65"/>
    <w:rsid w:val="508B1FD2"/>
    <w:rsid w:val="509947B0"/>
    <w:rsid w:val="50CC06E1"/>
    <w:rsid w:val="50E772C9"/>
    <w:rsid w:val="50F47C38"/>
    <w:rsid w:val="50FC089B"/>
    <w:rsid w:val="50FE4613"/>
    <w:rsid w:val="510C31D4"/>
    <w:rsid w:val="510F0659"/>
    <w:rsid w:val="51121E6C"/>
    <w:rsid w:val="511931FB"/>
    <w:rsid w:val="51226553"/>
    <w:rsid w:val="513F7105"/>
    <w:rsid w:val="514B4D6F"/>
    <w:rsid w:val="5151508A"/>
    <w:rsid w:val="51644DBE"/>
    <w:rsid w:val="518014CC"/>
    <w:rsid w:val="519C7B76"/>
    <w:rsid w:val="519F5DF6"/>
    <w:rsid w:val="51AC22C1"/>
    <w:rsid w:val="51C55131"/>
    <w:rsid w:val="51D57A6A"/>
    <w:rsid w:val="51DA0BDC"/>
    <w:rsid w:val="51E8779D"/>
    <w:rsid w:val="52043EAB"/>
    <w:rsid w:val="52102850"/>
    <w:rsid w:val="521C7446"/>
    <w:rsid w:val="5224454D"/>
    <w:rsid w:val="522B768A"/>
    <w:rsid w:val="52412A09"/>
    <w:rsid w:val="525F3E0F"/>
    <w:rsid w:val="525F7333"/>
    <w:rsid w:val="5264494A"/>
    <w:rsid w:val="52661EC6"/>
    <w:rsid w:val="527C6BD3"/>
    <w:rsid w:val="5290573F"/>
    <w:rsid w:val="529F40C8"/>
    <w:rsid w:val="52A9519F"/>
    <w:rsid w:val="52AD4542"/>
    <w:rsid w:val="52DD6C90"/>
    <w:rsid w:val="52E53CDC"/>
    <w:rsid w:val="52EF6909"/>
    <w:rsid w:val="52F43F1F"/>
    <w:rsid w:val="52FB3500"/>
    <w:rsid w:val="530E3233"/>
    <w:rsid w:val="531B2907"/>
    <w:rsid w:val="531E71EE"/>
    <w:rsid w:val="532C190B"/>
    <w:rsid w:val="533F4446"/>
    <w:rsid w:val="53420F93"/>
    <w:rsid w:val="5344250C"/>
    <w:rsid w:val="534C78B7"/>
    <w:rsid w:val="535A6478"/>
    <w:rsid w:val="536015B5"/>
    <w:rsid w:val="537312E8"/>
    <w:rsid w:val="538057B3"/>
    <w:rsid w:val="53855C63"/>
    <w:rsid w:val="53B01EB6"/>
    <w:rsid w:val="53D02297"/>
    <w:rsid w:val="53DF7F49"/>
    <w:rsid w:val="53E67D0C"/>
    <w:rsid w:val="53EB25C6"/>
    <w:rsid w:val="53EC109A"/>
    <w:rsid w:val="53F1045F"/>
    <w:rsid w:val="54152226"/>
    <w:rsid w:val="54251074"/>
    <w:rsid w:val="542D593B"/>
    <w:rsid w:val="543D5452"/>
    <w:rsid w:val="543E18F6"/>
    <w:rsid w:val="54414F42"/>
    <w:rsid w:val="546724CF"/>
    <w:rsid w:val="54680721"/>
    <w:rsid w:val="546C1096"/>
    <w:rsid w:val="54725D38"/>
    <w:rsid w:val="547370C6"/>
    <w:rsid w:val="547855F9"/>
    <w:rsid w:val="548D63DA"/>
    <w:rsid w:val="54924F20"/>
    <w:rsid w:val="5495528E"/>
    <w:rsid w:val="54B020C8"/>
    <w:rsid w:val="54B05B9B"/>
    <w:rsid w:val="54B43966"/>
    <w:rsid w:val="54C3004D"/>
    <w:rsid w:val="54C47921"/>
    <w:rsid w:val="54C65448"/>
    <w:rsid w:val="54D97871"/>
    <w:rsid w:val="54DB5397"/>
    <w:rsid w:val="54DE09E3"/>
    <w:rsid w:val="54F41FB5"/>
    <w:rsid w:val="54FA4A5B"/>
    <w:rsid w:val="550F75E9"/>
    <w:rsid w:val="55163767"/>
    <w:rsid w:val="551E684F"/>
    <w:rsid w:val="554773D3"/>
    <w:rsid w:val="555B0286"/>
    <w:rsid w:val="55603AEE"/>
    <w:rsid w:val="55621614"/>
    <w:rsid w:val="556A141A"/>
    <w:rsid w:val="558F7F2F"/>
    <w:rsid w:val="55983288"/>
    <w:rsid w:val="55A51501"/>
    <w:rsid w:val="55B47996"/>
    <w:rsid w:val="55BA31FE"/>
    <w:rsid w:val="55BE25C3"/>
    <w:rsid w:val="55D10548"/>
    <w:rsid w:val="55DF2C65"/>
    <w:rsid w:val="55E464CD"/>
    <w:rsid w:val="55F95777"/>
    <w:rsid w:val="55FA2E24"/>
    <w:rsid w:val="560E354A"/>
    <w:rsid w:val="5627460C"/>
    <w:rsid w:val="563665FD"/>
    <w:rsid w:val="564C5E20"/>
    <w:rsid w:val="565730C7"/>
    <w:rsid w:val="565C6063"/>
    <w:rsid w:val="565D27AC"/>
    <w:rsid w:val="565F3DA6"/>
    <w:rsid w:val="567809C3"/>
    <w:rsid w:val="567D5FDA"/>
    <w:rsid w:val="56835CE6"/>
    <w:rsid w:val="568B1C25"/>
    <w:rsid w:val="5697709C"/>
    <w:rsid w:val="569972B8"/>
    <w:rsid w:val="569E48CE"/>
    <w:rsid w:val="56AD68BF"/>
    <w:rsid w:val="56AE2637"/>
    <w:rsid w:val="56C360E3"/>
    <w:rsid w:val="56CB143B"/>
    <w:rsid w:val="56CB31E9"/>
    <w:rsid w:val="56D4123E"/>
    <w:rsid w:val="57032983"/>
    <w:rsid w:val="57183C68"/>
    <w:rsid w:val="57342B3C"/>
    <w:rsid w:val="57390153"/>
    <w:rsid w:val="57482A0C"/>
    <w:rsid w:val="575136EE"/>
    <w:rsid w:val="57566F57"/>
    <w:rsid w:val="578C0BCA"/>
    <w:rsid w:val="579007C5"/>
    <w:rsid w:val="57A51C8C"/>
    <w:rsid w:val="57B65C47"/>
    <w:rsid w:val="57BB500C"/>
    <w:rsid w:val="57CD34C6"/>
    <w:rsid w:val="57D1482F"/>
    <w:rsid w:val="57D8535D"/>
    <w:rsid w:val="57E205B1"/>
    <w:rsid w:val="57E9601D"/>
    <w:rsid w:val="57F8404E"/>
    <w:rsid w:val="58044C05"/>
    <w:rsid w:val="581C1EE8"/>
    <w:rsid w:val="581F37ED"/>
    <w:rsid w:val="5842572D"/>
    <w:rsid w:val="58445001"/>
    <w:rsid w:val="58555460"/>
    <w:rsid w:val="58690763"/>
    <w:rsid w:val="586C27AA"/>
    <w:rsid w:val="58782EFD"/>
    <w:rsid w:val="587B1D88"/>
    <w:rsid w:val="58816255"/>
    <w:rsid w:val="58904A09"/>
    <w:rsid w:val="58A43CF2"/>
    <w:rsid w:val="58A81A34"/>
    <w:rsid w:val="58AD704A"/>
    <w:rsid w:val="58B55EFF"/>
    <w:rsid w:val="58DC348C"/>
    <w:rsid w:val="58F033DB"/>
    <w:rsid w:val="58FF53CC"/>
    <w:rsid w:val="591A2206"/>
    <w:rsid w:val="591E3AA4"/>
    <w:rsid w:val="59457283"/>
    <w:rsid w:val="594828CF"/>
    <w:rsid w:val="594E2CA9"/>
    <w:rsid w:val="59592D2E"/>
    <w:rsid w:val="595E6596"/>
    <w:rsid w:val="5980475F"/>
    <w:rsid w:val="598D0C2A"/>
    <w:rsid w:val="59926619"/>
    <w:rsid w:val="5999312B"/>
    <w:rsid w:val="59A3044D"/>
    <w:rsid w:val="59A57D21"/>
    <w:rsid w:val="59C53F20"/>
    <w:rsid w:val="59CA7788"/>
    <w:rsid w:val="59CD1026"/>
    <w:rsid w:val="59D800F7"/>
    <w:rsid w:val="59DC6FCB"/>
    <w:rsid w:val="59F64A21"/>
    <w:rsid w:val="5A1035F7"/>
    <w:rsid w:val="5A105AE3"/>
    <w:rsid w:val="5A184997"/>
    <w:rsid w:val="5A1B7FE4"/>
    <w:rsid w:val="5A1C6E0C"/>
    <w:rsid w:val="5A3317D1"/>
    <w:rsid w:val="5A44100C"/>
    <w:rsid w:val="5A504131"/>
    <w:rsid w:val="5A5654C0"/>
    <w:rsid w:val="5A5B042F"/>
    <w:rsid w:val="5A647BDD"/>
    <w:rsid w:val="5A7122F9"/>
    <w:rsid w:val="5A7871E4"/>
    <w:rsid w:val="5A7F547A"/>
    <w:rsid w:val="5A8E4C59"/>
    <w:rsid w:val="5A92474A"/>
    <w:rsid w:val="5A955FE8"/>
    <w:rsid w:val="5A9A1850"/>
    <w:rsid w:val="5A9F6E67"/>
    <w:rsid w:val="5AA14230"/>
    <w:rsid w:val="5AAD617C"/>
    <w:rsid w:val="5AB04BD0"/>
    <w:rsid w:val="5AB126F6"/>
    <w:rsid w:val="5AB741B0"/>
    <w:rsid w:val="5AD05272"/>
    <w:rsid w:val="5AD32765"/>
    <w:rsid w:val="5ADF3707"/>
    <w:rsid w:val="5AE147BC"/>
    <w:rsid w:val="5B0003E9"/>
    <w:rsid w:val="5B060C94"/>
    <w:rsid w:val="5B06785A"/>
    <w:rsid w:val="5B0D3DD0"/>
    <w:rsid w:val="5B0E7B48"/>
    <w:rsid w:val="5B1213E7"/>
    <w:rsid w:val="5B15722A"/>
    <w:rsid w:val="5B277F80"/>
    <w:rsid w:val="5B2E3D47"/>
    <w:rsid w:val="5B351579"/>
    <w:rsid w:val="5B413A7A"/>
    <w:rsid w:val="5B465534"/>
    <w:rsid w:val="5B48210E"/>
    <w:rsid w:val="5B4D0671"/>
    <w:rsid w:val="5B592970"/>
    <w:rsid w:val="5B653C0C"/>
    <w:rsid w:val="5B6A1223"/>
    <w:rsid w:val="5B6D0B16"/>
    <w:rsid w:val="5B773940"/>
    <w:rsid w:val="5B865B38"/>
    <w:rsid w:val="5BA142A2"/>
    <w:rsid w:val="5BA74225"/>
    <w:rsid w:val="5BAF6C35"/>
    <w:rsid w:val="5BBA55DA"/>
    <w:rsid w:val="5BBC1352"/>
    <w:rsid w:val="5BC67C01"/>
    <w:rsid w:val="5BDB3ECE"/>
    <w:rsid w:val="5BE32D83"/>
    <w:rsid w:val="5BE54D4D"/>
    <w:rsid w:val="5BF22FC6"/>
    <w:rsid w:val="5BF84A80"/>
    <w:rsid w:val="5C1967A5"/>
    <w:rsid w:val="5C204614"/>
    <w:rsid w:val="5C2A09B2"/>
    <w:rsid w:val="5C593045"/>
    <w:rsid w:val="5C7E21EA"/>
    <w:rsid w:val="5C8C6F77"/>
    <w:rsid w:val="5C904CB9"/>
    <w:rsid w:val="5C961BA3"/>
    <w:rsid w:val="5C965957"/>
    <w:rsid w:val="5C9A5B38"/>
    <w:rsid w:val="5C9F314E"/>
    <w:rsid w:val="5CA46855"/>
    <w:rsid w:val="5CAC7619"/>
    <w:rsid w:val="5CC7140E"/>
    <w:rsid w:val="5CD31049"/>
    <w:rsid w:val="5CD91DC8"/>
    <w:rsid w:val="5CE2128D"/>
    <w:rsid w:val="5CEB6393"/>
    <w:rsid w:val="5CED474D"/>
    <w:rsid w:val="5CFE605F"/>
    <w:rsid w:val="5D1C479E"/>
    <w:rsid w:val="5D1F7DEB"/>
    <w:rsid w:val="5D243924"/>
    <w:rsid w:val="5D3A69D3"/>
    <w:rsid w:val="5D46181B"/>
    <w:rsid w:val="5D601473"/>
    <w:rsid w:val="5D61126F"/>
    <w:rsid w:val="5D6E48CE"/>
    <w:rsid w:val="5D746389"/>
    <w:rsid w:val="5D8660BC"/>
    <w:rsid w:val="5D881E34"/>
    <w:rsid w:val="5D8D11F8"/>
    <w:rsid w:val="5D8F3E14"/>
    <w:rsid w:val="5D916BB6"/>
    <w:rsid w:val="5D9562FF"/>
    <w:rsid w:val="5DA14CA4"/>
    <w:rsid w:val="5DA622BA"/>
    <w:rsid w:val="5DD140D6"/>
    <w:rsid w:val="5DD5494D"/>
    <w:rsid w:val="5DEA664B"/>
    <w:rsid w:val="5E162F9C"/>
    <w:rsid w:val="5E190CDE"/>
    <w:rsid w:val="5E314D0C"/>
    <w:rsid w:val="5E3E6996"/>
    <w:rsid w:val="5E4A70E9"/>
    <w:rsid w:val="5E5E2B95"/>
    <w:rsid w:val="5E6722B3"/>
    <w:rsid w:val="5E895E64"/>
    <w:rsid w:val="5E8F2D4E"/>
    <w:rsid w:val="5E99597B"/>
    <w:rsid w:val="5EAB402C"/>
    <w:rsid w:val="5EBA426F"/>
    <w:rsid w:val="5EBA56ED"/>
    <w:rsid w:val="5EBD5B0D"/>
    <w:rsid w:val="5EC155FD"/>
    <w:rsid w:val="5ED52E57"/>
    <w:rsid w:val="5EDF3CD6"/>
    <w:rsid w:val="5EE65064"/>
    <w:rsid w:val="5EF57055"/>
    <w:rsid w:val="5EF86974"/>
    <w:rsid w:val="5F100333"/>
    <w:rsid w:val="5F105C3D"/>
    <w:rsid w:val="5F1915C7"/>
    <w:rsid w:val="5F1C2834"/>
    <w:rsid w:val="5F1D65AC"/>
    <w:rsid w:val="5F2913F5"/>
    <w:rsid w:val="5F2E2567"/>
    <w:rsid w:val="5F4955F3"/>
    <w:rsid w:val="5F4C0C3F"/>
    <w:rsid w:val="5F625217"/>
    <w:rsid w:val="5F7563E8"/>
    <w:rsid w:val="5F830B05"/>
    <w:rsid w:val="5F881C77"/>
    <w:rsid w:val="5F903222"/>
    <w:rsid w:val="5FA62A45"/>
    <w:rsid w:val="5FC133DB"/>
    <w:rsid w:val="5FCC63D2"/>
    <w:rsid w:val="5FD27396"/>
    <w:rsid w:val="5FDE4B10"/>
    <w:rsid w:val="5FF732A1"/>
    <w:rsid w:val="5FF7504F"/>
    <w:rsid w:val="600C0AFA"/>
    <w:rsid w:val="60186BB6"/>
    <w:rsid w:val="60275934"/>
    <w:rsid w:val="602A2D2E"/>
    <w:rsid w:val="603718EF"/>
    <w:rsid w:val="60477D84"/>
    <w:rsid w:val="604F09E7"/>
    <w:rsid w:val="60714E01"/>
    <w:rsid w:val="607C7302"/>
    <w:rsid w:val="6089214B"/>
    <w:rsid w:val="60912DAE"/>
    <w:rsid w:val="60934205"/>
    <w:rsid w:val="60B82A30"/>
    <w:rsid w:val="60C82547"/>
    <w:rsid w:val="60D84E80"/>
    <w:rsid w:val="60D94755"/>
    <w:rsid w:val="60EF5D26"/>
    <w:rsid w:val="610C0686"/>
    <w:rsid w:val="61151C31"/>
    <w:rsid w:val="611B5BCB"/>
    <w:rsid w:val="61202383"/>
    <w:rsid w:val="61227B07"/>
    <w:rsid w:val="612B4FB0"/>
    <w:rsid w:val="61314591"/>
    <w:rsid w:val="614217D3"/>
    <w:rsid w:val="614222FA"/>
    <w:rsid w:val="614E0843"/>
    <w:rsid w:val="616440FB"/>
    <w:rsid w:val="6166248C"/>
    <w:rsid w:val="61B74A96"/>
    <w:rsid w:val="61BF176E"/>
    <w:rsid w:val="61FE0917"/>
    <w:rsid w:val="622A170C"/>
    <w:rsid w:val="622A34BA"/>
    <w:rsid w:val="623600B0"/>
    <w:rsid w:val="624502F4"/>
    <w:rsid w:val="625E46F7"/>
    <w:rsid w:val="626F35C2"/>
    <w:rsid w:val="62726C0F"/>
    <w:rsid w:val="628C0198"/>
    <w:rsid w:val="62961CD1"/>
    <w:rsid w:val="629B7F14"/>
    <w:rsid w:val="62A56FE4"/>
    <w:rsid w:val="62AA45FB"/>
    <w:rsid w:val="62DA4EE0"/>
    <w:rsid w:val="62E96ED1"/>
    <w:rsid w:val="62EA2C49"/>
    <w:rsid w:val="633914DA"/>
    <w:rsid w:val="63422A85"/>
    <w:rsid w:val="634467FD"/>
    <w:rsid w:val="634C56B2"/>
    <w:rsid w:val="635527B8"/>
    <w:rsid w:val="635F53E5"/>
    <w:rsid w:val="636B3D8A"/>
    <w:rsid w:val="6372336A"/>
    <w:rsid w:val="63732C3E"/>
    <w:rsid w:val="638B7F88"/>
    <w:rsid w:val="63AD43A2"/>
    <w:rsid w:val="63C416EC"/>
    <w:rsid w:val="63C74D38"/>
    <w:rsid w:val="63CB4828"/>
    <w:rsid w:val="63CE4319"/>
    <w:rsid w:val="63DD2128"/>
    <w:rsid w:val="63DD630A"/>
    <w:rsid w:val="63F548A0"/>
    <w:rsid w:val="6408782B"/>
    <w:rsid w:val="64163A5C"/>
    <w:rsid w:val="641937E6"/>
    <w:rsid w:val="64346872"/>
    <w:rsid w:val="643C74D4"/>
    <w:rsid w:val="643E4FFA"/>
    <w:rsid w:val="64496434"/>
    <w:rsid w:val="644A1BF1"/>
    <w:rsid w:val="644F0FB6"/>
    <w:rsid w:val="645034A6"/>
    <w:rsid w:val="64517A1F"/>
    <w:rsid w:val="64591E34"/>
    <w:rsid w:val="645B3DFE"/>
    <w:rsid w:val="645E569D"/>
    <w:rsid w:val="64605501"/>
    <w:rsid w:val="646D58E0"/>
    <w:rsid w:val="647B624F"/>
    <w:rsid w:val="648A46E4"/>
    <w:rsid w:val="649015CE"/>
    <w:rsid w:val="64A00D91"/>
    <w:rsid w:val="64B61035"/>
    <w:rsid w:val="64D4595F"/>
    <w:rsid w:val="64F60C68"/>
    <w:rsid w:val="64FB738F"/>
    <w:rsid w:val="65077AE2"/>
    <w:rsid w:val="65096EB2"/>
    <w:rsid w:val="65134204"/>
    <w:rsid w:val="651421FF"/>
    <w:rsid w:val="652266CA"/>
    <w:rsid w:val="65375112"/>
    <w:rsid w:val="65384140"/>
    <w:rsid w:val="653D1756"/>
    <w:rsid w:val="6554084E"/>
    <w:rsid w:val="65562818"/>
    <w:rsid w:val="655A2308"/>
    <w:rsid w:val="65613696"/>
    <w:rsid w:val="656C3DE9"/>
    <w:rsid w:val="657131AE"/>
    <w:rsid w:val="65817895"/>
    <w:rsid w:val="659155FE"/>
    <w:rsid w:val="65921AA2"/>
    <w:rsid w:val="65A43583"/>
    <w:rsid w:val="65A96DEB"/>
    <w:rsid w:val="65C23A09"/>
    <w:rsid w:val="65C502FA"/>
    <w:rsid w:val="65C634F9"/>
    <w:rsid w:val="65EB2F60"/>
    <w:rsid w:val="660A5ADC"/>
    <w:rsid w:val="662B5A52"/>
    <w:rsid w:val="66304E17"/>
    <w:rsid w:val="66326DE1"/>
    <w:rsid w:val="665A1E94"/>
    <w:rsid w:val="6660394E"/>
    <w:rsid w:val="666A657B"/>
    <w:rsid w:val="666F3B91"/>
    <w:rsid w:val="667A42E4"/>
    <w:rsid w:val="667E1F15"/>
    <w:rsid w:val="667F18FA"/>
    <w:rsid w:val="66846F11"/>
    <w:rsid w:val="668F5CC8"/>
    <w:rsid w:val="6695111E"/>
    <w:rsid w:val="66AC4499"/>
    <w:rsid w:val="66AF0431"/>
    <w:rsid w:val="66BA5B15"/>
    <w:rsid w:val="66BB48A2"/>
    <w:rsid w:val="66CB4B3F"/>
    <w:rsid w:val="66F67E0E"/>
    <w:rsid w:val="67073DC9"/>
    <w:rsid w:val="671B7875"/>
    <w:rsid w:val="6723497B"/>
    <w:rsid w:val="672F50CE"/>
    <w:rsid w:val="6732696D"/>
    <w:rsid w:val="67362901"/>
    <w:rsid w:val="67395F4D"/>
    <w:rsid w:val="673B3A73"/>
    <w:rsid w:val="673E3F04"/>
    <w:rsid w:val="67416316"/>
    <w:rsid w:val="674C3ED2"/>
    <w:rsid w:val="67535FBE"/>
    <w:rsid w:val="67537805"/>
    <w:rsid w:val="675904AD"/>
    <w:rsid w:val="67642FCA"/>
    <w:rsid w:val="67751BDF"/>
    <w:rsid w:val="67851192"/>
    <w:rsid w:val="678C0773"/>
    <w:rsid w:val="679338AF"/>
    <w:rsid w:val="6796514D"/>
    <w:rsid w:val="67B657F0"/>
    <w:rsid w:val="67B87403"/>
    <w:rsid w:val="67BD6B7E"/>
    <w:rsid w:val="67C43A69"/>
    <w:rsid w:val="67C63C85"/>
    <w:rsid w:val="67DA14DE"/>
    <w:rsid w:val="67DA328C"/>
    <w:rsid w:val="67DD2D7C"/>
    <w:rsid w:val="67F434E7"/>
    <w:rsid w:val="67F56318"/>
    <w:rsid w:val="68164CDD"/>
    <w:rsid w:val="681C1AF7"/>
    <w:rsid w:val="68307350"/>
    <w:rsid w:val="683A3D2B"/>
    <w:rsid w:val="68540EE4"/>
    <w:rsid w:val="685E210F"/>
    <w:rsid w:val="686F42B4"/>
    <w:rsid w:val="68757459"/>
    <w:rsid w:val="688F051A"/>
    <w:rsid w:val="68921DB9"/>
    <w:rsid w:val="68994EF5"/>
    <w:rsid w:val="68A67612"/>
    <w:rsid w:val="68AF64C7"/>
    <w:rsid w:val="68BC5088"/>
    <w:rsid w:val="68BF5CF0"/>
    <w:rsid w:val="68C77CB4"/>
    <w:rsid w:val="68CF2DE0"/>
    <w:rsid w:val="68D75A1D"/>
    <w:rsid w:val="68D76C7A"/>
    <w:rsid w:val="68D979E8"/>
    <w:rsid w:val="68DB3895"/>
    <w:rsid w:val="68EF4B15"/>
    <w:rsid w:val="69026F3E"/>
    <w:rsid w:val="69164798"/>
    <w:rsid w:val="691D5B26"/>
    <w:rsid w:val="692E7D33"/>
    <w:rsid w:val="69333419"/>
    <w:rsid w:val="693370F8"/>
    <w:rsid w:val="693E5A9D"/>
    <w:rsid w:val="694110E9"/>
    <w:rsid w:val="69584DB0"/>
    <w:rsid w:val="696A6892"/>
    <w:rsid w:val="69794D27"/>
    <w:rsid w:val="69796746"/>
    <w:rsid w:val="69851500"/>
    <w:rsid w:val="69872FA0"/>
    <w:rsid w:val="698E07D2"/>
    <w:rsid w:val="698F1514"/>
    <w:rsid w:val="69A25601"/>
    <w:rsid w:val="69AC6EAA"/>
    <w:rsid w:val="69B41B59"/>
    <w:rsid w:val="69B55D5F"/>
    <w:rsid w:val="69BB70ED"/>
    <w:rsid w:val="69BD4C13"/>
    <w:rsid w:val="69DA3A17"/>
    <w:rsid w:val="69E46644"/>
    <w:rsid w:val="6A152CA1"/>
    <w:rsid w:val="6A1A3E14"/>
    <w:rsid w:val="6A2627B9"/>
    <w:rsid w:val="6A2C121C"/>
    <w:rsid w:val="6A3273AF"/>
    <w:rsid w:val="6A42494F"/>
    <w:rsid w:val="6A5A4B58"/>
    <w:rsid w:val="6A847B28"/>
    <w:rsid w:val="6A9C0CCD"/>
    <w:rsid w:val="6AAE0890"/>
    <w:rsid w:val="6AB06526"/>
    <w:rsid w:val="6AD9782B"/>
    <w:rsid w:val="6AE306AA"/>
    <w:rsid w:val="6AE34B4E"/>
    <w:rsid w:val="6AE6019A"/>
    <w:rsid w:val="6AF428B7"/>
    <w:rsid w:val="6B105217"/>
    <w:rsid w:val="6B1B42E7"/>
    <w:rsid w:val="6B2A62D8"/>
    <w:rsid w:val="6B2C4788"/>
    <w:rsid w:val="6B2F7D93"/>
    <w:rsid w:val="6B360F09"/>
    <w:rsid w:val="6B476E8A"/>
    <w:rsid w:val="6B490B56"/>
    <w:rsid w:val="6B4A0729"/>
    <w:rsid w:val="6B517D09"/>
    <w:rsid w:val="6B5E2426"/>
    <w:rsid w:val="6B6206EB"/>
    <w:rsid w:val="6B741C4A"/>
    <w:rsid w:val="6B8974A3"/>
    <w:rsid w:val="6B8E2D0B"/>
    <w:rsid w:val="6B947BF6"/>
    <w:rsid w:val="6BA442DD"/>
    <w:rsid w:val="6BC77FCB"/>
    <w:rsid w:val="6BCB7ABB"/>
    <w:rsid w:val="6BD4557B"/>
    <w:rsid w:val="6BD526E8"/>
    <w:rsid w:val="6BDB3A77"/>
    <w:rsid w:val="6BE75F78"/>
    <w:rsid w:val="6BF6440D"/>
    <w:rsid w:val="6C007039"/>
    <w:rsid w:val="6C0528A2"/>
    <w:rsid w:val="6C134FBF"/>
    <w:rsid w:val="6C221C5D"/>
    <w:rsid w:val="6C3F4006"/>
    <w:rsid w:val="6C627CF4"/>
    <w:rsid w:val="6C9B5B88"/>
    <w:rsid w:val="6CC53D97"/>
    <w:rsid w:val="6CD40BF2"/>
    <w:rsid w:val="6CD72490"/>
    <w:rsid w:val="6CE1330F"/>
    <w:rsid w:val="6CE46D64"/>
    <w:rsid w:val="6CF05300"/>
    <w:rsid w:val="6CF941B4"/>
    <w:rsid w:val="6CFC5A53"/>
    <w:rsid w:val="6D06067F"/>
    <w:rsid w:val="6D413DAD"/>
    <w:rsid w:val="6D4301F5"/>
    <w:rsid w:val="6D480C98"/>
    <w:rsid w:val="6D6A0223"/>
    <w:rsid w:val="6D6C72FB"/>
    <w:rsid w:val="6D714693"/>
    <w:rsid w:val="6D893BCE"/>
    <w:rsid w:val="6D8D0DA1"/>
    <w:rsid w:val="6D943EDD"/>
    <w:rsid w:val="6D9D5488"/>
    <w:rsid w:val="6DAC1227"/>
    <w:rsid w:val="6DAC56CB"/>
    <w:rsid w:val="6DAE1443"/>
    <w:rsid w:val="6DB10BE4"/>
    <w:rsid w:val="6DC5719D"/>
    <w:rsid w:val="6DD62748"/>
    <w:rsid w:val="6DEE5CE3"/>
    <w:rsid w:val="6DEF6D39"/>
    <w:rsid w:val="6DFC39FA"/>
    <w:rsid w:val="6E011BB8"/>
    <w:rsid w:val="6E096679"/>
    <w:rsid w:val="6E0E1EE1"/>
    <w:rsid w:val="6E13574A"/>
    <w:rsid w:val="6E252AFA"/>
    <w:rsid w:val="6E3768BB"/>
    <w:rsid w:val="6E4753F3"/>
    <w:rsid w:val="6E761835"/>
    <w:rsid w:val="6E91041D"/>
    <w:rsid w:val="6EA12D56"/>
    <w:rsid w:val="6EA165BF"/>
    <w:rsid w:val="6EAC6C62"/>
    <w:rsid w:val="6EAE5472"/>
    <w:rsid w:val="6EC425A0"/>
    <w:rsid w:val="6EC86534"/>
    <w:rsid w:val="6ECC24BD"/>
    <w:rsid w:val="6ED44ED9"/>
    <w:rsid w:val="6ED547AD"/>
    <w:rsid w:val="6ED70525"/>
    <w:rsid w:val="6ED76777"/>
    <w:rsid w:val="6ED859D4"/>
    <w:rsid w:val="6EE4639C"/>
    <w:rsid w:val="6EF32E85"/>
    <w:rsid w:val="6EFF7A7C"/>
    <w:rsid w:val="6F0B4673"/>
    <w:rsid w:val="6F1277AF"/>
    <w:rsid w:val="6F143527"/>
    <w:rsid w:val="6F1A48B6"/>
    <w:rsid w:val="6F2F65B3"/>
    <w:rsid w:val="6F367AAA"/>
    <w:rsid w:val="6F593630"/>
    <w:rsid w:val="6F5E29F5"/>
    <w:rsid w:val="6F665B7C"/>
    <w:rsid w:val="6F67167E"/>
    <w:rsid w:val="6F6D70DC"/>
    <w:rsid w:val="6F795A80"/>
    <w:rsid w:val="6F8A37EA"/>
    <w:rsid w:val="6F914B78"/>
    <w:rsid w:val="6F9D176F"/>
    <w:rsid w:val="6FA04DBB"/>
    <w:rsid w:val="6FA66085"/>
    <w:rsid w:val="6FA92B76"/>
    <w:rsid w:val="6FC735D0"/>
    <w:rsid w:val="6FD131C7"/>
    <w:rsid w:val="6FD9651F"/>
    <w:rsid w:val="6FEA24DA"/>
    <w:rsid w:val="6FF13869"/>
    <w:rsid w:val="6FF173C5"/>
    <w:rsid w:val="70003AAC"/>
    <w:rsid w:val="70043FE9"/>
    <w:rsid w:val="700446E7"/>
    <w:rsid w:val="70115CB9"/>
    <w:rsid w:val="70133B8B"/>
    <w:rsid w:val="70180DF5"/>
    <w:rsid w:val="70194B6E"/>
    <w:rsid w:val="701D28B0"/>
    <w:rsid w:val="701E2184"/>
    <w:rsid w:val="70291255"/>
    <w:rsid w:val="703B221B"/>
    <w:rsid w:val="70455963"/>
    <w:rsid w:val="70482D3C"/>
    <w:rsid w:val="70553DF8"/>
    <w:rsid w:val="7060454A"/>
    <w:rsid w:val="70657DB3"/>
    <w:rsid w:val="706F478E"/>
    <w:rsid w:val="707A385E"/>
    <w:rsid w:val="70812E3F"/>
    <w:rsid w:val="70822713"/>
    <w:rsid w:val="70A73F27"/>
    <w:rsid w:val="70A94143"/>
    <w:rsid w:val="70AC59E2"/>
    <w:rsid w:val="70C1323B"/>
    <w:rsid w:val="70CE7706"/>
    <w:rsid w:val="70FA04FB"/>
    <w:rsid w:val="71211F2C"/>
    <w:rsid w:val="71213CDA"/>
    <w:rsid w:val="713954C7"/>
    <w:rsid w:val="713F6856"/>
    <w:rsid w:val="714125CE"/>
    <w:rsid w:val="714479C8"/>
    <w:rsid w:val="715440AF"/>
    <w:rsid w:val="71632544"/>
    <w:rsid w:val="71855AEB"/>
    <w:rsid w:val="71B82B42"/>
    <w:rsid w:val="71E60A7F"/>
    <w:rsid w:val="7205184D"/>
    <w:rsid w:val="722577FA"/>
    <w:rsid w:val="722F68CA"/>
    <w:rsid w:val="724277EB"/>
    <w:rsid w:val="72457E9C"/>
    <w:rsid w:val="726A345E"/>
    <w:rsid w:val="726F7ACC"/>
    <w:rsid w:val="72783DCD"/>
    <w:rsid w:val="727A5D97"/>
    <w:rsid w:val="72BF37AA"/>
    <w:rsid w:val="72C45265"/>
    <w:rsid w:val="72D354A8"/>
    <w:rsid w:val="72D46B55"/>
    <w:rsid w:val="72E651DB"/>
    <w:rsid w:val="73124222"/>
    <w:rsid w:val="7329331A"/>
    <w:rsid w:val="732D105C"/>
    <w:rsid w:val="732E0930"/>
    <w:rsid w:val="733240C8"/>
    <w:rsid w:val="73326672"/>
    <w:rsid w:val="73350A8D"/>
    <w:rsid w:val="73375A36"/>
    <w:rsid w:val="734D7008"/>
    <w:rsid w:val="735A34D3"/>
    <w:rsid w:val="737427E7"/>
    <w:rsid w:val="738505EC"/>
    <w:rsid w:val="738642C8"/>
    <w:rsid w:val="739369E5"/>
    <w:rsid w:val="73944C37"/>
    <w:rsid w:val="7399224D"/>
    <w:rsid w:val="73BE1CB4"/>
    <w:rsid w:val="73CA68AB"/>
    <w:rsid w:val="73E84F83"/>
    <w:rsid w:val="73EF6311"/>
    <w:rsid w:val="740A456F"/>
    <w:rsid w:val="74147B26"/>
    <w:rsid w:val="741C4C2C"/>
    <w:rsid w:val="742353DA"/>
    <w:rsid w:val="7439758C"/>
    <w:rsid w:val="743B7B07"/>
    <w:rsid w:val="744F19D3"/>
    <w:rsid w:val="7462004D"/>
    <w:rsid w:val="74730CF0"/>
    <w:rsid w:val="747C5960"/>
    <w:rsid w:val="74942A15"/>
    <w:rsid w:val="74A0760B"/>
    <w:rsid w:val="74A5322D"/>
    <w:rsid w:val="74BF3F35"/>
    <w:rsid w:val="74C23AFE"/>
    <w:rsid w:val="74C50E20"/>
    <w:rsid w:val="74D6302D"/>
    <w:rsid w:val="74E97204"/>
    <w:rsid w:val="74EC0AA3"/>
    <w:rsid w:val="74EC45FF"/>
    <w:rsid w:val="75176F6D"/>
    <w:rsid w:val="7521074C"/>
    <w:rsid w:val="75271ADB"/>
    <w:rsid w:val="75295853"/>
    <w:rsid w:val="752E10BB"/>
    <w:rsid w:val="75306BE1"/>
    <w:rsid w:val="753D12FE"/>
    <w:rsid w:val="753D4E5A"/>
    <w:rsid w:val="754461E9"/>
    <w:rsid w:val="75460086"/>
    <w:rsid w:val="75501031"/>
    <w:rsid w:val="75547074"/>
    <w:rsid w:val="755723C0"/>
    <w:rsid w:val="75581C94"/>
    <w:rsid w:val="755D1930"/>
    <w:rsid w:val="75610B49"/>
    <w:rsid w:val="75660855"/>
    <w:rsid w:val="756D1BE3"/>
    <w:rsid w:val="757402D4"/>
    <w:rsid w:val="75790588"/>
    <w:rsid w:val="7587636C"/>
    <w:rsid w:val="7589009F"/>
    <w:rsid w:val="758C6643"/>
    <w:rsid w:val="75BF7F65"/>
    <w:rsid w:val="75C630A2"/>
    <w:rsid w:val="75CC5FE3"/>
    <w:rsid w:val="75DD24E2"/>
    <w:rsid w:val="75FE6CDF"/>
    <w:rsid w:val="75FF0362"/>
    <w:rsid w:val="760140DA"/>
    <w:rsid w:val="760F67F7"/>
    <w:rsid w:val="761262E7"/>
    <w:rsid w:val="76206C56"/>
    <w:rsid w:val="762156C3"/>
    <w:rsid w:val="76361FD5"/>
    <w:rsid w:val="765D3A06"/>
    <w:rsid w:val="766308F1"/>
    <w:rsid w:val="7668404E"/>
    <w:rsid w:val="766C1E9B"/>
    <w:rsid w:val="768216BE"/>
    <w:rsid w:val="768C2280"/>
    <w:rsid w:val="769413F2"/>
    <w:rsid w:val="76A42E74"/>
    <w:rsid w:val="76AE24B4"/>
    <w:rsid w:val="76B15B00"/>
    <w:rsid w:val="76B4739E"/>
    <w:rsid w:val="76BD44A5"/>
    <w:rsid w:val="76D35A76"/>
    <w:rsid w:val="76DF7186"/>
    <w:rsid w:val="76E30E67"/>
    <w:rsid w:val="76E3579A"/>
    <w:rsid w:val="76E41A31"/>
    <w:rsid w:val="76FA1255"/>
    <w:rsid w:val="7708325D"/>
    <w:rsid w:val="770C71DA"/>
    <w:rsid w:val="77170059"/>
    <w:rsid w:val="771A5453"/>
    <w:rsid w:val="77207530"/>
    <w:rsid w:val="772207AC"/>
    <w:rsid w:val="772269FE"/>
    <w:rsid w:val="77275DC2"/>
    <w:rsid w:val="772C162A"/>
    <w:rsid w:val="773C7ABF"/>
    <w:rsid w:val="773F135E"/>
    <w:rsid w:val="774150D6"/>
    <w:rsid w:val="77461E0F"/>
    <w:rsid w:val="77476464"/>
    <w:rsid w:val="775A60AB"/>
    <w:rsid w:val="7763043E"/>
    <w:rsid w:val="776B0A68"/>
    <w:rsid w:val="776E1C43"/>
    <w:rsid w:val="77737259"/>
    <w:rsid w:val="77822FF8"/>
    <w:rsid w:val="778B6351"/>
    <w:rsid w:val="779C67B0"/>
    <w:rsid w:val="77AB254F"/>
    <w:rsid w:val="77AD276B"/>
    <w:rsid w:val="77AE0291"/>
    <w:rsid w:val="77B21B30"/>
    <w:rsid w:val="77C33D3D"/>
    <w:rsid w:val="77C655DB"/>
    <w:rsid w:val="77C67389"/>
    <w:rsid w:val="77ED2B68"/>
    <w:rsid w:val="77F24622"/>
    <w:rsid w:val="77F263D0"/>
    <w:rsid w:val="77F54C8C"/>
    <w:rsid w:val="780725D0"/>
    <w:rsid w:val="781F6A99"/>
    <w:rsid w:val="78202F3D"/>
    <w:rsid w:val="78300CA6"/>
    <w:rsid w:val="78374F2B"/>
    <w:rsid w:val="784E29B1"/>
    <w:rsid w:val="78564BB1"/>
    <w:rsid w:val="786556B0"/>
    <w:rsid w:val="7883527A"/>
    <w:rsid w:val="789D6986"/>
    <w:rsid w:val="78A51694"/>
    <w:rsid w:val="78A84CE1"/>
    <w:rsid w:val="78AE679B"/>
    <w:rsid w:val="78B11DE7"/>
    <w:rsid w:val="78C53AE4"/>
    <w:rsid w:val="78C961F4"/>
    <w:rsid w:val="78E201F2"/>
    <w:rsid w:val="78EC2E1F"/>
    <w:rsid w:val="78F85C68"/>
    <w:rsid w:val="790C09D0"/>
    <w:rsid w:val="79461A8D"/>
    <w:rsid w:val="794E5888"/>
    <w:rsid w:val="79761603"/>
    <w:rsid w:val="797B41A3"/>
    <w:rsid w:val="79960FDD"/>
    <w:rsid w:val="799B65F3"/>
    <w:rsid w:val="79A11E5C"/>
    <w:rsid w:val="79A74F98"/>
    <w:rsid w:val="79AE4579"/>
    <w:rsid w:val="79CE4C1B"/>
    <w:rsid w:val="79D7587D"/>
    <w:rsid w:val="79E07F17"/>
    <w:rsid w:val="79FC52E4"/>
    <w:rsid w:val="7A3031E0"/>
    <w:rsid w:val="7A456C8B"/>
    <w:rsid w:val="7A4869B1"/>
    <w:rsid w:val="7A57076C"/>
    <w:rsid w:val="7A5B64AE"/>
    <w:rsid w:val="7A6335B5"/>
    <w:rsid w:val="7A6F1F5A"/>
    <w:rsid w:val="7A7D3706"/>
    <w:rsid w:val="7A835A05"/>
    <w:rsid w:val="7A8E67CA"/>
    <w:rsid w:val="7A992EB0"/>
    <w:rsid w:val="7AB23BF5"/>
    <w:rsid w:val="7AC5601E"/>
    <w:rsid w:val="7AC878BC"/>
    <w:rsid w:val="7AC95903"/>
    <w:rsid w:val="7ACF6C80"/>
    <w:rsid w:val="7AD24297"/>
    <w:rsid w:val="7AE446F6"/>
    <w:rsid w:val="7AEA5A84"/>
    <w:rsid w:val="7AEA7832"/>
    <w:rsid w:val="7AEF309B"/>
    <w:rsid w:val="7AFB37ED"/>
    <w:rsid w:val="7B220D7A"/>
    <w:rsid w:val="7B22521E"/>
    <w:rsid w:val="7B2965AD"/>
    <w:rsid w:val="7B2B675B"/>
    <w:rsid w:val="7B4231CA"/>
    <w:rsid w:val="7B4C5DF7"/>
    <w:rsid w:val="7B682BCF"/>
    <w:rsid w:val="7B6A44CF"/>
    <w:rsid w:val="7B7B5475"/>
    <w:rsid w:val="7B7E37E5"/>
    <w:rsid w:val="7B825CBD"/>
    <w:rsid w:val="7B9C6D7F"/>
    <w:rsid w:val="7BAB5214"/>
    <w:rsid w:val="7BAE0860"/>
    <w:rsid w:val="7BAE6AB2"/>
    <w:rsid w:val="7BC736D0"/>
    <w:rsid w:val="7BCB1412"/>
    <w:rsid w:val="7BD302C6"/>
    <w:rsid w:val="7BD53ACF"/>
    <w:rsid w:val="7BDD7A2E"/>
    <w:rsid w:val="7BE46D13"/>
    <w:rsid w:val="7BF070CA"/>
    <w:rsid w:val="7BFD3595"/>
    <w:rsid w:val="7C0650D6"/>
    <w:rsid w:val="7C1D4A2A"/>
    <w:rsid w:val="7C26221E"/>
    <w:rsid w:val="7C2B0102"/>
    <w:rsid w:val="7C321491"/>
    <w:rsid w:val="7C32323F"/>
    <w:rsid w:val="7C3E1BE4"/>
    <w:rsid w:val="7C507E19"/>
    <w:rsid w:val="7C556F2D"/>
    <w:rsid w:val="7C5C650E"/>
    <w:rsid w:val="7C5E5DE2"/>
    <w:rsid w:val="7C7B2E38"/>
    <w:rsid w:val="7C7D5DB7"/>
    <w:rsid w:val="7C8D3F62"/>
    <w:rsid w:val="7C9712F4"/>
    <w:rsid w:val="7C9B7036"/>
    <w:rsid w:val="7CA83501"/>
    <w:rsid w:val="7CAF4890"/>
    <w:rsid w:val="7CB023B6"/>
    <w:rsid w:val="7CBE540B"/>
    <w:rsid w:val="7CC7607D"/>
    <w:rsid w:val="7CCF4F32"/>
    <w:rsid w:val="7CD6006E"/>
    <w:rsid w:val="7CE043F9"/>
    <w:rsid w:val="7CE521C1"/>
    <w:rsid w:val="7CF93D5D"/>
    <w:rsid w:val="7D2A03BA"/>
    <w:rsid w:val="7D3D633F"/>
    <w:rsid w:val="7D3E3E65"/>
    <w:rsid w:val="7D423956"/>
    <w:rsid w:val="7D553689"/>
    <w:rsid w:val="7D580A83"/>
    <w:rsid w:val="7D6F401F"/>
    <w:rsid w:val="7D7D2BE0"/>
    <w:rsid w:val="7D8C0B5A"/>
    <w:rsid w:val="7D8C2E23"/>
    <w:rsid w:val="7D8E6B9B"/>
    <w:rsid w:val="7DA168CE"/>
    <w:rsid w:val="7DB36601"/>
    <w:rsid w:val="7DB61C4E"/>
    <w:rsid w:val="7DBA7990"/>
    <w:rsid w:val="7DC425BD"/>
    <w:rsid w:val="7DCC05BA"/>
    <w:rsid w:val="7DDB2463"/>
    <w:rsid w:val="7DE10FB0"/>
    <w:rsid w:val="7DF7741D"/>
    <w:rsid w:val="7DFD162B"/>
    <w:rsid w:val="7E2117BD"/>
    <w:rsid w:val="7E377DAE"/>
    <w:rsid w:val="7E3808B5"/>
    <w:rsid w:val="7E431733"/>
    <w:rsid w:val="7E663674"/>
    <w:rsid w:val="7E762BF0"/>
    <w:rsid w:val="7E8E6727"/>
    <w:rsid w:val="7E8F4979"/>
    <w:rsid w:val="7EAB552B"/>
    <w:rsid w:val="7EC47257"/>
    <w:rsid w:val="7ECD724F"/>
    <w:rsid w:val="7ED625A7"/>
    <w:rsid w:val="7ED84181"/>
    <w:rsid w:val="7F0A04A3"/>
    <w:rsid w:val="7F111831"/>
    <w:rsid w:val="7F1B4387"/>
    <w:rsid w:val="7F2A46A1"/>
    <w:rsid w:val="7F3A6FAD"/>
    <w:rsid w:val="7F4734A5"/>
    <w:rsid w:val="7F4F4108"/>
    <w:rsid w:val="7F567244"/>
    <w:rsid w:val="7F98785D"/>
    <w:rsid w:val="7FB126CD"/>
    <w:rsid w:val="7FB34697"/>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unhideWhenUsed="0" w:uiPriority="0" w:semiHidden="0" w:name="Strong"/>
    <w:lsdException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left="142" w:firstLine="704" w:firstLineChars="220"/>
      <w:jc w:val="both"/>
    </w:pPr>
    <w:rPr>
      <w:rFonts w:ascii="Times New Roman" w:hAnsi="Times New Roman" w:eastAsia="仿宋_GB2312" w:cstheme="minorBidi"/>
      <w:kern w:val="2"/>
      <w:sz w:val="32"/>
      <w:szCs w:val="32"/>
      <w:lang w:val="en-US" w:eastAsia="zh-CN" w:bidi="ar-SA"/>
    </w:rPr>
  </w:style>
  <w:style w:type="paragraph" w:styleId="3">
    <w:name w:val="heading 1"/>
    <w:basedOn w:val="4"/>
    <w:next w:val="1"/>
    <w:qFormat/>
    <w:uiPriority w:val="0"/>
    <w:pPr>
      <w:adjustRightInd w:val="0"/>
      <w:snapToGrid w:val="0"/>
      <w:spacing w:after="0"/>
      <w:ind w:left="0" w:leftChars="0" w:firstLine="0" w:firstLineChars="0"/>
      <w:jc w:val="left"/>
      <w:outlineLvl w:val="0"/>
    </w:pPr>
    <w:rPr>
      <w:rFonts w:eastAsia="黑体"/>
      <w:b/>
      <w:kern w:val="44"/>
    </w:rPr>
  </w:style>
  <w:style w:type="paragraph" w:styleId="5">
    <w:name w:val="heading 2"/>
    <w:basedOn w:val="4"/>
    <w:next w:val="1"/>
    <w:unhideWhenUsed/>
    <w:qFormat/>
    <w:uiPriority w:val="0"/>
    <w:pPr>
      <w:adjustRightInd w:val="0"/>
      <w:snapToGrid w:val="0"/>
      <w:spacing w:after="0"/>
      <w:ind w:left="0" w:leftChars="0" w:firstLine="0" w:firstLineChars="0"/>
      <w:outlineLvl w:val="1"/>
    </w:pPr>
    <w:rPr>
      <w:rFonts w:ascii="Arial" w:hAnsi="Arial" w:eastAsia="楷体_GB2312"/>
      <w:b/>
    </w:rPr>
  </w:style>
  <w:style w:type="paragraph" w:styleId="6">
    <w:name w:val="heading 3"/>
    <w:basedOn w:val="1"/>
    <w:next w:val="1"/>
    <w:unhideWhenUsed/>
    <w:qFormat/>
    <w:uiPriority w:val="0"/>
    <w:pPr>
      <w:adjustRightInd w:val="0"/>
      <w:snapToGrid w:val="0"/>
      <w:ind w:left="0" w:firstLine="643" w:firstLineChars="200"/>
      <w:outlineLvl w:val="2"/>
    </w:pPr>
    <w:rPr>
      <w:b/>
    </w:rPr>
  </w:style>
  <w:style w:type="paragraph" w:styleId="7">
    <w:name w:val="heading 4"/>
    <w:basedOn w:val="1"/>
    <w:next w:val="1"/>
    <w:link w:val="4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1"/>
    <w:unhideWhenUsed/>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4">
    <w:name w:val="Body Text Indent"/>
    <w:basedOn w:val="1"/>
    <w:qFormat/>
    <w:uiPriority w:val="0"/>
    <w:pPr>
      <w:spacing w:after="120"/>
      <w:ind w:left="420" w:leftChars="200"/>
    </w:pPr>
  </w:style>
  <w:style w:type="paragraph" w:styleId="9">
    <w:name w:val="toc 7"/>
    <w:basedOn w:val="1"/>
    <w:next w:val="1"/>
    <w:qFormat/>
    <w:uiPriority w:val="0"/>
    <w:pPr>
      <w:ind w:left="1920"/>
      <w:jc w:val="left"/>
    </w:pPr>
    <w:rPr>
      <w:rFonts w:asciiTheme="minorHAnsi" w:hAnsiTheme="minorHAnsi" w:cstheme="minorHAnsi"/>
      <w:sz w:val="18"/>
      <w:szCs w:val="18"/>
    </w:rPr>
  </w:style>
  <w:style w:type="paragraph" w:styleId="10">
    <w:name w:val="caption"/>
    <w:basedOn w:val="1"/>
    <w:next w:val="1"/>
    <w:qFormat/>
    <w:uiPriority w:val="35"/>
    <w:pPr>
      <w:widowControl w:val="0"/>
      <w:spacing w:line="240" w:lineRule="auto"/>
      <w:ind w:left="0" w:firstLine="200" w:firstLineChars="200"/>
      <w:jc w:val="center"/>
    </w:pPr>
    <w:rPr>
      <w:rFonts w:ascii="Cambria" w:hAnsi="Cambria" w:eastAsia="黑体" w:cs="Times New Roman"/>
      <w:sz w:val="28"/>
      <w:szCs w:val="20"/>
    </w:rPr>
  </w:style>
  <w:style w:type="paragraph" w:styleId="11">
    <w:name w:val="Document Map"/>
    <w:basedOn w:val="1"/>
    <w:link w:val="51"/>
    <w:semiHidden/>
    <w:unhideWhenUsed/>
    <w:qFormat/>
    <w:uiPriority w:val="0"/>
    <w:rPr>
      <w:rFonts w:ascii="宋体" w:eastAsia="宋体"/>
      <w:sz w:val="18"/>
      <w:szCs w:val="18"/>
    </w:rPr>
  </w:style>
  <w:style w:type="paragraph" w:styleId="12">
    <w:name w:val="annotation text"/>
    <w:basedOn w:val="1"/>
    <w:link w:val="47"/>
    <w:qFormat/>
    <w:uiPriority w:val="0"/>
    <w:pPr>
      <w:jc w:val="left"/>
    </w:pPr>
  </w:style>
  <w:style w:type="paragraph" w:styleId="13">
    <w:name w:val="toc 5"/>
    <w:basedOn w:val="1"/>
    <w:next w:val="1"/>
    <w:qFormat/>
    <w:uiPriority w:val="0"/>
    <w:pPr>
      <w:ind w:left="1280"/>
      <w:jc w:val="left"/>
    </w:pPr>
    <w:rPr>
      <w:rFonts w:asciiTheme="minorHAnsi" w:hAnsiTheme="minorHAnsi" w:cstheme="minorHAnsi"/>
      <w:sz w:val="18"/>
      <w:szCs w:val="18"/>
    </w:rPr>
  </w:style>
  <w:style w:type="paragraph" w:styleId="14">
    <w:name w:val="toc 3"/>
    <w:basedOn w:val="1"/>
    <w:next w:val="1"/>
    <w:qFormat/>
    <w:uiPriority w:val="39"/>
    <w:pPr>
      <w:ind w:left="640"/>
      <w:jc w:val="left"/>
    </w:pPr>
    <w:rPr>
      <w:rFonts w:asciiTheme="minorHAnsi" w:hAnsiTheme="minorHAnsi" w:cstheme="minorHAnsi"/>
      <w:i/>
      <w:iCs/>
      <w:sz w:val="20"/>
      <w:szCs w:val="20"/>
    </w:rPr>
  </w:style>
  <w:style w:type="paragraph" w:styleId="15">
    <w:name w:val="toc 8"/>
    <w:basedOn w:val="1"/>
    <w:next w:val="1"/>
    <w:qFormat/>
    <w:uiPriority w:val="0"/>
    <w:pPr>
      <w:ind w:left="2240"/>
      <w:jc w:val="left"/>
    </w:pPr>
    <w:rPr>
      <w:rFonts w:asciiTheme="minorHAnsi" w:hAnsiTheme="minorHAnsi" w:cstheme="minorHAnsi"/>
      <w:sz w:val="18"/>
      <w:szCs w:val="18"/>
    </w:rPr>
  </w:style>
  <w:style w:type="paragraph" w:styleId="16">
    <w:name w:val="endnote text"/>
    <w:basedOn w:val="1"/>
    <w:link w:val="50"/>
    <w:qFormat/>
    <w:uiPriority w:val="0"/>
    <w:pPr>
      <w:snapToGrid w:val="0"/>
      <w:jc w:val="left"/>
    </w:pPr>
  </w:style>
  <w:style w:type="paragraph" w:styleId="17">
    <w:name w:val="Balloon Text"/>
    <w:basedOn w:val="1"/>
    <w:link w:val="46"/>
    <w:qFormat/>
    <w:uiPriority w:val="0"/>
    <w:pPr>
      <w:spacing w:line="240" w:lineRule="auto"/>
    </w:pPr>
    <w:rPr>
      <w:sz w:val="18"/>
      <w:szCs w:val="18"/>
    </w:rPr>
  </w:style>
  <w:style w:type="paragraph" w:styleId="18">
    <w:name w:val="footer"/>
    <w:basedOn w:val="1"/>
    <w:link w:val="37"/>
    <w:qFormat/>
    <w:uiPriority w:val="0"/>
    <w:pPr>
      <w:tabs>
        <w:tab w:val="center" w:pos="4153"/>
        <w:tab w:val="right" w:pos="8306"/>
      </w:tabs>
      <w:snapToGrid w:val="0"/>
      <w:jc w:val="left"/>
    </w:pPr>
    <w:rPr>
      <w:sz w:val="18"/>
      <w:szCs w:val="18"/>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ind w:left="0" w:firstLine="0" w:firstLineChars="0"/>
      <w:jc w:val="center"/>
    </w:pPr>
    <w:rPr>
      <w:rFonts w:ascii="仿宋_GB2312" w:hAnsi="仿宋_GB2312" w:eastAsia="黑体" w:cstheme="minorHAnsi"/>
      <w:bCs/>
      <w:caps/>
    </w:rPr>
  </w:style>
  <w:style w:type="paragraph" w:styleId="21">
    <w:name w:val="toc 4"/>
    <w:basedOn w:val="1"/>
    <w:next w:val="1"/>
    <w:qFormat/>
    <w:uiPriority w:val="0"/>
    <w:pPr>
      <w:ind w:left="960"/>
      <w:jc w:val="left"/>
    </w:pPr>
    <w:rPr>
      <w:rFonts w:asciiTheme="minorHAnsi" w:hAnsiTheme="minorHAnsi" w:cstheme="minorHAnsi"/>
      <w:sz w:val="18"/>
      <w:szCs w:val="18"/>
    </w:rPr>
  </w:style>
  <w:style w:type="paragraph" w:styleId="22">
    <w:name w:val="footnote text"/>
    <w:basedOn w:val="1"/>
    <w:link w:val="43"/>
    <w:unhideWhenUsed/>
    <w:qFormat/>
    <w:uiPriority w:val="99"/>
    <w:pPr>
      <w:widowControl w:val="0"/>
      <w:adjustRightInd w:val="0"/>
      <w:snapToGrid w:val="0"/>
      <w:spacing w:line="560" w:lineRule="exact"/>
      <w:ind w:left="0" w:firstLine="200" w:firstLineChars="200"/>
      <w:jc w:val="left"/>
    </w:pPr>
    <w:rPr>
      <w:rFonts w:cs="Times New Roman"/>
      <w:sz w:val="18"/>
      <w:szCs w:val="18"/>
    </w:rPr>
  </w:style>
  <w:style w:type="paragraph" w:styleId="23">
    <w:name w:val="toc 6"/>
    <w:basedOn w:val="1"/>
    <w:next w:val="1"/>
    <w:qFormat/>
    <w:uiPriority w:val="0"/>
    <w:pPr>
      <w:ind w:left="1600"/>
      <w:jc w:val="left"/>
    </w:pPr>
    <w:rPr>
      <w:rFonts w:asciiTheme="minorHAnsi" w:hAnsiTheme="minorHAnsi" w:cstheme="minorHAnsi"/>
      <w:sz w:val="18"/>
      <w:szCs w:val="18"/>
    </w:rPr>
  </w:style>
  <w:style w:type="paragraph" w:styleId="24">
    <w:name w:val="Body Text Indent 3"/>
    <w:basedOn w:val="1"/>
    <w:link w:val="45"/>
    <w:qFormat/>
    <w:uiPriority w:val="0"/>
    <w:pPr>
      <w:spacing w:after="120"/>
      <w:ind w:left="420" w:leftChars="200"/>
    </w:pPr>
    <w:rPr>
      <w:sz w:val="16"/>
      <w:szCs w:val="16"/>
    </w:rPr>
  </w:style>
  <w:style w:type="paragraph" w:styleId="25">
    <w:name w:val="toc 2"/>
    <w:basedOn w:val="1"/>
    <w:next w:val="1"/>
    <w:qFormat/>
    <w:uiPriority w:val="39"/>
    <w:pPr>
      <w:ind w:left="320"/>
      <w:jc w:val="left"/>
    </w:pPr>
    <w:rPr>
      <w:rFonts w:eastAsia="楷体" w:asciiTheme="minorHAnsi" w:hAnsiTheme="minorHAnsi" w:cstheme="minorHAnsi"/>
      <w:smallCaps/>
      <w:szCs w:val="20"/>
    </w:rPr>
  </w:style>
  <w:style w:type="paragraph" w:styleId="26">
    <w:name w:val="toc 9"/>
    <w:basedOn w:val="1"/>
    <w:next w:val="1"/>
    <w:qFormat/>
    <w:uiPriority w:val="0"/>
    <w:pPr>
      <w:ind w:left="2560"/>
      <w:jc w:val="left"/>
    </w:pPr>
    <w:rPr>
      <w:rFonts w:asciiTheme="minorHAnsi" w:hAnsiTheme="minorHAnsi" w:cstheme="minorHAnsi"/>
      <w:sz w:val="18"/>
      <w:szCs w:val="18"/>
    </w:rPr>
  </w:style>
  <w:style w:type="paragraph" w:styleId="27">
    <w:name w:val="Normal (Web)"/>
    <w:basedOn w:val="1"/>
    <w:unhideWhenUsed/>
    <w:qFormat/>
    <w:uiPriority w:val="99"/>
    <w:pPr>
      <w:adjustRightInd w:val="0"/>
      <w:snapToGrid w:val="0"/>
      <w:spacing w:line="560" w:lineRule="exact"/>
      <w:ind w:firstLine="200" w:firstLineChars="200"/>
    </w:pPr>
    <w:rPr>
      <w:rFonts w:asciiTheme="minorHAnsi" w:hAnsiTheme="minorHAnsi"/>
      <w:sz w:val="24"/>
      <w:szCs w:val="22"/>
    </w:rPr>
  </w:style>
  <w:style w:type="paragraph" w:styleId="28">
    <w:name w:val="annotation subject"/>
    <w:basedOn w:val="12"/>
    <w:next w:val="12"/>
    <w:link w:val="48"/>
    <w:qFormat/>
    <w:uiPriority w:val="0"/>
    <w:rPr>
      <w:b/>
      <w:bCs/>
    </w:rPr>
  </w:style>
  <w:style w:type="character" w:styleId="31">
    <w:name w:val="endnote reference"/>
    <w:basedOn w:val="30"/>
    <w:qFormat/>
    <w:uiPriority w:val="0"/>
    <w:rPr>
      <w:vertAlign w:val="superscript"/>
    </w:rPr>
  </w:style>
  <w:style w:type="character" w:styleId="32">
    <w:name w:val="page number"/>
    <w:qFormat/>
    <w:uiPriority w:val="0"/>
    <w:rPr>
      <w:rFonts w:ascii="Times New Roman" w:hAnsi="Times New Roman" w:eastAsia="宋体" w:cs="Times New Roman"/>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qFormat/>
    <w:uiPriority w:val="0"/>
    <w:rPr>
      <w:sz w:val="21"/>
      <w:szCs w:val="21"/>
    </w:rPr>
  </w:style>
  <w:style w:type="character" w:styleId="35">
    <w:name w:val="footnote reference"/>
    <w:basedOn w:val="30"/>
    <w:unhideWhenUsed/>
    <w:qFormat/>
    <w:uiPriority w:val="99"/>
    <w:rPr>
      <w:vertAlign w:val="superscript"/>
    </w:rPr>
  </w:style>
  <w:style w:type="character" w:customStyle="1" w:styleId="36">
    <w:name w:val="页眉 Char"/>
    <w:basedOn w:val="30"/>
    <w:link w:val="19"/>
    <w:qFormat/>
    <w:uiPriority w:val="0"/>
    <w:rPr>
      <w:rFonts w:eastAsia="仿宋_GB2312" w:cstheme="minorBidi"/>
      <w:kern w:val="2"/>
      <w:sz w:val="18"/>
      <w:szCs w:val="18"/>
    </w:rPr>
  </w:style>
  <w:style w:type="character" w:customStyle="1" w:styleId="37">
    <w:name w:val="页脚 Char"/>
    <w:basedOn w:val="30"/>
    <w:link w:val="18"/>
    <w:qFormat/>
    <w:uiPriority w:val="99"/>
    <w:rPr>
      <w:rFonts w:eastAsia="仿宋_GB2312" w:cstheme="minorBidi"/>
      <w:kern w:val="2"/>
      <w:sz w:val="18"/>
      <w:szCs w:val="18"/>
    </w:rPr>
  </w:style>
  <w:style w:type="paragraph" w:styleId="38">
    <w:name w:val="List Paragraph"/>
    <w:basedOn w:val="1"/>
    <w:qFormat/>
    <w:uiPriority w:val="99"/>
    <w:pPr>
      <w:ind w:firstLine="420" w:firstLineChars="200"/>
    </w:pPr>
  </w:style>
  <w:style w:type="paragraph" w:customStyle="1" w:styleId="39">
    <w:name w:val="TOC 标题1"/>
    <w:basedOn w:val="3"/>
    <w:next w:val="1"/>
    <w:unhideWhenUsed/>
    <w:qFormat/>
    <w:uiPriority w:val="39"/>
    <w:pPr>
      <w:keepNext/>
      <w:keepLines/>
      <w:spacing w:before="240" w:line="259" w:lineRule="auto"/>
      <w:outlineLvl w:val="9"/>
    </w:pPr>
    <w:rPr>
      <w:rFonts w:asciiTheme="majorHAnsi" w:hAnsiTheme="majorHAnsi" w:eastAsiaTheme="majorEastAsia" w:cstheme="majorBidi"/>
      <w:color w:val="2E75B6" w:themeColor="accent1" w:themeShade="BF"/>
      <w:kern w:val="0"/>
    </w:rPr>
  </w:style>
  <w:style w:type="character" w:customStyle="1" w:styleId="40">
    <w:name w:val="标题 4 Char"/>
    <w:basedOn w:val="30"/>
    <w:link w:val="7"/>
    <w:qFormat/>
    <w:uiPriority w:val="0"/>
    <w:rPr>
      <w:rFonts w:asciiTheme="majorHAnsi" w:hAnsiTheme="majorHAnsi" w:eastAsiaTheme="majorEastAsia" w:cstheme="majorBidi"/>
      <w:b/>
      <w:bCs/>
      <w:kern w:val="2"/>
      <w:sz w:val="28"/>
      <w:szCs w:val="28"/>
    </w:rPr>
  </w:style>
  <w:style w:type="character" w:customStyle="1" w:styleId="41">
    <w:name w:val="标题 5 Char"/>
    <w:basedOn w:val="30"/>
    <w:link w:val="8"/>
    <w:qFormat/>
    <w:uiPriority w:val="0"/>
    <w:rPr>
      <w:rFonts w:eastAsia="仿宋_GB2312" w:cstheme="minorBidi"/>
      <w:b/>
      <w:bCs/>
      <w:kern w:val="2"/>
      <w:sz w:val="28"/>
      <w:szCs w:val="28"/>
    </w:rPr>
  </w:style>
  <w:style w:type="character" w:customStyle="1" w:styleId="42">
    <w:name w:val="脚注文本 字符"/>
    <w:basedOn w:val="30"/>
    <w:qFormat/>
    <w:uiPriority w:val="0"/>
    <w:rPr>
      <w:rFonts w:eastAsia="仿宋_GB2312" w:cstheme="minorBidi"/>
      <w:kern w:val="2"/>
      <w:sz w:val="18"/>
      <w:szCs w:val="18"/>
    </w:rPr>
  </w:style>
  <w:style w:type="character" w:customStyle="1" w:styleId="43">
    <w:name w:val="脚注文本 Char"/>
    <w:basedOn w:val="30"/>
    <w:link w:val="22"/>
    <w:qFormat/>
    <w:uiPriority w:val="99"/>
    <w:rPr>
      <w:rFonts w:eastAsia="仿宋_GB2312"/>
      <w:kern w:val="2"/>
      <w:sz w:val="18"/>
      <w:szCs w:val="18"/>
    </w:rPr>
  </w:style>
  <w:style w:type="paragraph" w:customStyle="1" w:styleId="44">
    <w:name w:val="p0"/>
    <w:basedOn w:val="1"/>
    <w:qFormat/>
    <w:uiPriority w:val="0"/>
    <w:pPr>
      <w:snapToGrid w:val="0"/>
      <w:spacing w:line="560" w:lineRule="exact"/>
      <w:ind w:left="0" w:firstLine="200" w:firstLineChars="200"/>
    </w:pPr>
    <w:rPr>
      <w:rFonts w:eastAsia="宋体" w:cs="Times New Roman"/>
      <w:kern w:val="0"/>
      <w:sz w:val="21"/>
      <w:szCs w:val="21"/>
    </w:rPr>
  </w:style>
  <w:style w:type="character" w:customStyle="1" w:styleId="45">
    <w:name w:val="正文文本缩进 3 Char"/>
    <w:basedOn w:val="30"/>
    <w:link w:val="24"/>
    <w:qFormat/>
    <w:uiPriority w:val="0"/>
    <w:rPr>
      <w:rFonts w:eastAsia="仿宋_GB2312" w:cstheme="minorBidi"/>
      <w:kern w:val="2"/>
      <w:sz w:val="16"/>
      <w:szCs w:val="16"/>
    </w:rPr>
  </w:style>
  <w:style w:type="character" w:customStyle="1" w:styleId="46">
    <w:name w:val="批注框文本 Char"/>
    <w:basedOn w:val="30"/>
    <w:link w:val="17"/>
    <w:qFormat/>
    <w:uiPriority w:val="0"/>
    <w:rPr>
      <w:rFonts w:eastAsia="仿宋_GB2312" w:cstheme="minorBidi"/>
      <w:kern w:val="2"/>
      <w:sz w:val="18"/>
      <w:szCs w:val="18"/>
    </w:rPr>
  </w:style>
  <w:style w:type="character" w:customStyle="1" w:styleId="47">
    <w:name w:val="批注文字 Char"/>
    <w:basedOn w:val="30"/>
    <w:link w:val="12"/>
    <w:qFormat/>
    <w:uiPriority w:val="0"/>
    <w:rPr>
      <w:rFonts w:eastAsia="仿宋_GB2312" w:cstheme="minorBidi"/>
      <w:kern w:val="2"/>
      <w:sz w:val="32"/>
      <w:szCs w:val="32"/>
    </w:rPr>
  </w:style>
  <w:style w:type="character" w:customStyle="1" w:styleId="48">
    <w:name w:val="批注主题 Char"/>
    <w:basedOn w:val="47"/>
    <w:link w:val="28"/>
    <w:qFormat/>
    <w:uiPriority w:val="0"/>
    <w:rPr>
      <w:rFonts w:eastAsia="仿宋_GB2312" w:cstheme="minorBidi"/>
      <w:b/>
      <w:bCs/>
      <w:kern w:val="2"/>
      <w:sz w:val="32"/>
      <w:szCs w:val="32"/>
    </w:rPr>
  </w:style>
  <w:style w:type="character" w:customStyle="1" w:styleId="49">
    <w:name w:val="页脚 Char2"/>
    <w:basedOn w:val="30"/>
    <w:qFormat/>
    <w:uiPriority w:val="0"/>
    <w:rPr>
      <w:sz w:val="18"/>
      <w:szCs w:val="18"/>
    </w:rPr>
  </w:style>
  <w:style w:type="character" w:customStyle="1" w:styleId="50">
    <w:name w:val="尾注文本 Char"/>
    <w:basedOn w:val="30"/>
    <w:link w:val="16"/>
    <w:qFormat/>
    <w:uiPriority w:val="0"/>
    <w:rPr>
      <w:rFonts w:eastAsia="仿宋_GB2312" w:cstheme="minorBidi"/>
      <w:kern w:val="2"/>
      <w:sz w:val="32"/>
      <w:szCs w:val="32"/>
    </w:rPr>
  </w:style>
  <w:style w:type="character" w:customStyle="1" w:styleId="51">
    <w:name w:val="文档结构图 Char"/>
    <w:basedOn w:val="30"/>
    <w:link w:val="11"/>
    <w:semiHidden/>
    <w:qFormat/>
    <w:uiPriority w:val="0"/>
    <w:rPr>
      <w:rFonts w:ascii="宋体" w:cstheme="minorBidi"/>
      <w:kern w:val="2"/>
      <w:sz w:val="18"/>
      <w:szCs w:val="18"/>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5">
    <w:name w:val="font01"/>
    <w:basedOn w:val="30"/>
    <w:qFormat/>
    <w:uiPriority w:val="0"/>
    <w:rPr>
      <w:rFonts w:hint="eastAsia" w:ascii="宋体" w:hAnsi="宋体" w:eastAsia="宋体" w:cs="宋体"/>
      <w:color w:val="000000"/>
      <w:sz w:val="22"/>
      <w:szCs w:val="22"/>
      <w:u w:val="none"/>
    </w:rPr>
  </w:style>
  <w:style w:type="character" w:customStyle="1" w:styleId="56">
    <w:name w:val="font51"/>
    <w:basedOn w:val="30"/>
    <w:qFormat/>
    <w:uiPriority w:val="0"/>
    <w:rPr>
      <w:rFonts w:hint="eastAsia" w:ascii="宋体" w:hAnsi="宋体" w:eastAsia="宋体" w:cs="宋体"/>
      <w:color w:val="000000"/>
      <w:sz w:val="22"/>
      <w:szCs w:val="22"/>
      <w:u w:val="none"/>
    </w:rPr>
  </w:style>
  <w:style w:type="character" w:customStyle="1" w:styleId="57">
    <w:name w:val="font91"/>
    <w:basedOn w:val="30"/>
    <w:qFormat/>
    <w:uiPriority w:val="0"/>
    <w:rPr>
      <w:rFonts w:hint="eastAsia" w:ascii="宋体" w:hAnsi="宋体" w:eastAsia="宋体" w:cs="宋体"/>
      <w:color w:val="FF0000"/>
      <w:sz w:val="22"/>
      <w:szCs w:val="22"/>
      <w:u w:val="none"/>
    </w:rPr>
  </w:style>
  <w:style w:type="character" w:customStyle="1" w:styleId="58">
    <w:name w:val="font61"/>
    <w:basedOn w:val="30"/>
    <w:qFormat/>
    <w:uiPriority w:val="0"/>
    <w:rPr>
      <w:rFonts w:hint="eastAsia" w:ascii="宋体" w:hAnsi="宋体" w:eastAsia="宋体" w:cs="宋体"/>
      <w:color w:val="000000"/>
      <w:sz w:val="22"/>
      <w:szCs w:val="22"/>
      <w:u w:val="none"/>
    </w:rPr>
  </w:style>
  <w:style w:type="character" w:customStyle="1" w:styleId="59">
    <w:name w:val="font71"/>
    <w:basedOn w:val="30"/>
    <w:qFormat/>
    <w:uiPriority w:val="0"/>
    <w:rPr>
      <w:rFonts w:ascii="Arial" w:hAnsi="Arial" w:cs="Arial"/>
      <w:color w:val="FF0000"/>
      <w:sz w:val="22"/>
      <w:szCs w:val="22"/>
      <w:u w:val="none"/>
    </w:rPr>
  </w:style>
  <w:style w:type="character" w:customStyle="1" w:styleId="60">
    <w:name w:val="font101"/>
    <w:basedOn w:val="30"/>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5E7C9-58A1-43D8-A39C-FD56B21732E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16318</Words>
  <Characters>17349</Characters>
  <Lines>39</Lines>
  <Paragraphs>52</Paragraphs>
  <TotalTime>22</TotalTime>
  <ScaleCrop>false</ScaleCrop>
  <LinksUpToDate>false</LinksUpToDate>
  <CharactersWithSpaces>17435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2022-04-22T06:58:00Z</dcterms:created>
  <dc:creator>Administrator</dc:creator>
  <cp:lastModifiedBy>strawn</cp:lastModifiedBy>
  <cp:lastPrinted>2022-12-01T01:51:00Z</cp:lastPrinted>
  <dcterms:modified xsi:type="dcterms:W3CDTF">2022-12-01T02:34:19Z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994758545EA34500B57C0293BEBDC7A1</vt:lpwstr>
  </property>
</Properties>
</file>