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4999" w:type="pct"/>
        <w:tblInd w:w="0" w:type="dxa"/>
        <w:tblLayout w:type="autofit"/>
        <w:tblCellMar>
          <w:top w:w="0" w:type="dxa"/>
          <w:left w:w="108" w:type="dxa"/>
          <w:bottom w:w="0" w:type="dxa"/>
          <w:right w:w="108" w:type="dxa"/>
        </w:tblCellMar>
      </w:tblPr>
      <w:tblGrid>
        <w:gridCol w:w="1183"/>
        <w:gridCol w:w="7913"/>
      </w:tblGrid>
      <w:tr>
        <w:tblPrEx>
          <w:tblCellMar>
            <w:top w:w="0" w:type="dxa"/>
            <w:left w:w="108" w:type="dxa"/>
            <w:bottom w:w="0" w:type="dxa"/>
            <w:right w:w="108" w:type="dxa"/>
          </w:tblCellMar>
        </w:tblPrEx>
        <w:trPr>
          <w:cantSplit/>
          <w:trHeight w:val="567" w:hRule="exact"/>
        </w:trPr>
        <w:tc>
          <w:tcPr>
            <w:tcW w:w="650" w:type="pct"/>
            <w:vMerge w:val="restart"/>
            <w:noWrap w:val="0"/>
            <w:tcMar>
              <w:left w:w="0" w:type="dxa"/>
              <w:right w:w="0" w:type="dxa"/>
            </w:tcMar>
            <w:vAlign w:val="top"/>
          </w:tcPr>
          <w:p>
            <w:pPr>
              <w:keepNext w:val="0"/>
              <w:keepLines w:val="0"/>
              <w:suppressLineNumbers w:val="0"/>
              <w:spacing w:before="0" w:beforeAutospacing="0" w:after="0" w:afterAutospacing="0" w:line="240" w:lineRule="atLeast"/>
              <w:ind w:left="0" w:right="0"/>
              <w:jc w:val="both"/>
              <w:rPr>
                <w:rFonts w:hint="default" w:eastAsia="隶书"/>
                <w:sz w:val="56"/>
              </w:rPr>
            </w:pPr>
            <w:bookmarkStart w:id="1" w:name="_GoBack"/>
            <w:bookmarkEnd w:id="1"/>
            <w:bookmarkStart w:id="0" w:name="_Toc20454"/>
            <w:r>
              <w:rPr>
                <w:rFonts w:hint="default" w:eastAsia="隶书"/>
                <w:sz w:val="72"/>
              </w:rPr>
              <w:drawing>
                <wp:anchor distT="0" distB="0" distL="114300" distR="114300" simplePos="0" relativeHeight="251659264" behindDoc="0" locked="0" layoutInCell="1" allowOverlap="1">
                  <wp:simplePos x="0" y="0"/>
                  <wp:positionH relativeFrom="column">
                    <wp:posOffset>6985</wp:posOffset>
                  </wp:positionH>
                  <wp:positionV relativeFrom="paragraph">
                    <wp:posOffset>-63500</wp:posOffset>
                  </wp:positionV>
                  <wp:extent cx="738505" cy="695325"/>
                  <wp:effectExtent l="0" t="0" r="0" b="8255"/>
                  <wp:wrapNone/>
                  <wp:docPr id="4" name="图片 1" descr="C:\Users\Administrator\Desktop\b5046a256f5e4545d4114942100b655.pngb5046a256f5e4545d4114942100b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b5046a256f5e4545d4114942100b655.pngb5046a256f5e4545d4114942100b655"/>
                          <pic:cNvPicPr>
                            <a:picLocks noChangeAspect="1"/>
                          </pic:cNvPicPr>
                        </pic:nvPicPr>
                        <pic:blipFill>
                          <a:blip r:embed="rId13"/>
                          <a:srcRect l="20811" r="3391"/>
                          <a:stretch>
                            <a:fillRect/>
                          </a:stretch>
                        </pic:blipFill>
                        <pic:spPr>
                          <a:xfrm>
                            <a:off x="0" y="0"/>
                            <a:ext cx="738505" cy="695325"/>
                          </a:xfrm>
                          <a:prstGeom prst="rect">
                            <a:avLst/>
                          </a:prstGeom>
                          <a:noFill/>
                          <a:ln>
                            <a:noFill/>
                          </a:ln>
                        </pic:spPr>
                      </pic:pic>
                    </a:graphicData>
                  </a:graphic>
                </wp:anchor>
              </w:drawing>
            </w:r>
          </w:p>
        </w:tc>
        <w:tc>
          <w:tcPr>
            <w:tcW w:w="4349" w:type="pct"/>
            <w:noWrap w:val="0"/>
            <w:tcMar>
              <w:left w:w="0" w:type="dxa"/>
              <w:right w:w="0" w:type="dxa"/>
            </w:tcMar>
            <w:vAlign w:val="center"/>
          </w:tcPr>
          <w:p>
            <w:pPr>
              <w:keepNext w:val="0"/>
              <w:keepLines w:val="0"/>
              <w:pageBreakBefore w:val="0"/>
              <w:widowControl w:val="0"/>
              <w:suppressLineNumbers w:val="0"/>
              <w:tabs>
                <w:tab w:val="left" w:pos="4410"/>
              </w:tabs>
              <w:kinsoku/>
              <w:wordWrap/>
              <w:overflowPunct/>
              <w:topLinePunct w:val="0"/>
              <w:autoSpaceDE/>
              <w:autoSpaceDN/>
              <w:bidi w:val="0"/>
              <w:adjustRightInd/>
              <w:snapToGrid/>
              <w:spacing w:before="0" w:beforeAutospacing="0" w:after="0" w:afterAutospacing="0" w:line="480" w:lineRule="exact"/>
              <w:ind w:left="0" w:right="0"/>
              <w:jc w:val="distribute"/>
              <w:textAlignment w:val="auto"/>
              <w:rPr>
                <w:rFonts w:hint="eastAsia" w:ascii="宋体" w:hAnsi="宋体" w:eastAsia="宋体" w:cs="宋体"/>
                <w:b/>
                <w:bCs/>
                <w:sz w:val="36"/>
                <w:szCs w:val="36"/>
              </w:rPr>
            </w:pPr>
            <w:r>
              <w:rPr>
                <w:rFonts w:hint="eastAsia" w:ascii="宋体" w:hAnsi="宋体" w:eastAsia="宋体" w:cs="宋体"/>
                <w:b/>
                <w:bCs/>
                <w:sz w:val="36"/>
                <w:szCs w:val="36"/>
              </w:rPr>
              <w:t>梅州正信合伙会计师事务所(普通合伙)</w:t>
            </w:r>
          </w:p>
        </w:tc>
      </w:tr>
      <w:tr>
        <w:tblPrEx>
          <w:tblCellMar>
            <w:top w:w="0" w:type="dxa"/>
            <w:left w:w="108" w:type="dxa"/>
            <w:bottom w:w="0" w:type="dxa"/>
            <w:right w:w="108" w:type="dxa"/>
          </w:tblCellMar>
        </w:tblPrEx>
        <w:trPr>
          <w:cantSplit/>
          <w:trHeight w:val="567" w:hRule="exact"/>
        </w:trPr>
        <w:tc>
          <w:tcPr>
            <w:tcW w:w="650" w:type="pct"/>
            <w:vMerge w:val="continue"/>
            <w:tcBorders>
              <w:bottom w:val="thickThinSmallGap" w:color="auto" w:sz="18" w:space="0"/>
            </w:tcBorders>
            <w:noWrap w:val="0"/>
            <w:tcMar>
              <w:left w:w="0" w:type="dxa"/>
              <w:right w:w="0" w:type="dxa"/>
            </w:tcMar>
            <w:vAlign w:val="top"/>
          </w:tcPr>
          <w:p>
            <w:pPr>
              <w:keepNext w:val="0"/>
              <w:keepLines w:val="0"/>
              <w:suppressLineNumbers w:val="0"/>
              <w:spacing w:before="0" w:beforeAutospacing="0" w:after="0" w:afterAutospacing="0" w:line="240" w:lineRule="atLeast"/>
              <w:ind w:left="0" w:right="0"/>
              <w:jc w:val="center"/>
              <w:rPr>
                <w:rFonts w:hint="default" w:eastAsia="隶书"/>
                <w:sz w:val="72"/>
              </w:rPr>
            </w:pPr>
          </w:p>
        </w:tc>
        <w:tc>
          <w:tcPr>
            <w:tcW w:w="4349" w:type="pct"/>
            <w:tcBorders>
              <w:bottom w:val="thickThinSmallGap" w:color="auto" w:sz="18" w:space="0"/>
            </w:tcBorders>
            <w:noWrap w:val="0"/>
            <w:tcMar>
              <w:left w:w="0" w:type="dxa"/>
              <w:right w:w="0"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distribute"/>
              <w:textAlignment w:val="auto"/>
              <w:rPr>
                <w:rFonts w:hint="default" w:ascii="宋体" w:hAnsi="宋体" w:cs="宋体"/>
                <w:w w:val="90"/>
                <w:sz w:val="21"/>
                <w:szCs w:val="21"/>
              </w:rPr>
            </w:pPr>
            <w:r>
              <w:rPr>
                <w:rFonts w:hint="eastAsia" w:ascii="宋体" w:hAnsi="宋体" w:cs="宋体"/>
                <w:b/>
                <w:bCs/>
                <w:w w:val="90"/>
                <w:sz w:val="28"/>
                <w:szCs w:val="28"/>
              </w:rPr>
              <w:t>MEIZHOU ZHENGXIN CERTIFIED PUBLIC ACCOUNTANTS</w:t>
            </w:r>
          </w:p>
        </w:tc>
      </w:tr>
      <w:bookmarkEnd w:id="0"/>
    </w:tbl>
    <w:p>
      <w:pPr>
        <w:keepNext w:val="0"/>
        <w:keepLines w:val="0"/>
        <w:pageBreakBefore w:val="0"/>
        <w:widowControl w:val="0"/>
        <w:kinsoku/>
        <w:wordWrap/>
        <w:overflowPunct/>
        <w:topLinePunct w:val="0"/>
        <w:autoSpaceDE w:val="0"/>
        <w:autoSpaceDN w:val="0"/>
        <w:bidi w:val="0"/>
        <w:adjustRightInd/>
        <w:snapToGrid/>
        <w:spacing w:line="290" w:lineRule="auto"/>
        <w:ind w:right="0"/>
        <w:jc w:val="both"/>
        <w:textAlignment w:val="auto"/>
        <w:outlineLvl w:val="0"/>
        <w:rPr>
          <w:rFonts w:ascii="Arial Unicode MS" w:hAnsi="Arial Unicode MS" w:eastAsia="Arial Unicode MS" w:cs="Arial Unicode MS"/>
          <w:b/>
          <w:bCs/>
          <w:kern w:val="36"/>
          <w:sz w:val="44"/>
          <w:szCs w:val="44"/>
        </w:rPr>
      </w:pPr>
    </w:p>
    <w:p>
      <w:pPr>
        <w:pStyle w:val="2"/>
        <w:rPr>
          <w:rFonts w:ascii="Arial Unicode MS" w:hAnsi="Arial Unicode MS" w:eastAsia="Arial Unicode MS" w:cs="Arial Unicode MS"/>
          <w:b/>
          <w:bCs/>
          <w:kern w:val="36"/>
          <w:sz w:val="44"/>
          <w:szCs w:val="44"/>
        </w:rPr>
      </w:pPr>
    </w:p>
    <w:p>
      <w:pPr>
        <w:pStyle w:val="2"/>
        <w:rPr>
          <w:rFonts w:ascii="Arial Unicode MS" w:hAnsi="Arial Unicode MS" w:eastAsia="Arial Unicode MS" w:cs="Arial Unicode MS"/>
          <w:b/>
          <w:bCs/>
          <w:kern w:val="36"/>
          <w:sz w:val="44"/>
          <w:szCs w:val="44"/>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outlineLvl w:val="0"/>
        <w:rPr>
          <w:rFonts w:hint="eastAsia" w:ascii="宋体" w:hAnsi="宋体" w:eastAsia="宋体" w:cs="宋体"/>
          <w:b/>
          <w:bCs/>
          <w:kern w:val="36"/>
          <w:sz w:val="40"/>
          <w:szCs w:val="40"/>
          <w:lang w:eastAsia="zh-CN"/>
        </w:rPr>
      </w:pPr>
      <w:r>
        <w:rPr>
          <w:rFonts w:hint="eastAsia" w:ascii="宋体" w:hAnsi="宋体" w:eastAsia="宋体" w:cs="宋体"/>
          <w:b/>
          <w:bCs/>
          <w:color w:val="000000"/>
          <w:kern w:val="0"/>
          <w:sz w:val="40"/>
          <w:szCs w:val="40"/>
          <w:lang w:val="en-US" w:eastAsia="zh-CN"/>
        </w:rPr>
        <w:t>202</w:t>
      </w:r>
      <w:r>
        <w:rPr>
          <w:rFonts w:hint="eastAsia" w:ascii="宋体" w:hAnsi="宋体" w:cs="宋体"/>
          <w:b/>
          <w:bCs/>
          <w:color w:val="000000"/>
          <w:kern w:val="0"/>
          <w:sz w:val="40"/>
          <w:szCs w:val="40"/>
          <w:lang w:val="en-US" w:eastAsia="zh-CN"/>
        </w:rPr>
        <w:t>1</w:t>
      </w:r>
      <w:r>
        <w:rPr>
          <w:rFonts w:hint="eastAsia" w:ascii="宋体" w:hAnsi="宋体" w:eastAsia="宋体" w:cs="宋体"/>
          <w:b/>
          <w:bCs/>
          <w:color w:val="000000"/>
          <w:kern w:val="0"/>
          <w:sz w:val="40"/>
          <w:szCs w:val="40"/>
          <w:lang w:val="en-US" w:eastAsia="zh-CN"/>
        </w:rPr>
        <w:t>年</w:t>
      </w:r>
      <w:r>
        <w:rPr>
          <w:rFonts w:hint="eastAsia" w:ascii="宋体" w:hAnsi="宋体" w:eastAsia="宋体" w:cs="宋体"/>
          <w:b/>
          <w:bCs/>
          <w:color w:val="000000"/>
          <w:kern w:val="0"/>
          <w:sz w:val="40"/>
          <w:szCs w:val="40"/>
          <w:lang w:eastAsia="zh-CN"/>
        </w:rPr>
        <w:t>梅州市十件民生实事（</w:t>
      </w:r>
      <w:r>
        <w:rPr>
          <w:rFonts w:hint="eastAsia" w:ascii="宋体" w:hAnsi="宋体" w:cs="宋体"/>
          <w:b/>
          <w:bCs/>
          <w:color w:val="000000"/>
          <w:kern w:val="0"/>
          <w:sz w:val="40"/>
          <w:szCs w:val="40"/>
          <w:lang w:val="en-US" w:eastAsia="zh-CN"/>
        </w:rPr>
        <w:t>第2件事：</w:t>
      </w:r>
      <w:r>
        <w:rPr>
          <w:rFonts w:hint="eastAsia" w:ascii="宋体" w:hAnsi="宋体" w:eastAsia="宋体" w:cs="宋体"/>
          <w:b/>
          <w:bCs/>
          <w:color w:val="000000"/>
          <w:kern w:val="0"/>
          <w:sz w:val="40"/>
          <w:szCs w:val="40"/>
        </w:rPr>
        <w:t>深入实施“粤菜师傅”“广东技工”“南粤家政”三项工程）</w:t>
      </w:r>
      <w:r>
        <w:rPr>
          <w:rFonts w:hint="eastAsia" w:ascii="宋体" w:hAnsi="宋体" w:eastAsia="宋体" w:cs="宋体"/>
          <w:b/>
          <w:bCs/>
          <w:kern w:val="36"/>
          <w:sz w:val="40"/>
          <w:szCs w:val="40"/>
          <w:lang w:eastAsia="zh-CN"/>
        </w:rPr>
        <w:t>项目</w:t>
      </w: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outlineLvl w:val="0"/>
        <w:rPr>
          <w:rFonts w:hint="eastAsia" w:ascii="宋体" w:hAnsi="宋体" w:eastAsia="宋体" w:cs="宋体"/>
          <w:b/>
          <w:bCs/>
          <w:kern w:val="36"/>
          <w:sz w:val="48"/>
          <w:szCs w:val="48"/>
        </w:rPr>
      </w:pPr>
      <w:r>
        <w:rPr>
          <w:rFonts w:hint="eastAsia" w:ascii="宋体" w:hAnsi="宋体" w:eastAsia="宋体" w:cs="宋体"/>
          <w:b/>
          <w:bCs/>
          <w:kern w:val="36"/>
          <w:sz w:val="48"/>
          <w:szCs w:val="48"/>
        </w:rPr>
        <w:t>绩效评价报告</w:t>
      </w:r>
    </w:p>
    <w:p>
      <w:pPr>
        <w:autoSpaceDE w:val="0"/>
        <w:autoSpaceDN w:val="0"/>
        <w:jc w:val="left"/>
        <w:rPr>
          <w:rFonts w:ascii="Arial Unicode MS" w:hAnsi="宋体" w:cs="宋体"/>
          <w:kern w:val="0"/>
          <w:sz w:val="52"/>
          <w:szCs w:val="52"/>
        </w:rPr>
      </w:pPr>
    </w:p>
    <w:p>
      <w:pPr>
        <w:autoSpaceDE w:val="0"/>
        <w:autoSpaceDN w:val="0"/>
        <w:spacing w:before="13"/>
        <w:jc w:val="left"/>
        <w:rPr>
          <w:rFonts w:ascii="Arial Unicode MS" w:hAnsi="宋体" w:cs="宋体"/>
          <w:kern w:val="0"/>
          <w:sz w:val="30"/>
          <w:szCs w:val="30"/>
        </w:rPr>
      </w:pPr>
    </w:p>
    <w:p>
      <w:pPr>
        <w:autoSpaceDE w:val="0"/>
        <w:autoSpaceDN w:val="0"/>
        <w:spacing w:before="67" w:line="360" w:lineRule="auto"/>
        <w:jc w:val="left"/>
        <w:rPr>
          <w:rFonts w:hint="eastAsia" w:ascii="Arial Unicode MS" w:hAnsi="宋体" w:eastAsia="宋体" w:cs="宋体"/>
          <w:kern w:val="0"/>
          <w:sz w:val="36"/>
          <w:szCs w:val="36"/>
        </w:rPr>
      </w:pPr>
    </w:p>
    <w:p>
      <w:pPr>
        <w:pStyle w:val="2"/>
        <w:ind w:left="0" w:leftChars="0" w:firstLine="0" w:firstLineChars="0"/>
        <w:rPr>
          <w:rFonts w:hint="eastAsia" w:ascii="Arial Unicode MS" w:hAnsi="宋体" w:eastAsia="宋体" w:cs="宋体"/>
          <w:kern w:val="0"/>
          <w:sz w:val="36"/>
          <w:szCs w:val="36"/>
        </w:rPr>
      </w:pPr>
    </w:p>
    <w:p>
      <w:pPr>
        <w:autoSpaceDE w:val="0"/>
        <w:autoSpaceDN w:val="0"/>
        <w:spacing w:before="67" w:line="360" w:lineRule="auto"/>
        <w:ind w:left="840" w:leftChars="0" w:firstLine="420" w:firstLineChars="0"/>
        <w:jc w:val="both"/>
        <w:rPr>
          <w:rFonts w:hint="eastAsia" w:ascii="楷体" w:hAnsi="楷体" w:eastAsia="楷体" w:cs="楷体"/>
          <w:kern w:val="0"/>
          <w:sz w:val="36"/>
          <w:szCs w:val="36"/>
          <w:lang w:eastAsia="zh-CN"/>
        </w:rPr>
      </w:pPr>
      <w:r>
        <w:rPr>
          <w:rFonts w:hint="eastAsia" w:ascii="楷体" w:hAnsi="楷体" w:eastAsia="楷体" w:cs="楷体"/>
          <w:kern w:val="0"/>
          <w:sz w:val="36"/>
          <w:szCs w:val="36"/>
        </w:rPr>
        <w:t>评价机构：梅州正信合伙会计师事务所</w:t>
      </w:r>
      <w:r>
        <w:rPr>
          <w:rFonts w:hint="eastAsia" w:ascii="楷体" w:hAnsi="楷体" w:eastAsia="楷体" w:cs="楷体"/>
          <w:kern w:val="0"/>
          <w:sz w:val="36"/>
          <w:szCs w:val="36"/>
          <w:lang w:eastAsia="zh-CN"/>
        </w:rPr>
        <w:t>（</w:t>
      </w:r>
      <w:r>
        <w:rPr>
          <w:rFonts w:hint="eastAsia" w:ascii="楷体" w:hAnsi="楷体" w:eastAsia="楷体" w:cs="楷体"/>
          <w:kern w:val="0"/>
          <w:sz w:val="36"/>
          <w:szCs w:val="36"/>
          <w:lang w:val="en-US" w:eastAsia="zh-CN"/>
        </w:rPr>
        <w:t>普通合伙</w:t>
      </w:r>
      <w:r>
        <w:rPr>
          <w:rFonts w:hint="eastAsia" w:ascii="楷体" w:hAnsi="楷体" w:eastAsia="楷体" w:cs="楷体"/>
          <w:kern w:val="0"/>
          <w:sz w:val="36"/>
          <w:szCs w:val="36"/>
          <w:lang w:eastAsia="zh-CN"/>
        </w:rPr>
        <w:t>）</w:t>
      </w:r>
    </w:p>
    <w:p>
      <w:pPr>
        <w:autoSpaceDE w:val="0"/>
        <w:autoSpaceDN w:val="0"/>
        <w:spacing w:before="67" w:line="360" w:lineRule="auto"/>
        <w:ind w:left="840" w:leftChars="0" w:firstLine="420" w:firstLineChars="0"/>
        <w:jc w:val="both"/>
        <w:rPr>
          <w:rFonts w:hint="eastAsia" w:ascii="楷体" w:hAnsi="楷体" w:eastAsia="楷体" w:cs="楷体"/>
          <w:kern w:val="0"/>
          <w:sz w:val="36"/>
          <w:szCs w:val="36"/>
          <w:lang w:val="en-US" w:eastAsia="zh-CN"/>
        </w:rPr>
      </w:pPr>
      <w:r>
        <w:rPr>
          <w:rFonts w:hint="eastAsia" w:ascii="楷体" w:hAnsi="楷体" w:eastAsia="楷体" w:cs="楷体"/>
          <w:kern w:val="0"/>
          <w:sz w:val="36"/>
          <w:szCs w:val="36"/>
          <w:lang w:val="en-US" w:eastAsia="zh-CN"/>
        </w:rPr>
        <w:t>机构负责人：刘建军</w:t>
      </w:r>
    </w:p>
    <w:p>
      <w:pPr>
        <w:autoSpaceDE w:val="0"/>
        <w:autoSpaceDN w:val="0"/>
        <w:spacing w:before="67" w:line="360" w:lineRule="auto"/>
        <w:ind w:left="840" w:leftChars="0" w:firstLine="420" w:firstLineChars="0"/>
        <w:jc w:val="both"/>
        <w:rPr>
          <w:rFonts w:hint="eastAsia" w:ascii="楷体" w:hAnsi="楷体" w:eastAsia="楷体" w:cs="楷体"/>
          <w:b w:val="0"/>
          <w:bCs w:val="0"/>
          <w:kern w:val="0"/>
          <w:sz w:val="36"/>
          <w:szCs w:val="36"/>
        </w:rPr>
      </w:pPr>
      <w:r>
        <w:rPr>
          <w:rFonts w:hint="eastAsia" w:ascii="楷体" w:hAnsi="楷体" w:eastAsia="楷体" w:cs="楷体"/>
          <w:kern w:val="0"/>
          <w:sz w:val="36"/>
          <w:szCs w:val="36"/>
          <w:lang w:val="en-US" w:eastAsia="zh-CN"/>
        </w:rPr>
        <w:t>项目负责人：刘建军</w:t>
      </w:r>
    </w:p>
    <w:p>
      <w:pPr>
        <w:autoSpaceDE w:val="0"/>
        <w:autoSpaceDN w:val="0"/>
        <w:spacing w:line="360" w:lineRule="auto"/>
        <w:jc w:val="center"/>
        <w:rPr>
          <w:rFonts w:eastAsia="楷体_GB2312"/>
          <w:kern w:val="0"/>
          <w:sz w:val="36"/>
          <w:szCs w:val="36"/>
        </w:rPr>
        <w:sectPr>
          <w:headerReference r:id="rId4" w:type="first"/>
          <w:footerReference r:id="rId6" w:type="first"/>
          <w:headerReference r:id="rId3" w:type="default"/>
          <w:footerReference r:id="rId5" w:type="default"/>
          <w:pgSz w:w="11910" w:h="16840"/>
          <w:pgMar w:top="1440" w:right="1406" w:bottom="1440" w:left="1406" w:header="720" w:footer="720" w:gutter="0"/>
          <w:pgNumType w:fmt="decimal" w:start="0" w:chapStyle="1"/>
          <w:cols w:space="720" w:num="1"/>
        </w:sectPr>
      </w:pPr>
      <w:r>
        <w:rPr>
          <w:rFonts w:hint="eastAsia" w:eastAsia="楷体_GB2312"/>
          <w:kern w:val="0"/>
          <w:sz w:val="36"/>
          <w:szCs w:val="36"/>
        </w:rPr>
        <w:t>202</w:t>
      </w:r>
      <w:r>
        <w:rPr>
          <w:rFonts w:hint="eastAsia" w:eastAsia="楷体_GB2312"/>
          <w:kern w:val="0"/>
          <w:sz w:val="36"/>
          <w:szCs w:val="36"/>
          <w:lang w:val="en-US" w:eastAsia="zh-CN"/>
        </w:rPr>
        <w:t>2</w:t>
      </w:r>
      <w:r>
        <w:rPr>
          <w:rFonts w:hint="eastAsia" w:eastAsia="楷体_GB2312"/>
          <w:kern w:val="0"/>
          <w:sz w:val="36"/>
          <w:szCs w:val="36"/>
        </w:rPr>
        <w:t>年</w:t>
      </w:r>
      <w:r>
        <w:rPr>
          <w:rFonts w:hint="eastAsia" w:eastAsia="楷体_GB2312"/>
          <w:kern w:val="0"/>
          <w:sz w:val="36"/>
          <w:szCs w:val="36"/>
          <w:lang w:val="en-US" w:eastAsia="zh-CN"/>
        </w:rPr>
        <w:t>11月</w:t>
      </w:r>
    </w:p>
    <w:tbl>
      <w:tblPr>
        <w:tblStyle w:val="15"/>
        <w:tblW w:w="4999" w:type="pct"/>
        <w:tblInd w:w="0" w:type="dxa"/>
        <w:tblLayout w:type="autofit"/>
        <w:tblCellMar>
          <w:top w:w="0" w:type="dxa"/>
          <w:left w:w="108" w:type="dxa"/>
          <w:bottom w:w="0" w:type="dxa"/>
          <w:right w:w="108" w:type="dxa"/>
        </w:tblCellMar>
      </w:tblPr>
      <w:tblGrid>
        <w:gridCol w:w="1149"/>
        <w:gridCol w:w="7693"/>
      </w:tblGrid>
      <w:tr>
        <w:tblPrEx>
          <w:tblCellMar>
            <w:top w:w="0" w:type="dxa"/>
            <w:left w:w="108" w:type="dxa"/>
            <w:bottom w:w="0" w:type="dxa"/>
            <w:right w:w="108" w:type="dxa"/>
          </w:tblCellMar>
        </w:tblPrEx>
        <w:trPr>
          <w:cantSplit/>
          <w:trHeight w:val="567" w:hRule="exact"/>
        </w:trPr>
        <w:tc>
          <w:tcPr>
            <w:tcW w:w="650" w:type="pct"/>
            <w:vMerge w:val="restart"/>
            <w:noWrap w:val="0"/>
            <w:tcMar>
              <w:left w:w="0" w:type="dxa"/>
              <w:right w:w="0" w:type="dxa"/>
            </w:tcMar>
            <w:vAlign w:val="top"/>
          </w:tcPr>
          <w:p>
            <w:pPr>
              <w:keepNext w:val="0"/>
              <w:keepLines w:val="0"/>
              <w:suppressLineNumbers w:val="0"/>
              <w:spacing w:before="0" w:beforeAutospacing="0" w:after="0" w:afterAutospacing="0" w:line="240" w:lineRule="atLeast"/>
              <w:ind w:left="0" w:right="0"/>
              <w:jc w:val="both"/>
              <w:rPr>
                <w:rFonts w:hint="default" w:eastAsia="隶书"/>
                <w:sz w:val="56"/>
              </w:rPr>
            </w:pPr>
            <w:r>
              <w:rPr>
                <w:rFonts w:hint="default" w:eastAsia="隶书"/>
                <w:sz w:val="72"/>
              </w:rPr>
              <w:drawing>
                <wp:anchor distT="0" distB="0" distL="114300" distR="114300" simplePos="0" relativeHeight="251661312" behindDoc="0" locked="0" layoutInCell="1" allowOverlap="1">
                  <wp:simplePos x="0" y="0"/>
                  <wp:positionH relativeFrom="column">
                    <wp:posOffset>6985</wp:posOffset>
                  </wp:positionH>
                  <wp:positionV relativeFrom="paragraph">
                    <wp:posOffset>-63500</wp:posOffset>
                  </wp:positionV>
                  <wp:extent cx="738505" cy="695325"/>
                  <wp:effectExtent l="0" t="0" r="0" b="8255"/>
                  <wp:wrapNone/>
                  <wp:docPr id="5" name="图片 1" descr="C:\Users\Administrator\Desktop\b5046a256f5e4545d4114942100b655.pngb5046a256f5e4545d4114942100b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b5046a256f5e4545d4114942100b655.pngb5046a256f5e4545d4114942100b655"/>
                          <pic:cNvPicPr>
                            <a:picLocks noChangeAspect="1"/>
                          </pic:cNvPicPr>
                        </pic:nvPicPr>
                        <pic:blipFill>
                          <a:blip r:embed="rId13"/>
                          <a:srcRect l="20811" r="3391"/>
                          <a:stretch>
                            <a:fillRect/>
                          </a:stretch>
                        </pic:blipFill>
                        <pic:spPr>
                          <a:xfrm>
                            <a:off x="0" y="0"/>
                            <a:ext cx="738505" cy="695325"/>
                          </a:xfrm>
                          <a:prstGeom prst="rect">
                            <a:avLst/>
                          </a:prstGeom>
                          <a:noFill/>
                          <a:ln>
                            <a:noFill/>
                          </a:ln>
                        </pic:spPr>
                      </pic:pic>
                    </a:graphicData>
                  </a:graphic>
                </wp:anchor>
              </w:drawing>
            </w:r>
          </w:p>
        </w:tc>
        <w:tc>
          <w:tcPr>
            <w:tcW w:w="4349" w:type="pct"/>
            <w:noWrap w:val="0"/>
            <w:tcMar>
              <w:left w:w="0" w:type="dxa"/>
              <w:right w:w="0" w:type="dxa"/>
            </w:tcMar>
            <w:vAlign w:val="center"/>
          </w:tcPr>
          <w:p>
            <w:pPr>
              <w:keepNext w:val="0"/>
              <w:keepLines w:val="0"/>
              <w:pageBreakBefore w:val="0"/>
              <w:widowControl w:val="0"/>
              <w:suppressLineNumbers w:val="0"/>
              <w:tabs>
                <w:tab w:val="left" w:pos="4410"/>
              </w:tabs>
              <w:kinsoku/>
              <w:wordWrap/>
              <w:overflowPunct/>
              <w:topLinePunct w:val="0"/>
              <w:autoSpaceDE/>
              <w:autoSpaceDN/>
              <w:bidi w:val="0"/>
              <w:adjustRightInd/>
              <w:snapToGrid/>
              <w:spacing w:before="0" w:beforeAutospacing="0" w:after="0" w:afterAutospacing="0" w:line="480" w:lineRule="exact"/>
              <w:ind w:left="0" w:right="0"/>
              <w:jc w:val="distribute"/>
              <w:textAlignment w:val="auto"/>
              <w:rPr>
                <w:rFonts w:hint="eastAsia" w:ascii="宋体" w:hAnsi="宋体" w:eastAsia="宋体" w:cs="宋体"/>
                <w:b/>
                <w:bCs/>
                <w:sz w:val="36"/>
                <w:szCs w:val="36"/>
              </w:rPr>
            </w:pPr>
            <w:r>
              <w:rPr>
                <w:rFonts w:hint="eastAsia" w:ascii="宋体" w:hAnsi="宋体" w:eastAsia="宋体" w:cs="宋体"/>
                <w:b/>
                <w:bCs/>
                <w:sz w:val="36"/>
                <w:szCs w:val="36"/>
              </w:rPr>
              <w:t>梅州正信合伙会计师事务所(普通合伙)</w:t>
            </w:r>
          </w:p>
        </w:tc>
      </w:tr>
      <w:tr>
        <w:tblPrEx>
          <w:tblCellMar>
            <w:top w:w="0" w:type="dxa"/>
            <w:left w:w="108" w:type="dxa"/>
            <w:bottom w:w="0" w:type="dxa"/>
            <w:right w:w="108" w:type="dxa"/>
          </w:tblCellMar>
        </w:tblPrEx>
        <w:trPr>
          <w:cantSplit/>
          <w:trHeight w:val="567" w:hRule="exact"/>
        </w:trPr>
        <w:tc>
          <w:tcPr>
            <w:tcW w:w="650" w:type="pct"/>
            <w:vMerge w:val="continue"/>
            <w:tcBorders>
              <w:bottom w:val="thickThinSmallGap" w:color="auto" w:sz="18" w:space="0"/>
            </w:tcBorders>
            <w:noWrap w:val="0"/>
            <w:tcMar>
              <w:left w:w="0" w:type="dxa"/>
              <w:right w:w="0" w:type="dxa"/>
            </w:tcMar>
            <w:vAlign w:val="top"/>
          </w:tcPr>
          <w:p>
            <w:pPr>
              <w:keepNext w:val="0"/>
              <w:keepLines w:val="0"/>
              <w:suppressLineNumbers w:val="0"/>
              <w:spacing w:before="0" w:beforeAutospacing="0" w:after="0" w:afterAutospacing="0" w:line="240" w:lineRule="atLeast"/>
              <w:ind w:left="0" w:right="0"/>
              <w:jc w:val="center"/>
              <w:rPr>
                <w:rFonts w:hint="default" w:eastAsia="隶书"/>
                <w:sz w:val="72"/>
              </w:rPr>
            </w:pPr>
          </w:p>
        </w:tc>
        <w:tc>
          <w:tcPr>
            <w:tcW w:w="4349" w:type="pct"/>
            <w:tcBorders>
              <w:bottom w:val="thickThinSmallGap" w:color="auto" w:sz="18" w:space="0"/>
            </w:tcBorders>
            <w:noWrap w:val="0"/>
            <w:tcMar>
              <w:left w:w="0" w:type="dxa"/>
              <w:right w:w="0"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distribute"/>
              <w:textAlignment w:val="auto"/>
              <w:rPr>
                <w:rFonts w:hint="default" w:ascii="宋体" w:hAnsi="宋体" w:cs="宋体"/>
                <w:w w:val="90"/>
                <w:sz w:val="21"/>
                <w:szCs w:val="21"/>
              </w:rPr>
            </w:pPr>
            <w:r>
              <w:rPr>
                <w:rFonts w:hint="eastAsia" w:ascii="宋体" w:hAnsi="宋体" w:cs="宋体"/>
                <w:b/>
                <w:bCs/>
                <w:w w:val="90"/>
                <w:sz w:val="28"/>
                <w:szCs w:val="28"/>
              </w:rPr>
              <w:t>MEIZHOU ZHENGXIN CERTIFIED PUBLIC ACCOUNTANTS</w:t>
            </w:r>
          </w:p>
        </w:tc>
      </w:tr>
    </w:tbl>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0"/>
        <w:rPr>
          <w:rFonts w:hint="eastAsia" w:ascii="宋体" w:hAnsi="宋体" w:eastAsia="宋体" w:cs="宋体"/>
          <w:b/>
          <w:sz w:val="28"/>
          <w:szCs w:val="28"/>
        </w:rPr>
      </w:pP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0"/>
        <w:rPr>
          <w:rFonts w:hint="eastAsia" w:ascii="宋体" w:hAnsi="宋体" w:eastAsia="宋体" w:cs="宋体"/>
          <w:b/>
          <w:sz w:val="28"/>
          <w:szCs w:val="28"/>
        </w:rPr>
      </w:pPr>
    </w:p>
    <w:p>
      <w:pPr>
        <w:pStyle w:val="2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宋体" w:hAnsi="宋体" w:eastAsia="宋体" w:cs="宋体"/>
          <w:b/>
          <w:sz w:val="28"/>
          <w:szCs w:val="28"/>
        </w:rPr>
      </w:pPr>
      <w:r>
        <w:rPr>
          <w:rFonts w:hint="eastAsia" w:ascii="宋体" w:hAnsi="宋体" w:eastAsia="宋体" w:cs="宋体"/>
          <w:b/>
          <w:sz w:val="28"/>
          <w:szCs w:val="28"/>
        </w:rPr>
        <w:t>一、项目概要</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1"/>
        <w:rPr>
          <w:rFonts w:hint="eastAsia" w:ascii="宋体" w:hAnsi="宋体" w:eastAsia="宋体" w:cs="宋体"/>
          <w:b/>
          <w:sz w:val="28"/>
          <w:szCs w:val="28"/>
        </w:rPr>
      </w:pPr>
      <w:r>
        <w:rPr>
          <w:rFonts w:hint="eastAsia" w:ascii="宋体" w:hAnsi="宋体" w:eastAsia="宋体" w:cs="宋体"/>
          <w:b/>
          <w:sz w:val="28"/>
          <w:szCs w:val="28"/>
        </w:rPr>
        <w:t>（一）项目背景</w:t>
      </w:r>
    </w:p>
    <w:p>
      <w:pPr>
        <w:pStyle w:val="23"/>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outlineLvl w:val="1"/>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color w:val="000000"/>
          <w:kern w:val="2"/>
          <w:sz w:val="28"/>
          <w:szCs w:val="28"/>
          <w:lang w:val="en-US" w:eastAsia="zh-CN" w:bidi="ar-SA"/>
        </w:rPr>
        <w:t>为贯彻落实省政府决策部署，深入实施“粤菜师傅”“广东技工”“南粤家政”三项工程是梅州市人民政府2021年度《政府工作报告》拟</w:t>
      </w:r>
      <w:r>
        <w:rPr>
          <w:rFonts w:hint="eastAsia" w:asciiTheme="minorEastAsia" w:hAnsiTheme="minorEastAsia" w:cstheme="minorEastAsia"/>
          <w:color w:val="000000"/>
          <w:kern w:val="2"/>
          <w:sz w:val="28"/>
          <w:szCs w:val="28"/>
          <w:lang w:val="en-US" w:eastAsia="zh-CN" w:bidi="ar-SA"/>
        </w:rPr>
        <w:t>定</w:t>
      </w:r>
      <w:r>
        <w:rPr>
          <w:rFonts w:hint="eastAsia" w:asciiTheme="minorEastAsia" w:hAnsiTheme="minorEastAsia" w:eastAsiaTheme="minorEastAsia" w:cstheme="minorEastAsia"/>
          <w:color w:val="000000"/>
          <w:kern w:val="2"/>
          <w:sz w:val="28"/>
          <w:szCs w:val="28"/>
          <w:lang w:val="en-US" w:eastAsia="zh-CN" w:bidi="ar-SA"/>
        </w:rPr>
        <w:t>并经梅州市人大票决通过的2021年度梅州市十大民生实事其中的一个项目，根据梅州市政府的部署安排，项目由梅州市人力资源和社会保障局（以下简称市人社局）负责组织实施。</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1"/>
        <w:rPr>
          <w:rFonts w:hint="eastAsia" w:ascii="宋体" w:hAnsi="宋体" w:eastAsia="宋体" w:cs="宋体"/>
          <w:b/>
          <w:sz w:val="28"/>
          <w:szCs w:val="28"/>
        </w:rPr>
      </w:pPr>
      <w:r>
        <w:rPr>
          <w:rFonts w:hint="eastAsia" w:ascii="宋体" w:hAnsi="宋体" w:eastAsia="宋体" w:cs="宋体"/>
          <w:b/>
          <w:sz w:val="28"/>
          <w:szCs w:val="28"/>
        </w:rPr>
        <w:t>（二）绩效目标</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2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项目名称</w:t>
            </w:r>
          </w:p>
        </w:tc>
        <w:tc>
          <w:tcPr>
            <w:tcW w:w="376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2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“粤菜师傅”</w:t>
            </w:r>
            <w:r>
              <w:rPr>
                <w:rFonts w:hint="eastAsia" w:ascii="宋体" w:hAnsi="宋体" w:eastAsia="宋体" w:cs="宋体"/>
                <w:bCs/>
                <w:sz w:val="24"/>
                <w:szCs w:val="24"/>
                <w:lang w:val="en-US" w:eastAsia="zh-CN"/>
              </w:rPr>
              <w:t>工程</w:t>
            </w:r>
          </w:p>
        </w:tc>
        <w:tc>
          <w:tcPr>
            <w:tcW w:w="376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1.千方百计保居民就业，打造富有特色的“粤菜（客家菜）师傅”品牌，培训“粤菜（客家菜）师傅”1000名。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2.积极开展线上线下专场招聘活动，促进市场供求对接，带动2000人次以上实现就业创业，扎实做好就业创业公共服务。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3.培育扶持梅州农业学校建设省级粤菜师傅培养示范基地；建设梅州客家菜师傅培训基地和梅江区客家菜传统特色美食示范街前期启动项目。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4.举办“三名”工程评选活动暨技能大赛。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2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“广东技工”工程</w:t>
            </w:r>
          </w:p>
        </w:tc>
        <w:tc>
          <w:tcPr>
            <w:tcW w:w="376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1.全面推行技工终身职业技能培训，完成各类职业技能提升培训6000人次以上。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2.推动职业技工教育高质量发展，扶持梅州市技师学院的人行天桥工桥、南粤家政基地、校园基础设施建设3个项目建设，提升办学条件。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3.支持梅州市技师学院、五华技校、兴宁技校增设适应社会需求、就业前景广的品牌专业，促进专业设置与产业需求紧密对接，产业发展与技能培养融合。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“南粤家政”工程</w:t>
            </w:r>
          </w:p>
        </w:tc>
        <w:tc>
          <w:tcPr>
            <w:tcW w:w="376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开展家政服务培训5000人次，带动就业创业10000人次。</w:t>
            </w:r>
          </w:p>
        </w:tc>
      </w:tr>
    </w:tbl>
    <w:p>
      <w:pPr>
        <w:pStyle w:val="23"/>
        <w:keepNext w:val="0"/>
        <w:keepLines w:val="0"/>
        <w:pageBreakBefore w:val="0"/>
        <w:widowControl w:val="0"/>
        <w:kinsoku/>
        <w:wordWrap/>
        <w:overflowPunct/>
        <w:topLinePunct w:val="0"/>
        <w:autoSpaceDE/>
        <w:autoSpaceDN/>
        <w:bidi w:val="0"/>
        <w:adjustRightInd w:val="0"/>
        <w:snapToGrid w:val="0"/>
        <w:spacing w:before="270" w:beforeLines="50" w:beforeAutospacing="0" w:line="360" w:lineRule="auto"/>
        <w:ind w:firstLine="562"/>
        <w:textAlignment w:val="auto"/>
        <w:outlineLvl w:val="1"/>
        <w:rPr>
          <w:rFonts w:hint="eastAsia" w:ascii="宋体" w:hAnsi="宋体" w:eastAsia="宋体" w:cs="宋体"/>
          <w:b/>
          <w:sz w:val="28"/>
          <w:szCs w:val="28"/>
        </w:rPr>
      </w:pPr>
      <w:r>
        <w:rPr>
          <w:rFonts w:hint="eastAsia" w:ascii="宋体" w:hAnsi="宋体" w:eastAsia="宋体" w:cs="宋体"/>
          <w:b/>
          <w:sz w:val="28"/>
          <w:szCs w:val="28"/>
        </w:rPr>
        <w:t>（三）评价金额及支出情况</w:t>
      </w:r>
    </w:p>
    <w:p>
      <w:pPr>
        <w:pStyle w:val="23"/>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outlineLvl w:val="1"/>
        <w:rPr>
          <w:rFonts w:hint="default"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color w:val="000000"/>
          <w:kern w:val="2"/>
          <w:sz w:val="28"/>
          <w:szCs w:val="28"/>
          <w:lang w:val="en-US" w:eastAsia="zh-CN" w:bidi="ar-SA"/>
        </w:rPr>
        <w:t>2021年度市财政安排“粤菜师傅”“广东技工”“南粤家政”三项工程预算资金共计2,320万元（省级财政资金）（下达文号：梅市财社〔2020〕148号），其中：“粤菜师傅”900万元、“广东技工”1400万元、“南粤家政”20万元。项目资金及项目内容如下：</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1"/>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2021年“粤菜师傅”资金分配明细表（金额单位：万元）</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584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1"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项目单位</w:t>
            </w:r>
          </w:p>
        </w:tc>
        <w:tc>
          <w:tcPr>
            <w:tcW w:w="3224"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项目内容</w:t>
            </w:r>
          </w:p>
        </w:tc>
        <w:tc>
          <w:tcPr>
            <w:tcW w:w="694"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分配金额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1"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梅州农业学校</w:t>
            </w:r>
          </w:p>
        </w:tc>
        <w:tc>
          <w:tcPr>
            <w:tcW w:w="3224"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粤菜师傅培养示范基地补助</w:t>
            </w:r>
          </w:p>
        </w:tc>
        <w:tc>
          <w:tcPr>
            <w:tcW w:w="694"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1"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梅州市技师学院</w:t>
            </w:r>
          </w:p>
        </w:tc>
        <w:tc>
          <w:tcPr>
            <w:tcW w:w="3224"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梅</w:t>
            </w:r>
            <w:r>
              <w:rPr>
                <w:rFonts w:hint="default" w:ascii="宋体" w:hAnsi="宋体" w:eastAsia="宋体" w:cs="宋体"/>
                <w:bCs/>
                <w:sz w:val="24"/>
                <w:szCs w:val="24"/>
                <w:lang w:val="en-US" w:eastAsia="zh-CN"/>
              </w:rPr>
              <w:t>州客家菜师傅培训基地建设项目</w:t>
            </w:r>
          </w:p>
        </w:tc>
        <w:tc>
          <w:tcPr>
            <w:tcW w:w="694"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1"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梅县区人社局</w:t>
            </w:r>
          </w:p>
        </w:tc>
        <w:tc>
          <w:tcPr>
            <w:tcW w:w="3224"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名师、名店、名菜“三名工程”评选活动</w:t>
            </w:r>
          </w:p>
        </w:tc>
        <w:tc>
          <w:tcPr>
            <w:tcW w:w="694"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1"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梅江区人社局</w:t>
            </w:r>
          </w:p>
        </w:tc>
        <w:tc>
          <w:tcPr>
            <w:tcW w:w="3224"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建设梅江区客家菜传统特色美食示范街前期启动经费</w:t>
            </w:r>
          </w:p>
        </w:tc>
        <w:tc>
          <w:tcPr>
            <w:tcW w:w="694"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05" w:type="pct"/>
            <w:gridSpan w:val="2"/>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合  计</w:t>
            </w:r>
          </w:p>
        </w:tc>
        <w:tc>
          <w:tcPr>
            <w:tcW w:w="694"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900</w:t>
            </w:r>
          </w:p>
        </w:tc>
      </w:tr>
    </w:tbl>
    <w:p>
      <w:pPr>
        <w:pStyle w:val="23"/>
        <w:keepNext w:val="0"/>
        <w:keepLines w:val="0"/>
        <w:pageBreakBefore w:val="0"/>
        <w:widowControl w:val="0"/>
        <w:kinsoku/>
        <w:wordWrap/>
        <w:overflowPunct/>
        <w:topLinePunct w:val="0"/>
        <w:autoSpaceDE/>
        <w:autoSpaceDN/>
        <w:bidi w:val="0"/>
        <w:adjustRightInd w:val="0"/>
        <w:snapToGrid w:val="0"/>
        <w:spacing w:before="270" w:beforeLines="50" w:beforeAutospacing="0" w:line="360" w:lineRule="auto"/>
        <w:ind w:left="0" w:leftChars="0" w:firstLine="0" w:firstLineChars="0"/>
        <w:jc w:val="center"/>
        <w:textAlignment w:val="auto"/>
        <w:outlineLvl w:val="1"/>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2021年广东技工(技工教育)资金分配明细表（金额单位：万元）</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2704"/>
        <w:gridCol w:w="3670"/>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6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项目单位</w:t>
            </w:r>
          </w:p>
        </w:tc>
        <w:tc>
          <w:tcPr>
            <w:tcW w:w="149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项目名称</w:t>
            </w:r>
          </w:p>
        </w:tc>
        <w:tc>
          <w:tcPr>
            <w:tcW w:w="202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项目内容</w:t>
            </w:r>
          </w:p>
        </w:tc>
        <w:tc>
          <w:tcPr>
            <w:tcW w:w="71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分配金额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梅州市技师学院</w:t>
            </w:r>
          </w:p>
        </w:tc>
        <w:tc>
          <w:tcPr>
            <w:tcW w:w="149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人行天桥工程建设项目</w:t>
            </w:r>
          </w:p>
        </w:tc>
        <w:tc>
          <w:tcPr>
            <w:tcW w:w="202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新建人行天桥一座</w:t>
            </w:r>
          </w:p>
        </w:tc>
        <w:tc>
          <w:tcPr>
            <w:tcW w:w="71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49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南粤家政基地建设项目</w:t>
            </w:r>
          </w:p>
        </w:tc>
        <w:tc>
          <w:tcPr>
            <w:tcW w:w="202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建立以母婴服务、居家服务、养老服务、医疗护理服务为主的实训基地</w:t>
            </w:r>
          </w:p>
        </w:tc>
        <w:tc>
          <w:tcPr>
            <w:tcW w:w="71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6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49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校园基础设施建设</w:t>
            </w:r>
          </w:p>
        </w:tc>
        <w:tc>
          <w:tcPr>
            <w:tcW w:w="202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宿舍空调、电脑桌椅、安防系统</w:t>
            </w:r>
          </w:p>
        </w:tc>
        <w:tc>
          <w:tcPr>
            <w:tcW w:w="71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49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专业建设</w:t>
            </w:r>
          </w:p>
        </w:tc>
        <w:tc>
          <w:tcPr>
            <w:tcW w:w="202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计算机技术室内设计专业</w:t>
            </w:r>
          </w:p>
        </w:tc>
        <w:tc>
          <w:tcPr>
            <w:tcW w:w="71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49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专业建设</w:t>
            </w:r>
          </w:p>
        </w:tc>
        <w:tc>
          <w:tcPr>
            <w:tcW w:w="202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数控加工专业</w:t>
            </w:r>
          </w:p>
        </w:tc>
        <w:tc>
          <w:tcPr>
            <w:tcW w:w="71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6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49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专业建设</w:t>
            </w:r>
          </w:p>
        </w:tc>
        <w:tc>
          <w:tcPr>
            <w:tcW w:w="202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新能源汽车检测与维修专业</w:t>
            </w:r>
          </w:p>
        </w:tc>
        <w:tc>
          <w:tcPr>
            <w:tcW w:w="71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3519"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小  计</w:t>
            </w:r>
          </w:p>
        </w:tc>
        <w:tc>
          <w:tcPr>
            <w:tcW w:w="71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兴宁市</w:t>
            </w:r>
          </w:p>
        </w:tc>
        <w:tc>
          <w:tcPr>
            <w:tcW w:w="149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兴宁市高级技工学校</w:t>
            </w:r>
          </w:p>
        </w:tc>
        <w:tc>
          <w:tcPr>
            <w:tcW w:w="202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护理专业</w:t>
            </w:r>
          </w:p>
        </w:tc>
        <w:tc>
          <w:tcPr>
            <w:tcW w:w="71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五华县</w:t>
            </w:r>
          </w:p>
        </w:tc>
        <w:tc>
          <w:tcPr>
            <w:tcW w:w="149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五华县技工学校</w:t>
            </w:r>
          </w:p>
        </w:tc>
        <w:tc>
          <w:tcPr>
            <w:tcW w:w="202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口腔义齿制造专业</w:t>
            </w:r>
          </w:p>
        </w:tc>
        <w:tc>
          <w:tcPr>
            <w:tcW w:w="71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49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五华县技工学校</w:t>
            </w:r>
          </w:p>
        </w:tc>
        <w:tc>
          <w:tcPr>
            <w:tcW w:w="202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建筑施工专业</w:t>
            </w:r>
          </w:p>
        </w:tc>
        <w:tc>
          <w:tcPr>
            <w:tcW w:w="71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3519"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小  计</w:t>
            </w:r>
          </w:p>
        </w:tc>
        <w:tc>
          <w:tcPr>
            <w:tcW w:w="71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4288" w:type="pct"/>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合  计</w:t>
            </w:r>
          </w:p>
        </w:tc>
        <w:tc>
          <w:tcPr>
            <w:tcW w:w="71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1400</w:t>
            </w:r>
          </w:p>
        </w:tc>
      </w:tr>
    </w:tbl>
    <w:p>
      <w:pPr>
        <w:pStyle w:val="23"/>
        <w:keepNext w:val="0"/>
        <w:keepLines w:val="0"/>
        <w:pageBreakBefore w:val="0"/>
        <w:widowControl w:val="0"/>
        <w:kinsoku/>
        <w:wordWrap/>
        <w:overflowPunct/>
        <w:topLinePunct w:val="0"/>
        <w:autoSpaceDE/>
        <w:autoSpaceDN/>
        <w:bidi w:val="0"/>
        <w:adjustRightInd w:val="0"/>
        <w:snapToGrid w:val="0"/>
        <w:spacing w:before="270" w:beforeLines="50" w:beforeAutospacing="0" w:line="360" w:lineRule="auto"/>
        <w:ind w:left="0" w:leftChars="0" w:firstLine="0" w:firstLineChars="0"/>
        <w:jc w:val="center"/>
        <w:textAlignment w:val="auto"/>
        <w:outlineLvl w:val="1"/>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2021年“南粤家政”资金分配表（金额单位：万元）</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2567"/>
        <w:gridCol w:w="270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项目单位</w:t>
            </w:r>
          </w:p>
        </w:tc>
        <w:tc>
          <w:tcPr>
            <w:tcW w:w="141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项目名称</w:t>
            </w:r>
          </w:p>
        </w:tc>
        <w:tc>
          <w:tcPr>
            <w:tcW w:w="149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项目内容</w:t>
            </w:r>
          </w:p>
        </w:tc>
        <w:tc>
          <w:tcPr>
            <w:tcW w:w="72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分配金额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3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梅江区“南粤家政”客天</w:t>
            </w:r>
            <w:r>
              <w:rPr>
                <w:rFonts w:hint="eastAsia" w:ascii="宋体" w:hAnsi="宋体" w:eastAsia="宋体" w:cs="宋体"/>
                <w:bCs/>
                <w:sz w:val="24"/>
                <w:szCs w:val="24"/>
                <w:lang w:val="en-US" w:eastAsia="zh-CN"/>
              </w:rPr>
              <w:t>下</w:t>
            </w:r>
            <w:r>
              <w:rPr>
                <w:rFonts w:hint="default" w:ascii="宋体" w:hAnsi="宋体" w:eastAsia="宋体" w:cs="宋体"/>
                <w:bCs/>
                <w:sz w:val="24"/>
                <w:szCs w:val="24"/>
                <w:lang w:val="en-US" w:eastAsia="zh-CN"/>
              </w:rPr>
              <w:t>社区服务站</w:t>
            </w:r>
          </w:p>
        </w:tc>
        <w:tc>
          <w:tcPr>
            <w:tcW w:w="141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南粤家政资金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(服务社区)</w:t>
            </w:r>
          </w:p>
        </w:tc>
        <w:tc>
          <w:tcPr>
            <w:tcW w:w="149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建设“南粤家政”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基层服务站点</w:t>
            </w:r>
          </w:p>
        </w:tc>
        <w:tc>
          <w:tcPr>
            <w:tcW w:w="72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20</w:t>
            </w:r>
          </w:p>
        </w:tc>
      </w:tr>
    </w:tbl>
    <w:p>
      <w:pPr>
        <w:pStyle w:val="23"/>
        <w:keepNext w:val="0"/>
        <w:keepLines w:val="0"/>
        <w:pageBreakBefore w:val="0"/>
        <w:widowControl w:val="0"/>
        <w:kinsoku/>
        <w:wordWrap/>
        <w:overflowPunct/>
        <w:topLinePunct w:val="0"/>
        <w:autoSpaceDE/>
        <w:autoSpaceDN/>
        <w:bidi w:val="0"/>
        <w:adjustRightInd w:val="0"/>
        <w:snapToGrid w:val="0"/>
        <w:spacing w:before="268" w:beforeLines="50" w:line="360" w:lineRule="auto"/>
        <w:ind w:left="0" w:leftChars="0" w:firstLine="560" w:firstLineChars="200"/>
        <w:jc w:val="both"/>
        <w:textAlignment w:val="auto"/>
        <w:outlineLvl w:val="1"/>
        <w:rPr>
          <w:rFonts w:hint="default" w:ascii="宋体" w:hAnsi="宋体" w:eastAsia="宋体" w:cs="宋体"/>
          <w:b w:val="0"/>
          <w:bCs/>
          <w:sz w:val="28"/>
          <w:szCs w:val="28"/>
          <w:lang w:val="en-US" w:eastAsia="zh-CN"/>
        </w:rPr>
      </w:pPr>
      <w:r>
        <w:rPr>
          <w:rFonts w:hint="eastAsia" w:asciiTheme="minorEastAsia" w:hAnsiTheme="minorEastAsia" w:cstheme="minorEastAsia"/>
          <w:sz w:val="28"/>
          <w:szCs w:val="28"/>
          <w:lang w:val="en-US" w:eastAsia="zh-CN"/>
        </w:rPr>
        <w:t>截至</w:t>
      </w:r>
      <w:r>
        <w:rPr>
          <w:rFonts w:hint="eastAsia" w:asciiTheme="minorEastAsia" w:hAnsiTheme="minorEastAsia" w:eastAsiaTheme="minorEastAsia" w:cstheme="minorEastAsia"/>
          <w:sz w:val="28"/>
          <w:szCs w:val="28"/>
          <w:lang w:val="en-US" w:eastAsia="zh-CN"/>
        </w:rPr>
        <w:t>202</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年12月31日，</w:t>
      </w:r>
      <w:r>
        <w:rPr>
          <w:rFonts w:hint="eastAsia" w:ascii="宋体" w:hAnsi="宋体" w:eastAsia="宋体" w:cs="宋体"/>
          <w:b w:val="0"/>
          <w:bCs w:val="0"/>
          <w:color w:val="000000"/>
          <w:kern w:val="0"/>
          <w:sz w:val="28"/>
          <w:szCs w:val="28"/>
        </w:rPr>
        <w:t>“粤菜师傅”“广东技工”“南粤家政”三项工程</w:t>
      </w:r>
      <w:r>
        <w:rPr>
          <w:rFonts w:hint="eastAsia" w:ascii="宋体" w:hAnsi="宋体" w:eastAsia="宋体" w:cs="宋体"/>
          <w:b w:val="0"/>
          <w:bCs w:val="0"/>
          <w:color w:val="000000"/>
          <w:kern w:val="0"/>
          <w:sz w:val="28"/>
          <w:szCs w:val="28"/>
          <w:lang w:val="en-US" w:eastAsia="zh-CN"/>
        </w:rPr>
        <w:t>已使用</w:t>
      </w:r>
      <w:r>
        <w:rPr>
          <w:rFonts w:hint="eastAsia" w:ascii="宋体" w:hAnsi="宋体" w:eastAsia="宋体" w:cs="宋体"/>
          <w:b w:val="0"/>
          <w:bCs/>
          <w:sz w:val="28"/>
          <w:szCs w:val="28"/>
          <w:lang w:val="en-US" w:eastAsia="zh-CN"/>
        </w:rPr>
        <w:t>预算资金1876.76万元，结转结余资金443.24万元。</w:t>
      </w:r>
    </w:p>
    <w:p>
      <w:pPr>
        <w:pStyle w:val="23"/>
        <w:keepNext w:val="0"/>
        <w:keepLines w:val="0"/>
        <w:pageBreakBefore w:val="0"/>
        <w:numPr>
          <w:ilvl w:val="0"/>
          <w:numId w:val="0"/>
        </w:numPr>
        <w:kinsoku/>
        <w:wordWrap/>
        <w:overflowPunct/>
        <w:topLinePunct w:val="0"/>
        <w:autoSpaceDE/>
        <w:autoSpaceDN/>
        <w:bidi w:val="0"/>
        <w:adjustRightInd w:val="0"/>
        <w:snapToGrid w:val="0"/>
        <w:spacing w:line="360" w:lineRule="auto"/>
        <w:ind w:firstLine="562" w:firstLineChars="200"/>
        <w:textAlignment w:val="auto"/>
        <w:outlineLvl w:val="1"/>
        <w:rPr>
          <w:rFonts w:hint="eastAsia" w:ascii="宋体" w:hAnsi="宋体" w:eastAsia="宋体" w:cs="宋体"/>
          <w:b/>
          <w:sz w:val="28"/>
          <w:szCs w:val="28"/>
          <w:lang w:val="en-US" w:eastAsia="zh-CN"/>
        </w:rPr>
      </w:pPr>
    </w:p>
    <w:p>
      <w:pPr>
        <w:pStyle w:val="23"/>
        <w:keepNext w:val="0"/>
        <w:keepLines w:val="0"/>
        <w:pageBreakBefore w:val="0"/>
        <w:numPr>
          <w:ilvl w:val="0"/>
          <w:numId w:val="0"/>
        </w:numPr>
        <w:kinsoku/>
        <w:wordWrap/>
        <w:overflowPunct/>
        <w:topLinePunct w:val="0"/>
        <w:autoSpaceDE/>
        <w:autoSpaceDN/>
        <w:bidi w:val="0"/>
        <w:adjustRightInd w:val="0"/>
        <w:snapToGrid w:val="0"/>
        <w:spacing w:line="360" w:lineRule="auto"/>
        <w:ind w:firstLine="562" w:firstLineChars="200"/>
        <w:textAlignment w:val="auto"/>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二、</w:t>
      </w:r>
      <w:r>
        <w:rPr>
          <w:rFonts w:hint="eastAsia" w:ascii="宋体" w:hAnsi="宋体" w:eastAsia="宋体" w:cs="宋体"/>
          <w:b/>
          <w:sz w:val="28"/>
          <w:szCs w:val="28"/>
        </w:rPr>
        <w:t>评价结论与绩效分析</w:t>
      </w:r>
    </w:p>
    <w:p>
      <w:pPr>
        <w:pStyle w:val="23"/>
        <w:keepNext w:val="0"/>
        <w:keepLines w:val="0"/>
        <w:pageBreakBefore w:val="0"/>
        <w:wordWrap/>
        <w:overflowPunct/>
        <w:topLinePunct w:val="0"/>
        <w:autoSpaceDE/>
        <w:autoSpaceDN/>
        <w:bidi w:val="0"/>
        <w:adjustRightInd w:val="0"/>
        <w:snapToGrid w:val="0"/>
        <w:spacing w:line="360" w:lineRule="auto"/>
        <w:ind w:firstLine="0" w:firstLineChars="0"/>
        <w:jc w:val="center"/>
        <w:outlineLvl w:val="0"/>
        <w:rPr>
          <w:rFonts w:hint="eastAsia" w:ascii="宋体" w:hAnsi="宋体" w:eastAsia="宋体" w:cs="宋体"/>
          <w:b/>
          <w:sz w:val="24"/>
          <w:szCs w:val="24"/>
        </w:rPr>
      </w:pPr>
      <w:r>
        <w:rPr>
          <w:rFonts w:hint="eastAsia" w:ascii="宋体" w:hAnsi="宋体" w:eastAsia="宋体" w:cs="宋体"/>
          <w:bCs/>
          <w:sz w:val="24"/>
          <w:szCs w:val="24"/>
        </w:rPr>
        <w:t>评价情况总表</w:t>
      </w:r>
    </w:p>
    <w:tbl>
      <w:tblPr>
        <w:tblStyle w:val="1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65"/>
        <w:gridCol w:w="2265"/>
        <w:gridCol w:w="226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2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评价项目</w:t>
            </w:r>
          </w:p>
        </w:tc>
        <w:tc>
          <w:tcPr>
            <w:tcW w:w="12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指标分值</w:t>
            </w:r>
          </w:p>
        </w:tc>
        <w:tc>
          <w:tcPr>
            <w:tcW w:w="12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评价得分</w:t>
            </w:r>
          </w:p>
        </w:tc>
        <w:tc>
          <w:tcPr>
            <w:tcW w:w="12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250" w:type="pct"/>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评价总得分</w:t>
            </w:r>
          </w:p>
        </w:tc>
        <w:tc>
          <w:tcPr>
            <w:tcW w:w="1250" w:type="pct"/>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100</w:t>
            </w:r>
          </w:p>
        </w:tc>
        <w:tc>
          <w:tcPr>
            <w:tcW w:w="1250" w:type="pct"/>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90.80</w:t>
            </w:r>
          </w:p>
        </w:tc>
        <w:tc>
          <w:tcPr>
            <w:tcW w:w="1250" w:type="pct"/>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90.80</w:t>
            </w:r>
            <w:r>
              <w:rPr>
                <w:rFonts w:hint="eastAsia" w:ascii="宋体" w:hAnsi="宋体" w:eastAsia="宋体" w:cs="宋体"/>
                <w:bCs/>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250"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一、决策</w:t>
            </w:r>
          </w:p>
        </w:tc>
        <w:tc>
          <w:tcPr>
            <w:tcW w:w="1250"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15</w:t>
            </w:r>
          </w:p>
        </w:tc>
        <w:tc>
          <w:tcPr>
            <w:tcW w:w="1250"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13.</w:t>
            </w:r>
            <w:r>
              <w:rPr>
                <w:rFonts w:hint="eastAsia" w:ascii="宋体" w:hAnsi="宋体" w:cs="宋体"/>
                <w:bCs/>
                <w:sz w:val="24"/>
                <w:szCs w:val="24"/>
                <w:lang w:val="en-US" w:eastAsia="zh-CN"/>
              </w:rPr>
              <w:t>60</w:t>
            </w:r>
          </w:p>
        </w:tc>
        <w:tc>
          <w:tcPr>
            <w:tcW w:w="1250"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90.67</w:t>
            </w:r>
            <w:r>
              <w:rPr>
                <w:rFonts w:hint="eastAsia" w:ascii="宋体" w:hAnsi="宋体" w:eastAsia="宋体" w:cs="宋体"/>
                <w:bCs/>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25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二、管理</w:t>
            </w:r>
          </w:p>
        </w:tc>
        <w:tc>
          <w:tcPr>
            <w:tcW w:w="125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25</w:t>
            </w:r>
          </w:p>
        </w:tc>
        <w:tc>
          <w:tcPr>
            <w:tcW w:w="125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20.70</w:t>
            </w:r>
          </w:p>
        </w:tc>
        <w:tc>
          <w:tcPr>
            <w:tcW w:w="125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82.80</w:t>
            </w:r>
            <w:r>
              <w:rPr>
                <w:rFonts w:hint="eastAsia" w:ascii="宋体" w:hAnsi="宋体" w:eastAsia="宋体" w:cs="宋体"/>
                <w:bCs/>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25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三、产出</w:t>
            </w:r>
          </w:p>
        </w:tc>
        <w:tc>
          <w:tcPr>
            <w:tcW w:w="125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30</w:t>
            </w:r>
          </w:p>
        </w:tc>
        <w:tc>
          <w:tcPr>
            <w:tcW w:w="125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28.</w:t>
            </w:r>
            <w:r>
              <w:rPr>
                <w:rFonts w:hint="eastAsia" w:ascii="宋体" w:hAnsi="宋体" w:cs="宋体"/>
                <w:bCs/>
                <w:sz w:val="24"/>
                <w:szCs w:val="24"/>
                <w:lang w:val="en-US" w:eastAsia="zh-CN"/>
              </w:rPr>
              <w:t>80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p>
        </w:tc>
        <w:tc>
          <w:tcPr>
            <w:tcW w:w="125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0</w:t>
            </w:r>
            <w:r>
              <w:rPr>
                <w:rFonts w:hint="eastAsia" w:ascii="宋体" w:hAnsi="宋体" w:eastAsia="宋体" w:cs="宋体"/>
                <w:bCs/>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25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四、效益</w:t>
            </w:r>
          </w:p>
        </w:tc>
        <w:tc>
          <w:tcPr>
            <w:tcW w:w="125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30</w:t>
            </w:r>
          </w:p>
        </w:tc>
        <w:tc>
          <w:tcPr>
            <w:tcW w:w="125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w:t>
            </w:r>
            <w:r>
              <w:rPr>
                <w:rFonts w:hint="eastAsia" w:ascii="宋体" w:hAnsi="宋体" w:cs="宋体"/>
                <w:bCs/>
                <w:sz w:val="24"/>
                <w:szCs w:val="24"/>
                <w:lang w:val="en-US" w:eastAsia="zh-CN"/>
              </w:rPr>
              <w:t>7.70</w:t>
            </w:r>
          </w:p>
        </w:tc>
        <w:tc>
          <w:tcPr>
            <w:tcW w:w="125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3%</w:t>
            </w:r>
          </w:p>
        </w:tc>
      </w:tr>
    </w:tbl>
    <w:p>
      <w:pPr>
        <w:pStyle w:val="23"/>
        <w:keepNext w:val="0"/>
        <w:keepLines w:val="0"/>
        <w:pageBreakBefore w:val="0"/>
        <w:widowControl w:val="0"/>
        <w:kinsoku/>
        <w:wordWrap/>
        <w:overflowPunct/>
        <w:topLinePunct w:val="0"/>
        <w:autoSpaceDE/>
        <w:autoSpaceDN/>
        <w:bidi w:val="0"/>
        <w:adjustRightInd w:val="0"/>
        <w:snapToGrid w:val="0"/>
        <w:spacing w:before="268" w:beforeLines="50" w:line="360" w:lineRule="auto"/>
        <w:ind w:left="0" w:leftChars="0" w:firstLine="562" w:firstLineChars="200"/>
        <w:jc w:val="both"/>
        <w:textAlignment w:val="auto"/>
        <w:outlineLvl w:val="0"/>
        <w:rPr>
          <w:rFonts w:hint="eastAsia" w:ascii="宋体" w:hAnsi="宋体" w:eastAsia="宋体" w:cs="宋体"/>
          <w:b/>
          <w:sz w:val="28"/>
          <w:szCs w:val="28"/>
        </w:rPr>
      </w:pPr>
      <w:r>
        <w:rPr>
          <w:rFonts w:hint="eastAsia" w:ascii="宋体" w:hAnsi="宋体" w:eastAsia="宋体" w:cs="宋体"/>
          <w:b/>
          <w:sz w:val="28"/>
          <w:szCs w:val="28"/>
        </w:rPr>
        <w:t>（一）总体结论</w:t>
      </w:r>
    </w:p>
    <w:p>
      <w:pPr>
        <w:pStyle w:val="23"/>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outlineLvl w:val="0"/>
        <w:rPr>
          <w:rFonts w:hint="eastAsia" w:ascii="宋体" w:hAnsi="宋体" w:eastAsia="宋体" w:cs="宋体"/>
          <w:bCs/>
          <w:sz w:val="28"/>
          <w:szCs w:val="28"/>
          <w:highlight w:val="none"/>
        </w:rPr>
      </w:pPr>
      <w:r>
        <w:rPr>
          <w:rFonts w:hint="eastAsia" w:ascii="宋体" w:hAnsi="宋体" w:eastAsia="宋体" w:cs="宋体"/>
          <w:bCs/>
          <w:sz w:val="28"/>
          <w:szCs w:val="28"/>
        </w:rPr>
        <w:t>通过分析项目单位</w:t>
      </w:r>
      <w:r>
        <w:rPr>
          <w:rFonts w:hint="eastAsia" w:ascii="宋体" w:hAnsi="宋体" w:eastAsia="宋体" w:cs="宋体"/>
          <w:bCs/>
          <w:sz w:val="28"/>
          <w:szCs w:val="28"/>
          <w:lang w:eastAsia="zh-CN"/>
        </w:rPr>
        <w:t>及具体实施单位</w:t>
      </w:r>
      <w:r>
        <w:rPr>
          <w:rFonts w:hint="eastAsia" w:ascii="宋体" w:hAnsi="宋体" w:eastAsia="宋体" w:cs="宋体"/>
          <w:bCs/>
          <w:sz w:val="28"/>
          <w:szCs w:val="28"/>
        </w:rPr>
        <w:t>提供</w:t>
      </w:r>
      <w:r>
        <w:rPr>
          <w:rFonts w:hint="eastAsia" w:ascii="宋体" w:hAnsi="宋体" w:eastAsia="宋体" w:cs="宋体"/>
          <w:bCs/>
          <w:sz w:val="28"/>
          <w:szCs w:val="28"/>
          <w:lang w:eastAsia="zh-CN"/>
        </w:rPr>
        <w:t>的</w:t>
      </w:r>
      <w:r>
        <w:rPr>
          <w:rFonts w:hint="eastAsia" w:ascii="宋体" w:hAnsi="宋体" w:eastAsia="宋体" w:cs="宋体"/>
          <w:bCs/>
          <w:sz w:val="28"/>
          <w:szCs w:val="28"/>
        </w:rPr>
        <w:t>有关资料、现场检查</w:t>
      </w:r>
      <w:r>
        <w:rPr>
          <w:rFonts w:hint="eastAsia" w:ascii="宋体" w:hAnsi="宋体" w:eastAsia="宋体" w:cs="宋体"/>
          <w:bCs/>
          <w:sz w:val="28"/>
          <w:szCs w:val="28"/>
          <w:lang w:val="en-US" w:eastAsia="zh-CN"/>
        </w:rPr>
        <w:t>项目实施</w:t>
      </w:r>
      <w:r>
        <w:rPr>
          <w:rFonts w:hint="eastAsia" w:ascii="宋体" w:hAnsi="宋体" w:eastAsia="宋体" w:cs="宋体"/>
          <w:bCs/>
          <w:sz w:val="28"/>
          <w:szCs w:val="28"/>
        </w:rPr>
        <w:t>等情况，评价工作组认为，</w:t>
      </w:r>
      <w:r>
        <w:rPr>
          <w:rFonts w:hint="eastAsia" w:ascii="宋体" w:hAnsi="宋体" w:eastAsia="宋体" w:cs="宋体"/>
          <w:sz w:val="28"/>
          <w:szCs w:val="28"/>
          <w:lang w:eastAsia="zh-CN"/>
        </w:rPr>
        <w:t>市人社局</w:t>
      </w:r>
      <w:r>
        <w:rPr>
          <w:rFonts w:hint="eastAsia" w:ascii="宋体" w:hAnsi="宋体" w:eastAsia="宋体" w:cs="宋体"/>
          <w:sz w:val="28"/>
          <w:szCs w:val="28"/>
        </w:rPr>
        <w:t>组织实施的</w:t>
      </w:r>
      <w:r>
        <w:rPr>
          <w:rFonts w:hint="eastAsia" w:ascii="宋体" w:hAnsi="宋体" w:eastAsia="宋体" w:cs="宋体"/>
          <w:sz w:val="28"/>
          <w:szCs w:val="28"/>
          <w:lang w:val="en-US" w:eastAsia="zh-CN"/>
        </w:rPr>
        <w:t>2021年度梅州市民生实事项目（</w:t>
      </w:r>
      <w:r>
        <w:rPr>
          <w:rFonts w:hint="eastAsia" w:ascii="宋体" w:hAnsi="宋体" w:eastAsia="宋体" w:cs="宋体"/>
          <w:b w:val="0"/>
          <w:bCs w:val="0"/>
          <w:color w:val="000000"/>
          <w:kern w:val="0"/>
          <w:sz w:val="28"/>
          <w:szCs w:val="28"/>
        </w:rPr>
        <w:t>“粤菜师傅”“广东技工”“南粤家政”三项工程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实现了</w:t>
      </w:r>
      <w:r>
        <w:rPr>
          <w:rFonts w:hint="eastAsia" w:ascii="宋体" w:hAnsi="宋体" w:eastAsia="宋体" w:cs="宋体"/>
          <w:sz w:val="28"/>
          <w:szCs w:val="28"/>
        </w:rPr>
        <w:t>预期目标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但在项目</w:t>
      </w:r>
      <w:r>
        <w:rPr>
          <w:rFonts w:hint="eastAsia" w:ascii="宋体" w:hAnsi="宋体" w:eastAsia="宋体" w:cs="宋体"/>
          <w:color w:val="auto"/>
          <w:sz w:val="28"/>
          <w:szCs w:val="28"/>
          <w:lang w:val="en-US" w:eastAsia="zh-CN"/>
        </w:rPr>
        <w:t>决策、项目管理、项目产出</w:t>
      </w:r>
      <w:r>
        <w:rPr>
          <w:rFonts w:hint="eastAsia" w:ascii="宋体" w:hAnsi="宋体" w:eastAsia="宋体" w:cs="宋体"/>
          <w:color w:val="auto"/>
          <w:sz w:val="28"/>
          <w:szCs w:val="28"/>
        </w:rPr>
        <w:t>等</w:t>
      </w:r>
      <w:r>
        <w:rPr>
          <w:rFonts w:hint="eastAsia" w:ascii="宋体" w:hAnsi="宋体" w:eastAsia="宋体" w:cs="宋体"/>
          <w:sz w:val="28"/>
          <w:szCs w:val="28"/>
        </w:rPr>
        <w:t>方面存在不足。综合评定，本项目的得分为</w:t>
      </w:r>
      <w:r>
        <w:rPr>
          <w:rFonts w:hint="eastAsia" w:ascii="宋体" w:hAnsi="宋体" w:eastAsia="宋体" w:cs="宋体"/>
          <w:sz w:val="28"/>
          <w:szCs w:val="28"/>
          <w:highlight w:val="none"/>
          <w:lang w:val="en-US" w:eastAsia="zh-CN"/>
        </w:rPr>
        <w:t>90.80</w:t>
      </w:r>
      <w:r>
        <w:rPr>
          <w:rFonts w:hint="eastAsia" w:ascii="宋体" w:hAnsi="宋体" w:eastAsia="宋体" w:cs="宋体"/>
          <w:sz w:val="28"/>
          <w:szCs w:val="28"/>
          <w:highlight w:val="none"/>
        </w:rPr>
        <w:t>分（具体各明细项目的得分情况详见附件2-项目绩效评分表），绩效表现为“</w:t>
      </w:r>
      <w:r>
        <w:rPr>
          <w:rFonts w:hint="eastAsia" w:ascii="宋体" w:hAnsi="宋体" w:eastAsia="宋体" w:cs="宋体"/>
          <w:sz w:val="28"/>
          <w:szCs w:val="28"/>
          <w:highlight w:val="none"/>
          <w:lang w:val="en-US" w:eastAsia="zh-CN"/>
        </w:rPr>
        <w:t>优</w:t>
      </w:r>
      <w:r>
        <w:rPr>
          <w:rFonts w:hint="eastAsia" w:ascii="宋体" w:hAnsi="宋体" w:eastAsia="宋体" w:cs="宋体"/>
          <w:sz w:val="28"/>
          <w:szCs w:val="28"/>
          <w:highlight w:val="none"/>
        </w:rPr>
        <w:t>”。</w:t>
      </w:r>
    </w:p>
    <w:p>
      <w:pPr>
        <w:pStyle w:val="23"/>
        <w:keepNext w:val="0"/>
        <w:keepLines w:val="0"/>
        <w:pageBreakBefore w:val="0"/>
        <w:widowControl w:val="0"/>
        <w:kinsoku/>
        <w:wordWrap/>
        <w:overflowPunct/>
        <w:topLinePunct w:val="0"/>
        <w:autoSpaceDE/>
        <w:autoSpaceDN/>
        <w:bidi w:val="0"/>
        <w:adjustRightInd w:val="0"/>
        <w:snapToGrid w:val="0"/>
        <w:spacing w:line="360" w:lineRule="auto"/>
        <w:ind w:firstLine="562"/>
        <w:jc w:val="both"/>
        <w:textAlignment w:val="auto"/>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（二）各部分绩效分析</w:t>
      </w:r>
    </w:p>
    <w:p>
      <w:pPr>
        <w:pStyle w:val="23"/>
        <w:keepNext w:val="0"/>
        <w:keepLines w:val="0"/>
        <w:pageBreakBefore w:val="0"/>
        <w:widowControl w:val="0"/>
        <w:kinsoku/>
        <w:wordWrap/>
        <w:overflowPunct/>
        <w:topLinePunct w:val="0"/>
        <w:autoSpaceDE/>
        <w:autoSpaceDN/>
        <w:bidi w:val="0"/>
        <w:adjustRightInd w:val="0"/>
        <w:snapToGrid w:val="0"/>
        <w:spacing w:line="360" w:lineRule="auto"/>
        <w:ind w:firstLine="560"/>
        <w:jc w:val="both"/>
        <w:textAlignment w:val="auto"/>
        <w:outlineLvl w:val="2"/>
        <w:rPr>
          <w:rFonts w:hint="eastAsia" w:ascii="宋体" w:hAnsi="宋体" w:eastAsia="宋体" w:cs="宋体"/>
          <w:bCs/>
          <w:color w:val="000000"/>
          <w:kern w:val="0"/>
          <w:sz w:val="28"/>
          <w:szCs w:val="28"/>
          <w:highlight w:val="none"/>
        </w:rPr>
      </w:pPr>
      <w:r>
        <w:rPr>
          <w:rFonts w:hint="eastAsia" w:ascii="宋体" w:hAnsi="宋体" w:eastAsia="宋体" w:cs="宋体"/>
          <w:b/>
          <w:bCs w:val="0"/>
          <w:color w:val="000000"/>
          <w:kern w:val="0"/>
          <w:sz w:val="28"/>
          <w:szCs w:val="28"/>
          <w:highlight w:val="none"/>
        </w:rPr>
        <w:t>1.</w:t>
      </w:r>
      <w:r>
        <w:rPr>
          <w:rFonts w:hint="eastAsia" w:ascii="宋体" w:hAnsi="宋体" w:eastAsia="宋体" w:cs="宋体"/>
          <w:b/>
          <w:bCs w:val="0"/>
          <w:color w:val="000000"/>
          <w:kern w:val="0"/>
          <w:sz w:val="28"/>
          <w:szCs w:val="28"/>
          <w:highlight w:val="none"/>
          <w:lang w:eastAsia="zh-CN"/>
        </w:rPr>
        <w:t>决策</w:t>
      </w:r>
      <w:r>
        <w:rPr>
          <w:rFonts w:hint="eastAsia" w:ascii="宋体" w:hAnsi="宋体" w:eastAsia="宋体" w:cs="宋体"/>
          <w:b/>
          <w:bCs w:val="0"/>
          <w:color w:val="000000"/>
          <w:kern w:val="0"/>
          <w:sz w:val="28"/>
          <w:szCs w:val="28"/>
          <w:highlight w:val="none"/>
        </w:rPr>
        <w:t>分析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sz w:val="28"/>
          <w:szCs w:val="28"/>
          <w:highlight w:val="yellow"/>
          <w:lang w:val="en-US" w:eastAsia="zh-CN"/>
        </w:rPr>
      </w:pPr>
      <w:r>
        <w:rPr>
          <w:rFonts w:hint="eastAsia" w:ascii="宋体" w:hAnsi="宋体" w:eastAsia="宋体" w:cs="宋体"/>
          <w:sz w:val="28"/>
          <w:szCs w:val="28"/>
          <w:highlight w:val="none"/>
        </w:rPr>
        <w:t>该指标分值</w:t>
      </w:r>
      <w:r>
        <w:rPr>
          <w:rFonts w:hint="eastAsia" w:ascii="宋体" w:hAnsi="宋体" w:cs="宋体"/>
          <w:sz w:val="28"/>
          <w:szCs w:val="28"/>
          <w:highlight w:val="none"/>
          <w:lang w:val="en-US" w:eastAsia="zh-CN"/>
        </w:rPr>
        <w:t>15</w:t>
      </w:r>
      <w:r>
        <w:rPr>
          <w:rFonts w:hint="eastAsia" w:ascii="宋体" w:hAnsi="宋体" w:eastAsia="宋体" w:cs="宋体"/>
          <w:sz w:val="28"/>
          <w:szCs w:val="28"/>
          <w:highlight w:val="none"/>
        </w:rPr>
        <w:t>分，评价得分</w:t>
      </w:r>
      <w:r>
        <w:rPr>
          <w:rFonts w:hint="eastAsia" w:ascii="宋体" w:hAnsi="宋体" w:cs="宋体"/>
          <w:sz w:val="28"/>
          <w:szCs w:val="28"/>
          <w:highlight w:val="none"/>
          <w:lang w:val="en-US" w:eastAsia="zh-CN"/>
        </w:rPr>
        <w:t>13.60</w:t>
      </w:r>
      <w:r>
        <w:rPr>
          <w:rFonts w:hint="eastAsia" w:ascii="宋体" w:hAnsi="宋体" w:eastAsia="宋体" w:cs="宋体"/>
          <w:sz w:val="28"/>
          <w:szCs w:val="28"/>
          <w:highlight w:val="none"/>
        </w:rPr>
        <w:t>分</w:t>
      </w:r>
      <w:r>
        <w:rPr>
          <w:rFonts w:hint="eastAsia" w:ascii="宋体" w:hAnsi="宋体" w:cs="宋体"/>
          <w:sz w:val="28"/>
          <w:szCs w:val="28"/>
          <w:highlight w:val="none"/>
          <w:lang w:eastAsia="zh-CN"/>
        </w:rPr>
        <w:t>（各项指标的</w:t>
      </w:r>
      <w:r>
        <w:rPr>
          <w:rFonts w:hint="eastAsia" w:ascii="宋体" w:hAnsi="宋体" w:cs="宋体"/>
          <w:sz w:val="28"/>
          <w:szCs w:val="28"/>
          <w:lang w:eastAsia="zh-CN"/>
        </w:rPr>
        <w:t>得分情况详见下表</w:t>
      </w:r>
      <w:r>
        <w:rPr>
          <w:rFonts w:hint="eastAsia" w:ascii="宋体" w:hAnsi="宋体" w:cs="宋体"/>
          <w:sz w:val="28"/>
          <w:szCs w:val="28"/>
          <w:lang w:val="en-US" w:eastAsia="zh-CN"/>
        </w:rPr>
        <w:t>-</w:t>
      </w:r>
      <w:r>
        <w:rPr>
          <w:rFonts w:hint="eastAsia" w:ascii="宋体" w:hAnsi="宋体" w:cs="宋体"/>
          <w:kern w:val="0"/>
          <w:sz w:val="28"/>
          <w:szCs w:val="28"/>
          <w:lang w:eastAsia="zh-CN"/>
        </w:rPr>
        <w:t>决策指标评价明细表）</w:t>
      </w:r>
      <w:r>
        <w:rPr>
          <w:rFonts w:hint="eastAsia" w:ascii="宋体" w:hAnsi="宋体" w:eastAsia="宋体" w:cs="宋体"/>
          <w:sz w:val="28"/>
          <w:szCs w:val="28"/>
        </w:rPr>
        <w:t>，得分</w:t>
      </w:r>
      <w:r>
        <w:rPr>
          <w:rFonts w:hint="eastAsia" w:ascii="宋体" w:hAnsi="宋体" w:cs="宋体"/>
          <w:sz w:val="28"/>
          <w:szCs w:val="28"/>
          <w:highlight w:val="none"/>
          <w:lang w:val="en-US" w:eastAsia="zh-CN"/>
        </w:rPr>
        <w:t>率90.67%。从评</w:t>
      </w:r>
      <w:r>
        <w:rPr>
          <w:rFonts w:hint="eastAsia" w:ascii="宋体" w:hAnsi="宋体" w:eastAsia="宋体" w:cs="宋体"/>
          <w:sz w:val="28"/>
          <w:szCs w:val="28"/>
        </w:rPr>
        <w:t>价</w:t>
      </w:r>
      <w:r>
        <w:rPr>
          <w:rFonts w:hint="eastAsia" w:ascii="宋体" w:hAnsi="宋体" w:cs="宋体"/>
          <w:sz w:val="28"/>
          <w:szCs w:val="28"/>
          <w:lang w:val="en-US" w:eastAsia="zh-CN"/>
        </w:rPr>
        <w:t>指标</w:t>
      </w:r>
      <w:r>
        <w:rPr>
          <w:rFonts w:hint="eastAsia" w:ascii="宋体" w:hAnsi="宋体" w:eastAsia="宋体" w:cs="宋体"/>
          <w:sz w:val="28"/>
          <w:szCs w:val="28"/>
        </w:rPr>
        <w:t>得分情况看，</w:t>
      </w:r>
      <w:r>
        <w:rPr>
          <w:rFonts w:hint="eastAsia" w:ascii="宋体" w:hAnsi="宋体" w:cs="宋体"/>
          <w:sz w:val="28"/>
          <w:szCs w:val="28"/>
          <w:highlight w:val="none"/>
          <w:lang w:eastAsia="zh-CN"/>
        </w:rPr>
        <w:t>“项目立项</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eastAsia="zh-CN"/>
        </w:rPr>
        <w:t>论</w:t>
      </w:r>
      <w:r>
        <w:rPr>
          <w:rFonts w:hint="eastAsia" w:ascii="宋体" w:hAnsi="宋体" w:eastAsia="宋体" w:cs="宋体"/>
          <w:sz w:val="28"/>
          <w:szCs w:val="28"/>
          <w:highlight w:val="none"/>
        </w:rPr>
        <w:t>证决策</w:t>
      </w:r>
      <w:r>
        <w:rPr>
          <w:rFonts w:hint="eastAsia" w:ascii="宋体" w:hAnsi="宋体" w:cs="宋体"/>
          <w:sz w:val="28"/>
          <w:szCs w:val="28"/>
          <w:highlight w:val="none"/>
          <w:lang w:val="en-US" w:eastAsia="zh-CN"/>
        </w:rPr>
        <w:t>”“项目立项-保障措施”“资金落实-资金分配”</w:t>
      </w:r>
      <w:r>
        <w:rPr>
          <w:rFonts w:hint="eastAsia" w:ascii="宋体" w:hAnsi="宋体" w:eastAsia="宋体" w:cs="宋体"/>
          <w:sz w:val="28"/>
          <w:szCs w:val="28"/>
          <w:highlight w:val="none"/>
        </w:rPr>
        <w:t>指标达到标准分值</w:t>
      </w:r>
      <w:r>
        <w:rPr>
          <w:rFonts w:hint="eastAsia" w:ascii="宋体" w:hAnsi="宋体" w:cs="宋体"/>
          <w:sz w:val="28"/>
          <w:szCs w:val="28"/>
          <w:highlight w:val="none"/>
          <w:lang w:eastAsia="zh-CN"/>
        </w:rPr>
        <w:t>，但“项目立项</w:t>
      </w:r>
      <w:r>
        <w:rPr>
          <w:rFonts w:hint="eastAsia" w:ascii="宋体" w:hAnsi="宋体" w:cs="宋体"/>
          <w:sz w:val="28"/>
          <w:szCs w:val="28"/>
          <w:highlight w:val="none"/>
          <w:lang w:val="en-US" w:eastAsia="zh-CN"/>
        </w:rPr>
        <w:t>-目标设置”未达到标准分值，得分率为76.67%。从扣分的原因看，</w:t>
      </w:r>
      <w:r>
        <w:rPr>
          <w:rFonts w:hint="eastAsia" w:ascii="宋体" w:hAnsi="宋体" w:eastAsia="宋体" w:cs="宋体"/>
          <w:b w:val="0"/>
          <w:bCs w:val="0"/>
          <w:color w:val="000000"/>
          <w:kern w:val="0"/>
          <w:sz w:val="28"/>
          <w:szCs w:val="28"/>
        </w:rPr>
        <w:t>“粤菜师傅”</w:t>
      </w:r>
      <w:r>
        <w:rPr>
          <w:rFonts w:hint="eastAsia" w:ascii="宋体" w:hAnsi="宋体" w:cs="宋体"/>
          <w:b w:val="0"/>
          <w:bCs w:val="0"/>
          <w:color w:val="000000"/>
          <w:kern w:val="0"/>
          <w:sz w:val="28"/>
          <w:szCs w:val="28"/>
          <w:lang w:val="en-US" w:eastAsia="zh-CN"/>
        </w:rPr>
        <w:t>和</w:t>
      </w:r>
      <w:r>
        <w:rPr>
          <w:rFonts w:hint="eastAsia" w:ascii="宋体" w:hAnsi="宋体" w:eastAsia="宋体" w:cs="宋体"/>
          <w:b w:val="0"/>
          <w:bCs w:val="0"/>
          <w:color w:val="000000"/>
          <w:kern w:val="0"/>
          <w:sz w:val="28"/>
          <w:szCs w:val="28"/>
        </w:rPr>
        <w:t>“广东技工”</w:t>
      </w:r>
      <w:r>
        <w:rPr>
          <w:rFonts w:hint="eastAsia" w:ascii="宋体" w:hAnsi="宋体" w:cs="宋体"/>
          <w:b w:val="0"/>
          <w:bCs w:val="0"/>
          <w:color w:val="000000"/>
          <w:kern w:val="0"/>
          <w:sz w:val="28"/>
          <w:szCs w:val="28"/>
          <w:lang w:val="en-US" w:eastAsia="zh-CN"/>
        </w:rPr>
        <w:t>工程项目的绩效目标设置未全部体现项目实施的内容和要求，同时设置绩效目标部分缺乏可</w:t>
      </w:r>
      <w:r>
        <w:rPr>
          <w:rFonts w:hint="eastAsia" w:ascii="宋体" w:hAnsi="宋体" w:cs="宋体"/>
          <w:sz w:val="28"/>
          <w:szCs w:val="28"/>
          <w:lang w:val="en-US" w:eastAsia="zh-CN"/>
        </w:rPr>
        <w:t>衡量性，评价时扣1.40分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决策指标评价明细表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二级指标</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分值</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三级指标</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分值</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得分</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1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项目立项</w:t>
            </w:r>
          </w:p>
        </w:tc>
        <w:tc>
          <w:tcPr>
            <w:tcW w:w="151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12</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论证决策</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4.00</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1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51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目标设置</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15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4.6</w:t>
            </w:r>
            <w:r>
              <w:rPr>
                <w:rFonts w:hint="eastAsia" w:ascii="宋体" w:hAnsi="宋体" w:cs="宋体"/>
                <w:bCs/>
                <w:sz w:val="24"/>
                <w:szCs w:val="24"/>
                <w:lang w:val="en-US" w:eastAsia="zh-CN"/>
              </w:rPr>
              <w:t>0</w:t>
            </w:r>
          </w:p>
        </w:tc>
        <w:tc>
          <w:tcPr>
            <w:tcW w:w="15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76.67%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1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51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保障措施</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2.00</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资金落实</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资金分配</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3.00</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合  计</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15</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15</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13.</w:t>
            </w:r>
            <w:r>
              <w:rPr>
                <w:rFonts w:hint="eastAsia" w:ascii="宋体" w:hAnsi="宋体" w:cs="宋体"/>
                <w:bCs/>
                <w:sz w:val="24"/>
                <w:szCs w:val="24"/>
                <w:lang w:val="en-US" w:eastAsia="zh-CN"/>
              </w:rPr>
              <w:t>60</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90.67%</w:t>
            </w:r>
          </w:p>
        </w:tc>
      </w:tr>
    </w:tbl>
    <w:p>
      <w:pPr>
        <w:keepNext w:val="0"/>
        <w:keepLines w:val="0"/>
        <w:pageBreakBefore w:val="0"/>
        <w:widowControl w:val="0"/>
        <w:kinsoku/>
        <w:wordWrap/>
        <w:overflowPunct/>
        <w:topLinePunct w:val="0"/>
        <w:autoSpaceDE/>
        <w:autoSpaceDN/>
        <w:bidi w:val="0"/>
        <w:adjustRightInd w:val="0"/>
        <w:snapToGrid w:val="0"/>
        <w:spacing w:before="268" w:beforeLines="50" w:line="360" w:lineRule="auto"/>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cs="宋体"/>
          <w:b/>
          <w:bCs/>
          <w:sz w:val="28"/>
          <w:szCs w:val="28"/>
          <w:lang w:val="en-US" w:eastAsia="zh-CN"/>
        </w:rPr>
        <w:t>管理</w:t>
      </w:r>
      <w:r>
        <w:rPr>
          <w:rFonts w:hint="eastAsia" w:ascii="宋体" w:hAnsi="宋体" w:eastAsia="宋体" w:cs="宋体"/>
          <w:b/>
          <w:bCs/>
          <w:sz w:val="28"/>
          <w:szCs w:val="28"/>
        </w:rPr>
        <w:t>分析</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rPr>
        <w:t>该指标分值2</w:t>
      </w:r>
      <w:r>
        <w:rPr>
          <w:rFonts w:hint="eastAsia" w:ascii="宋体" w:hAnsi="宋体" w:cs="宋体"/>
          <w:sz w:val="28"/>
          <w:szCs w:val="28"/>
          <w:lang w:val="en-US" w:eastAsia="zh-CN"/>
        </w:rPr>
        <w:t>5</w:t>
      </w:r>
      <w:r>
        <w:rPr>
          <w:rFonts w:hint="eastAsia" w:ascii="宋体" w:hAnsi="宋体" w:eastAsia="宋体" w:cs="宋体"/>
          <w:sz w:val="28"/>
          <w:szCs w:val="28"/>
        </w:rPr>
        <w:t>分，评价得分</w:t>
      </w:r>
      <w:r>
        <w:rPr>
          <w:rFonts w:hint="eastAsia" w:ascii="宋体" w:hAnsi="宋体" w:cs="宋体"/>
          <w:sz w:val="28"/>
          <w:szCs w:val="28"/>
          <w:lang w:val="en-US" w:eastAsia="zh-CN"/>
        </w:rPr>
        <w:t>20.70</w:t>
      </w:r>
      <w:r>
        <w:rPr>
          <w:rFonts w:hint="eastAsia" w:ascii="宋体" w:hAnsi="宋体" w:eastAsia="宋体" w:cs="宋体"/>
          <w:sz w:val="28"/>
          <w:szCs w:val="28"/>
        </w:rPr>
        <w:t>分</w:t>
      </w:r>
      <w:r>
        <w:rPr>
          <w:rFonts w:hint="eastAsia" w:ascii="宋体" w:hAnsi="宋体" w:cs="宋体"/>
          <w:sz w:val="28"/>
          <w:szCs w:val="28"/>
          <w:lang w:eastAsia="zh-CN"/>
        </w:rPr>
        <w:t>（各项指标的得分情况详见下表</w:t>
      </w:r>
      <w:r>
        <w:rPr>
          <w:rFonts w:hint="eastAsia" w:ascii="宋体" w:hAnsi="宋体" w:cs="宋体"/>
          <w:sz w:val="28"/>
          <w:szCs w:val="28"/>
          <w:lang w:val="en-US" w:eastAsia="zh-CN"/>
        </w:rPr>
        <w:t>-</w:t>
      </w:r>
      <w:r>
        <w:rPr>
          <w:rFonts w:hint="eastAsia" w:ascii="宋体" w:hAnsi="宋体" w:cs="宋体"/>
          <w:kern w:val="0"/>
          <w:sz w:val="28"/>
          <w:szCs w:val="28"/>
          <w:lang w:eastAsia="zh-CN"/>
        </w:rPr>
        <w:t>管理指标评价明细表）</w:t>
      </w:r>
      <w:r>
        <w:rPr>
          <w:rFonts w:hint="eastAsia" w:ascii="宋体" w:hAnsi="宋体" w:eastAsia="宋体" w:cs="宋体"/>
          <w:sz w:val="28"/>
          <w:szCs w:val="28"/>
        </w:rPr>
        <w:t>，得分率</w:t>
      </w:r>
      <w:r>
        <w:rPr>
          <w:rFonts w:hint="eastAsia" w:ascii="宋体" w:hAnsi="宋体" w:eastAsia="宋体" w:cs="宋体"/>
          <w:sz w:val="28"/>
          <w:szCs w:val="28"/>
          <w:lang w:val="en-US" w:eastAsia="zh-CN"/>
        </w:rPr>
        <w:t>82.80%</w:t>
      </w:r>
      <w:r>
        <w:rPr>
          <w:rFonts w:hint="eastAsia" w:ascii="宋体" w:hAnsi="宋体" w:eastAsia="宋体" w:cs="宋体"/>
          <w:sz w:val="28"/>
          <w:szCs w:val="28"/>
          <w:lang w:eastAsia="zh-CN"/>
        </w:rPr>
        <w:t>。</w:t>
      </w:r>
      <w:r>
        <w:rPr>
          <w:rFonts w:hint="eastAsia" w:ascii="宋体" w:hAnsi="宋体" w:eastAsia="宋体" w:cs="宋体"/>
          <w:sz w:val="28"/>
          <w:szCs w:val="28"/>
        </w:rPr>
        <w:t>从评价指标得分情况看</w:t>
      </w:r>
      <w:r>
        <w:rPr>
          <w:rFonts w:hint="eastAsia" w:ascii="宋体" w:hAnsi="宋体" w:cs="宋体"/>
          <w:sz w:val="28"/>
          <w:szCs w:val="28"/>
          <w:lang w:eastAsia="zh-CN"/>
        </w:rPr>
        <w:t>，“</w:t>
      </w:r>
      <w:r>
        <w:rPr>
          <w:rFonts w:hint="eastAsia" w:ascii="宋体" w:hAnsi="宋体" w:cs="宋体"/>
          <w:sz w:val="28"/>
          <w:szCs w:val="28"/>
          <w:lang w:val="en-US" w:eastAsia="zh-CN"/>
        </w:rPr>
        <w:t>资金管理-资金支付”</w:t>
      </w:r>
      <w:r>
        <w:rPr>
          <w:rFonts w:hint="eastAsia" w:ascii="宋体" w:hAnsi="宋体" w:cs="宋体"/>
          <w:sz w:val="28"/>
          <w:szCs w:val="28"/>
          <w:lang w:eastAsia="zh-CN"/>
        </w:rPr>
        <w:t>“事项管理</w:t>
      </w:r>
      <w:r>
        <w:rPr>
          <w:rFonts w:hint="eastAsia" w:ascii="宋体" w:hAnsi="宋体" w:cs="宋体"/>
          <w:sz w:val="28"/>
          <w:szCs w:val="28"/>
          <w:lang w:val="en-US" w:eastAsia="zh-CN"/>
        </w:rPr>
        <w:t>-实施程序”达到了标准分值，说明资金支付和项目实施程序规范。但“资金管理-支出规范性”“事项管理-管理情</w:t>
      </w:r>
      <w:r>
        <w:rPr>
          <w:rFonts w:hint="eastAsia" w:ascii="宋体" w:hAnsi="宋体" w:cs="宋体"/>
          <w:color w:val="auto"/>
          <w:sz w:val="28"/>
          <w:szCs w:val="28"/>
          <w:lang w:val="en-US" w:eastAsia="zh-CN"/>
        </w:rPr>
        <w:t>况”指标得分未达到标准分。扣分的原因是</w:t>
      </w:r>
      <w:r>
        <w:rPr>
          <w:rFonts w:hint="eastAsia" w:ascii="宋体" w:hAnsi="宋体" w:eastAsia="宋体" w:cs="宋体"/>
          <w:b w:val="0"/>
          <w:bCs w:val="0"/>
          <w:color w:val="auto"/>
          <w:kern w:val="0"/>
          <w:sz w:val="28"/>
          <w:szCs w:val="28"/>
        </w:rPr>
        <w:t>“粤菜师傅”“广东技工”“南粤家政”三项工程</w:t>
      </w:r>
      <w:r>
        <w:rPr>
          <w:rFonts w:hint="eastAsia" w:ascii="宋体" w:hAnsi="宋体" w:cs="宋体"/>
          <w:b w:val="0"/>
          <w:bCs w:val="0"/>
          <w:color w:val="auto"/>
          <w:kern w:val="0"/>
          <w:sz w:val="28"/>
          <w:szCs w:val="28"/>
          <w:lang w:val="en-US" w:eastAsia="zh-CN"/>
        </w:rPr>
        <w:t>的资金使用规范性和主管部门对项目使用省级专项资金使用的检查监管力度存在不足。从项目</w:t>
      </w:r>
      <w:r>
        <w:rPr>
          <w:rFonts w:hint="eastAsia" w:ascii="宋体" w:hAnsi="宋体" w:cs="宋体"/>
          <w:b w:val="0"/>
          <w:bCs w:val="0"/>
          <w:color w:val="000000"/>
          <w:kern w:val="0"/>
          <w:sz w:val="28"/>
          <w:szCs w:val="28"/>
          <w:lang w:val="en-US" w:eastAsia="zh-CN"/>
        </w:rPr>
        <w:t>资金支出的规范性看，五华县技工学校对财政拨入专项资金未在会计账面进行核算，梅江区用款单位对使用专项资金购建固定</w:t>
      </w:r>
      <w:r>
        <w:rPr>
          <w:rFonts w:hint="eastAsia" w:ascii="宋体" w:hAnsi="宋体" w:cs="宋体"/>
          <w:b w:val="0"/>
          <w:bCs w:val="0"/>
          <w:color w:val="auto"/>
          <w:kern w:val="0"/>
          <w:sz w:val="28"/>
          <w:szCs w:val="28"/>
          <w:lang w:val="en-US" w:eastAsia="zh-CN"/>
        </w:rPr>
        <w:t>资产未列作固定资产核算，</w:t>
      </w:r>
      <w:r>
        <w:rPr>
          <w:rFonts w:hint="eastAsia" w:ascii="宋体" w:hAnsi="宋体" w:eastAsia="宋体" w:cs="宋体"/>
          <w:b w:val="0"/>
          <w:bCs w:val="0"/>
          <w:color w:val="auto"/>
          <w:kern w:val="0"/>
          <w:sz w:val="28"/>
          <w:szCs w:val="28"/>
        </w:rPr>
        <w:t>“南粤家政”</w:t>
      </w:r>
      <w:r>
        <w:rPr>
          <w:rFonts w:hint="eastAsia" w:ascii="宋体" w:hAnsi="宋体" w:cs="宋体"/>
          <w:b w:val="0"/>
          <w:bCs w:val="0"/>
          <w:color w:val="auto"/>
          <w:kern w:val="0"/>
          <w:sz w:val="28"/>
          <w:szCs w:val="28"/>
          <w:lang w:val="en-US" w:eastAsia="zh-CN"/>
        </w:rPr>
        <w:t>的项目单位对使用项目资金购置的电脑及打印机固定资产未按会计制度规定列作固定资产；从项目的管理情况看，</w:t>
      </w:r>
      <w:r>
        <w:rPr>
          <w:rFonts w:hint="eastAsia" w:ascii="宋体" w:hAnsi="宋体" w:cs="宋体"/>
          <w:b w:val="0"/>
          <w:bCs w:val="0"/>
          <w:color w:val="000000" w:themeColor="text1"/>
          <w:kern w:val="0"/>
          <w:sz w:val="28"/>
          <w:szCs w:val="28"/>
          <w:lang w:val="en-US" w:eastAsia="zh-CN"/>
          <w14:textFill>
            <w14:solidFill>
              <w14:schemeClr w14:val="tx1"/>
            </w14:solidFill>
          </w14:textFill>
        </w:rPr>
        <w:t>只见主管部门对使用省级专项资金的</w:t>
      </w:r>
      <w:r>
        <w:rPr>
          <w:rFonts w:hint="eastAsia" w:ascii="宋体" w:hAnsi="宋体" w:eastAsia="宋体" w:cs="宋体"/>
          <w:b w:val="0"/>
          <w:bCs w:val="0"/>
          <w:color w:val="000000" w:themeColor="text1"/>
          <w:kern w:val="0"/>
          <w:sz w:val="28"/>
          <w:szCs w:val="28"/>
          <w14:textFill>
            <w14:solidFill>
              <w14:schemeClr w14:val="tx1"/>
            </w14:solidFill>
          </w14:textFill>
        </w:rPr>
        <w:t>“粤菜师傅”</w:t>
      </w:r>
      <w:r>
        <w:rPr>
          <w:rFonts w:hint="eastAsia" w:ascii="宋体" w:hAnsi="宋体" w:cs="宋体"/>
          <w:b w:val="0"/>
          <w:bCs w:val="0"/>
          <w:color w:val="000000" w:themeColor="text1"/>
          <w:kern w:val="0"/>
          <w:sz w:val="28"/>
          <w:szCs w:val="28"/>
          <w:lang w:val="en-US" w:eastAsia="zh-CN"/>
          <w14:textFill>
            <w14:solidFill>
              <w14:schemeClr w14:val="tx1"/>
            </w14:solidFill>
          </w14:textFill>
        </w:rPr>
        <w:t>和</w:t>
      </w:r>
      <w:r>
        <w:rPr>
          <w:rFonts w:hint="eastAsia" w:ascii="宋体" w:hAnsi="宋体" w:eastAsia="宋体" w:cs="宋体"/>
          <w:b w:val="0"/>
          <w:bCs w:val="0"/>
          <w:color w:val="000000" w:themeColor="text1"/>
          <w:kern w:val="0"/>
          <w:sz w:val="28"/>
          <w:szCs w:val="28"/>
          <w14:textFill>
            <w14:solidFill>
              <w14:schemeClr w14:val="tx1"/>
            </w14:solidFill>
          </w14:textFill>
        </w:rPr>
        <w:t>“广东技工”</w:t>
      </w:r>
      <w:r>
        <w:rPr>
          <w:rFonts w:hint="eastAsia" w:ascii="宋体" w:hAnsi="宋体" w:cs="宋体"/>
          <w:b w:val="0"/>
          <w:bCs w:val="0"/>
          <w:color w:val="000000" w:themeColor="text1"/>
          <w:kern w:val="0"/>
          <w:sz w:val="28"/>
          <w:szCs w:val="28"/>
          <w:lang w:val="en-US" w:eastAsia="zh-CN"/>
          <w14:textFill>
            <w14:solidFill>
              <w14:schemeClr w14:val="tx1"/>
            </w14:solidFill>
          </w14:textFill>
        </w:rPr>
        <w:t>项目进行抽查监督，未对项目进行全面检查监督。</w:t>
      </w:r>
    </w:p>
    <w:p>
      <w:pPr>
        <w:keepNext w:val="0"/>
        <w:keepLines w:val="0"/>
        <w:pageBreakBefore w:val="0"/>
        <w:wordWrap/>
        <w:overflowPunct/>
        <w:topLinePunct w:val="0"/>
        <w:autoSpaceDE/>
        <w:autoSpaceDN/>
        <w:bidi w:val="0"/>
        <w:adjustRightInd w:val="0"/>
        <w:snapToGrid w:val="0"/>
        <w:spacing w:line="360" w:lineRule="auto"/>
        <w:jc w:val="center"/>
        <w:rPr>
          <w:rFonts w:hint="eastAsia" w:ascii="宋体" w:hAnsi="宋体" w:cs="宋体"/>
          <w:kern w:val="0"/>
          <w:sz w:val="24"/>
          <w:szCs w:val="24"/>
          <w:lang w:eastAsia="zh-CN"/>
        </w:rPr>
      </w:pPr>
      <w:r>
        <w:rPr>
          <w:rFonts w:hint="eastAsia" w:ascii="宋体" w:hAnsi="宋体" w:cs="宋体"/>
          <w:kern w:val="0"/>
          <w:sz w:val="24"/>
          <w:szCs w:val="24"/>
          <w:lang w:val="en-US" w:eastAsia="zh-CN"/>
        </w:rPr>
        <w:t>管理</w:t>
      </w:r>
      <w:r>
        <w:rPr>
          <w:rFonts w:hint="eastAsia" w:ascii="宋体" w:hAnsi="宋体" w:cs="宋体"/>
          <w:kern w:val="0"/>
          <w:sz w:val="24"/>
          <w:szCs w:val="24"/>
          <w:lang w:eastAsia="zh-CN"/>
        </w:rPr>
        <w:t>指标评价明细表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二级指标</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分值</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三级指标</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分值</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得分</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1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资金管理</w:t>
            </w:r>
          </w:p>
        </w:tc>
        <w:tc>
          <w:tcPr>
            <w:tcW w:w="151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15</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资金支付</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15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3.00 </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1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51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支出规范性</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12</w:t>
            </w:r>
          </w:p>
        </w:tc>
        <w:tc>
          <w:tcPr>
            <w:tcW w:w="15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9.70 </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80.83%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1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事项管理</w:t>
            </w:r>
          </w:p>
        </w:tc>
        <w:tc>
          <w:tcPr>
            <w:tcW w:w="151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实施程序</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5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5.00 </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1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51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管理情况</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5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3.00 </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合计</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25</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25</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20.</w:t>
            </w:r>
            <w:r>
              <w:rPr>
                <w:rFonts w:hint="eastAsia" w:ascii="宋体" w:hAnsi="宋体" w:cs="宋体"/>
                <w:bCs/>
                <w:sz w:val="24"/>
                <w:szCs w:val="24"/>
                <w:lang w:val="en-US" w:eastAsia="zh-CN"/>
              </w:rPr>
              <w:t>70</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8</w:t>
            </w:r>
            <w:r>
              <w:rPr>
                <w:rFonts w:hint="eastAsia" w:ascii="宋体" w:hAnsi="宋体" w:cs="宋体"/>
                <w:bCs/>
                <w:sz w:val="24"/>
                <w:szCs w:val="24"/>
                <w:lang w:val="en-US" w:eastAsia="zh-CN"/>
              </w:rPr>
              <w:t>2.80</w:t>
            </w:r>
            <w:r>
              <w:rPr>
                <w:rFonts w:hint="eastAsia" w:ascii="宋体" w:hAnsi="宋体" w:eastAsia="宋体" w:cs="宋体"/>
                <w:bCs/>
                <w:sz w:val="24"/>
                <w:szCs w:val="24"/>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before="268" w:beforeLines="50"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rPr>
        <w:t>3.产出分析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sz w:val="28"/>
          <w:szCs w:val="28"/>
        </w:rPr>
        <w:t>该指标分值30分，评价得</w:t>
      </w:r>
      <w:r>
        <w:rPr>
          <w:rFonts w:hint="eastAsia" w:ascii="宋体" w:hAnsi="宋体" w:cs="宋体"/>
          <w:sz w:val="28"/>
          <w:szCs w:val="28"/>
          <w:lang w:val="en-US" w:eastAsia="zh-CN"/>
        </w:rPr>
        <w:t>28.80</w:t>
      </w:r>
      <w:r>
        <w:rPr>
          <w:rFonts w:hint="eastAsia" w:ascii="宋体" w:hAnsi="宋体" w:eastAsia="宋体" w:cs="宋体"/>
          <w:sz w:val="28"/>
          <w:szCs w:val="28"/>
        </w:rPr>
        <w:t>分</w:t>
      </w:r>
      <w:r>
        <w:rPr>
          <w:rFonts w:hint="eastAsia" w:ascii="宋体" w:hAnsi="宋体" w:eastAsia="宋体" w:cs="宋体"/>
          <w:sz w:val="28"/>
          <w:szCs w:val="28"/>
          <w:lang w:eastAsia="zh-CN"/>
        </w:rPr>
        <w:t>（各项指标的得分情况详见下表</w:t>
      </w:r>
      <w:r>
        <w:rPr>
          <w:rFonts w:hint="eastAsia" w:ascii="宋体" w:hAnsi="宋体" w:eastAsia="宋体" w:cs="宋体"/>
          <w:sz w:val="28"/>
          <w:szCs w:val="28"/>
          <w:lang w:val="en-US" w:eastAsia="zh-CN"/>
        </w:rPr>
        <w:t>-</w:t>
      </w:r>
      <w:r>
        <w:rPr>
          <w:rFonts w:hint="eastAsia" w:ascii="宋体" w:hAnsi="宋体" w:eastAsia="宋体" w:cs="宋体"/>
          <w:kern w:val="0"/>
          <w:sz w:val="28"/>
          <w:szCs w:val="28"/>
          <w:lang w:eastAsia="zh-CN"/>
        </w:rPr>
        <w:t>产出指标评价明细表）</w:t>
      </w:r>
      <w:r>
        <w:rPr>
          <w:rFonts w:hint="eastAsia" w:ascii="宋体" w:hAnsi="宋体" w:eastAsia="宋体" w:cs="宋体"/>
          <w:sz w:val="28"/>
          <w:szCs w:val="28"/>
        </w:rPr>
        <w:t>，得分率</w:t>
      </w:r>
      <w:r>
        <w:rPr>
          <w:rFonts w:hint="eastAsia" w:ascii="宋体" w:hAnsi="宋体" w:cs="宋体"/>
          <w:sz w:val="28"/>
          <w:szCs w:val="28"/>
          <w:lang w:val="en-US" w:eastAsia="zh-CN"/>
        </w:rPr>
        <w:t>96.00</w:t>
      </w:r>
      <w:r>
        <w:rPr>
          <w:rFonts w:hint="eastAsia" w:ascii="宋体" w:hAnsi="宋体" w:eastAsia="宋体" w:cs="宋体"/>
          <w:sz w:val="28"/>
          <w:szCs w:val="28"/>
        </w:rPr>
        <w:t>%。从评价指标得分情况看，“经济性-成本控制”</w:t>
      </w:r>
      <w:r>
        <w:rPr>
          <w:rFonts w:hint="eastAsia" w:ascii="宋体" w:hAnsi="宋体" w:eastAsia="宋体" w:cs="宋体"/>
          <w:sz w:val="28"/>
          <w:szCs w:val="28"/>
          <w:lang w:val="en-US" w:eastAsia="zh-CN"/>
        </w:rPr>
        <w:t>“效率性-质量指标”取得标准分值</w:t>
      </w:r>
      <w:r>
        <w:rPr>
          <w:rFonts w:hint="eastAsia" w:ascii="宋体" w:hAnsi="宋体" w:cs="宋体"/>
          <w:sz w:val="28"/>
          <w:szCs w:val="28"/>
          <w:lang w:val="en-US" w:eastAsia="zh-CN"/>
        </w:rPr>
        <w:t>，说明</w:t>
      </w:r>
      <w:r>
        <w:rPr>
          <w:rFonts w:hint="eastAsia" w:ascii="宋体" w:hAnsi="宋体" w:eastAsia="宋体" w:cs="宋体"/>
          <w:b w:val="0"/>
          <w:bCs w:val="0"/>
          <w:color w:val="000000"/>
          <w:kern w:val="0"/>
          <w:sz w:val="28"/>
          <w:szCs w:val="28"/>
        </w:rPr>
        <w:t>“粤菜师傅”“广东技工”“南粤家政”三项工程</w:t>
      </w:r>
      <w:r>
        <w:rPr>
          <w:rFonts w:hint="eastAsia" w:ascii="宋体" w:hAnsi="宋体" w:cs="宋体"/>
          <w:b w:val="0"/>
          <w:bCs w:val="0"/>
          <w:color w:val="000000"/>
          <w:kern w:val="0"/>
          <w:sz w:val="28"/>
          <w:szCs w:val="28"/>
          <w:lang w:val="en-US" w:eastAsia="zh-CN"/>
        </w:rPr>
        <w:t>的各项支出控制在合理范围，质量符合质量要求；</w:t>
      </w:r>
      <w:r>
        <w:rPr>
          <w:rFonts w:hint="eastAsia" w:ascii="宋体" w:hAnsi="宋体" w:eastAsia="宋体" w:cs="宋体"/>
          <w:sz w:val="28"/>
          <w:szCs w:val="28"/>
          <w:lang w:eastAsia="zh-CN"/>
        </w:rPr>
        <w:t>“经济性</w:t>
      </w:r>
      <w:r>
        <w:rPr>
          <w:rFonts w:hint="eastAsia" w:ascii="宋体" w:hAnsi="宋体" w:eastAsia="宋体" w:cs="宋体"/>
          <w:sz w:val="28"/>
          <w:szCs w:val="28"/>
          <w:lang w:val="en-US" w:eastAsia="zh-CN"/>
        </w:rPr>
        <w:t>-预算控制”“效率性-</w:t>
      </w:r>
      <w:r>
        <w:rPr>
          <w:rFonts w:hint="eastAsia" w:ascii="宋体" w:hAnsi="宋体" w:cs="宋体"/>
          <w:sz w:val="28"/>
          <w:szCs w:val="28"/>
          <w:lang w:val="en-US" w:eastAsia="zh-CN"/>
        </w:rPr>
        <w:t>完成进度</w:t>
      </w:r>
      <w:r>
        <w:rPr>
          <w:rFonts w:hint="eastAsia" w:ascii="宋体" w:hAnsi="宋体" w:eastAsia="宋体" w:cs="宋体"/>
          <w:sz w:val="28"/>
          <w:szCs w:val="28"/>
          <w:lang w:val="en-US" w:eastAsia="zh-CN"/>
        </w:rPr>
        <w:t>”以及“效率性-</w:t>
      </w:r>
      <w:r>
        <w:rPr>
          <w:rFonts w:hint="eastAsia" w:ascii="宋体" w:hAnsi="宋体" w:cs="宋体"/>
          <w:sz w:val="28"/>
          <w:szCs w:val="28"/>
          <w:lang w:val="en-US" w:eastAsia="zh-CN"/>
        </w:rPr>
        <w:t>完成时</w:t>
      </w:r>
      <w:r>
        <w:rPr>
          <w:rFonts w:hint="eastAsia" w:ascii="宋体" w:hAnsi="宋体" w:cs="宋体"/>
          <w:color w:val="auto"/>
          <w:sz w:val="28"/>
          <w:szCs w:val="28"/>
          <w:lang w:val="en-US" w:eastAsia="zh-CN"/>
        </w:rPr>
        <w:t>间</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未能</w:t>
      </w:r>
      <w:r>
        <w:rPr>
          <w:rFonts w:hint="eastAsia" w:ascii="宋体" w:hAnsi="宋体" w:eastAsia="宋体" w:cs="宋体"/>
          <w:color w:val="auto"/>
          <w:sz w:val="28"/>
          <w:szCs w:val="28"/>
          <w:lang w:val="en-US" w:eastAsia="zh-CN"/>
        </w:rPr>
        <w:t>取得标准分值，说明项目</w:t>
      </w:r>
      <w:r>
        <w:rPr>
          <w:rFonts w:hint="eastAsia" w:ascii="宋体" w:hAnsi="宋体" w:eastAsia="宋体" w:cs="宋体"/>
          <w:color w:val="auto"/>
          <w:sz w:val="28"/>
          <w:szCs w:val="28"/>
        </w:rPr>
        <w:t>资金使用的经济性与效率性</w:t>
      </w:r>
      <w:r>
        <w:rPr>
          <w:rFonts w:hint="eastAsia" w:ascii="宋体" w:hAnsi="宋体" w:eastAsia="宋体" w:cs="宋体"/>
          <w:color w:val="auto"/>
          <w:sz w:val="28"/>
          <w:szCs w:val="28"/>
          <w:lang w:val="en-US" w:eastAsia="zh-CN"/>
        </w:rPr>
        <w:t>存在不足。</w:t>
      </w:r>
      <w:r>
        <w:rPr>
          <w:rFonts w:hint="eastAsia" w:ascii="宋体" w:hAnsi="宋体" w:cs="宋体"/>
          <w:color w:val="auto"/>
          <w:sz w:val="28"/>
          <w:szCs w:val="28"/>
          <w:lang w:val="en-US" w:eastAsia="zh-CN"/>
        </w:rPr>
        <w:t>原因是</w:t>
      </w:r>
      <w:r>
        <w:rPr>
          <w:rFonts w:hint="eastAsia" w:ascii="宋体" w:hAnsi="宋体" w:eastAsia="宋体" w:cs="宋体"/>
          <w:b w:val="0"/>
          <w:bCs w:val="0"/>
          <w:color w:val="auto"/>
          <w:kern w:val="0"/>
          <w:sz w:val="28"/>
          <w:szCs w:val="28"/>
        </w:rPr>
        <w:t>“粤菜师傅”</w:t>
      </w:r>
      <w:r>
        <w:rPr>
          <w:rFonts w:hint="eastAsia" w:ascii="宋体" w:hAnsi="宋体" w:cs="宋体"/>
          <w:b w:val="0"/>
          <w:bCs w:val="0"/>
          <w:color w:val="auto"/>
          <w:kern w:val="0"/>
          <w:sz w:val="28"/>
          <w:szCs w:val="28"/>
          <w:lang w:val="en-US" w:eastAsia="zh-CN"/>
        </w:rPr>
        <w:t>工程的梅州市农业学校项目实际支出额超过预算下达额度，梅州技师学院的项</w:t>
      </w:r>
      <w:r>
        <w:rPr>
          <w:rFonts w:hint="eastAsia" w:ascii="宋体" w:hAnsi="宋体" w:cs="宋体"/>
          <w:b w:val="0"/>
          <w:bCs w:val="0"/>
          <w:color w:val="000000"/>
          <w:kern w:val="0"/>
          <w:sz w:val="28"/>
          <w:szCs w:val="28"/>
          <w:lang w:val="en-US" w:eastAsia="zh-CN"/>
        </w:rPr>
        <w:t>目（</w:t>
      </w:r>
      <w:r>
        <w:rPr>
          <w:rFonts w:hint="eastAsia" w:ascii="宋体" w:hAnsi="宋体" w:cs="宋体"/>
          <w:spacing w:val="2"/>
          <w:sz w:val="28"/>
          <w:szCs w:val="28"/>
          <w:lang w:val="en-US" w:eastAsia="zh-CN"/>
        </w:rPr>
        <w:t>梅</w:t>
      </w:r>
      <w:r>
        <w:rPr>
          <w:rFonts w:hint="default" w:ascii="宋体" w:hAnsi="宋体" w:eastAsia="宋体" w:cs="宋体"/>
          <w:spacing w:val="2"/>
          <w:sz w:val="28"/>
          <w:szCs w:val="28"/>
        </w:rPr>
        <w:t>州客家菜师傅培训基地建设项目</w:t>
      </w:r>
      <w:r>
        <w:rPr>
          <w:rFonts w:hint="eastAsia" w:ascii="宋体" w:hAnsi="宋体" w:cs="宋体"/>
          <w:spacing w:val="2"/>
          <w:sz w:val="28"/>
          <w:szCs w:val="28"/>
          <w:lang w:val="en-US" w:eastAsia="zh-CN"/>
        </w:rPr>
        <w:t>的</w:t>
      </w:r>
      <w:r>
        <w:rPr>
          <w:rFonts w:hint="eastAsia" w:ascii="宋体" w:hAnsi="宋体" w:cs="宋体"/>
          <w:spacing w:val="2"/>
          <w:sz w:val="28"/>
          <w:szCs w:val="28"/>
          <w:lang w:eastAsia="zh-CN"/>
        </w:rPr>
        <w:t>宿舍改建</w:t>
      </w:r>
      <w:r>
        <w:rPr>
          <w:rFonts w:hint="eastAsia" w:ascii="宋体" w:hAnsi="宋体" w:cs="宋体"/>
          <w:spacing w:val="2"/>
          <w:sz w:val="28"/>
          <w:szCs w:val="28"/>
          <w:lang w:val="en-US" w:eastAsia="zh-CN"/>
        </w:rPr>
        <w:t>工程</w:t>
      </w:r>
      <w:r>
        <w:rPr>
          <w:rFonts w:hint="eastAsia" w:ascii="宋体" w:hAnsi="宋体" w:cs="宋体"/>
          <w:spacing w:val="2"/>
          <w:sz w:val="28"/>
          <w:szCs w:val="28"/>
          <w:lang w:eastAsia="zh-CN"/>
        </w:rPr>
        <w:t>完工验收时间为2022年1月10日）</w:t>
      </w:r>
      <w:r>
        <w:rPr>
          <w:rFonts w:hint="eastAsia" w:ascii="宋体" w:hAnsi="宋体" w:cs="宋体"/>
          <w:b w:val="0"/>
          <w:bCs w:val="0"/>
          <w:color w:val="000000"/>
          <w:kern w:val="0"/>
          <w:sz w:val="28"/>
          <w:szCs w:val="28"/>
          <w:lang w:val="en-US" w:eastAsia="zh-CN"/>
        </w:rPr>
        <w:t>未在2021年度如期完成。</w:t>
      </w:r>
    </w:p>
    <w:p>
      <w:pPr>
        <w:keepNext w:val="0"/>
        <w:keepLines w:val="0"/>
        <w:pageBreakBefore w:val="0"/>
        <w:wordWrap/>
        <w:overflowPunct/>
        <w:topLinePunct w:val="0"/>
        <w:autoSpaceDE/>
        <w:autoSpaceDN/>
        <w:bidi w:val="0"/>
        <w:adjustRightInd w:val="0"/>
        <w:snapToGrid w:val="0"/>
        <w:spacing w:line="360" w:lineRule="auto"/>
        <w:jc w:val="center"/>
        <w:rPr>
          <w:rFonts w:hint="eastAsia" w:ascii="宋体" w:hAnsi="宋体" w:cs="宋体"/>
          <w:kern w:val="0"/>
          <w:sz w:val="24"/>
          <w:szCs w:val="24"/>
          <w:lang w:eastAsia="zh-CN"/>
        </w:rPr>
      </w:pPr>
      <w:r>
        <w:rPr>
          <w:rFonts w:hint="eastAsia" w:ascii="宋体" w:hAnsi="宋体" w:cs="宋体"/>
          <w:kern w:val="0"/>
          <w:sz w:val="24"/>
          <w:szCs w:val="24"/>
          <w:lang w:eastAsia="zh-CN"/>
        </w:rPr>
        <w:t>产出指标评价明细表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二级指标</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分值</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三级指标</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分值</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得分</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经济性</w:t>
            </w:r>
          </w:p>
        </w:tc>
        <w:tc>
          <w:tcPr>
            <w:tcW w:w="833"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预算控制</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5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4.70 </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成本控制</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5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5.00 </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效率性</w:t>
            </w:r>
          </w:p>
        </w:tc>
        <w:tc>
          <w:tcPr>
            <w:tcW w:w="833"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20</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完成进度</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15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7.40 </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完成时间</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15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3.70 </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完成质量</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151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8.00 </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合计</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30</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30</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28.</w:t>
            </w:r>
            <w:r>
              <w:rPr>
                <w:rFonts w:hint="eastAsia" w:ascii="宋体" w:hAnsi="宋体" w:cs="宋体"/>
                <w:bCs/>
                <w:sz w:val="24"/>
                <w:szCs w:val="24"/>
                <w:lang w:val="en-US" w:eastAsia="zh-CN"/>
              </w:rPr>
              <w:t>80</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9</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0</w:t>
            </w:r>
            <w:r>
              <w:rPr>
                <w:rFonts w:hint="eastAsia" w:ascii="宋体" w:hAnsi="宋体" w:eastAsia="宋体" w:cs="宋体"/>
                <w:bCs/>
                <w:sz w:val="24"/>
                <w:szCs w:val="24"/>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before="268" w:beforeLines="50"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4.效益分析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该指标分值30分，评价得分</w:t>
      </w:r>
      <w:r>
        <w:rPr>
          <w:rFonts w:hint="eastAsia" w:ascii="宋体" w:hAnsi="宋体" w:cs="宋体"/>
          <w:sz w:val="28"/>
          <w:szCs w:val="28"/>
          <w:lang w:val="en-US" w:eastAsia="zh-CN"/>
        </w:rPr>
        <w:t>27.70</w:t>
      </w:r>
      <w:r>
        <w:rPr>
          <w:rFonts w:hint="eastAsia" w:ascii="宋体" w:hAnsi="宋体" w:eastAsia="宋体" w:cs="宋体"/>
          <w:sz w:val="28"/>
          <w:szCs w:val="28"/>
        </w:rPr>
        <w:t>分</w:t>
      </w:r>
      <w:r>
        <w:rPr>
          <w:rFonts w:hint="eastAsia" w:ascii="宋体" w:hAnsi="宋体" w:eastAsia="宋体" w:cs="宋体"/>
          <w:sz w:val="28"/>
          <w:szCs w:val="28"/>
          <w:lang w:eastAsia="zh-CN"/>
        </w:rPr>
        <w:t>（各项指标的得分情况详见下表</w:t>
      </w:r>
      <w:r>
        <w:rPr>
          <w:rFonts w:hint="eastAsia" w:ascii="宋体" w:hAnsi="宋体" w:eastAsia="宋体" w:cs="宋体"/>
          <w:sz w:val="28"/>
          <w:szCs w:val="28"/>
          <w:lang w:val="en-US" w:eastAsia="zh-CN"/>
        </w:rPr>
        <w:t>-</w:t>
      </w:r>
      <w:r>
        <w:rPr>
          <w:rFonts w:hint="eastAsia" w:ascii="宋体" w:hAnsi="宋体" w:eastAsia="宋体" w:cs="宋体"/>
          <w:sz w:val="28"/>
          <w:szCs w:val="28"/>
        </w:rPr>
        <w:t>效益</w:t>
      </w:r>
      <w:r>
        <w:rPr>
          <w:rFonts w:hint="eastAsia" w:ascii="宋体" w:hAnsi="宋体" w:eastAsia="宋体" w:cs="宋体"/>
          <w:kern w:val="0"/>
          <w:sz w:val="28"/>
          <w:szCs w:val="28"/>
          <w:lang w:eastAsia="zh-CN"/>
        </w:rPr>
        <w:t>指标评价明细表）</w:t>
      </w:r>
      <w:r>
        <w:rPr>
          <w:rFonts w:hint="eastAsia" w:ascii="宋体" w:hAnsi="宋体" w:eastAsia="宋体" w:cs="宋体"/>
          <w:sz w:val="28"/>
          <w:szCs w:val="28"/>
        </w:rPr>
        <w:t>，得分率</w:t>
      </w:r>
      <w:r>
        <w:rPr>
          <w:rFonts w:hint="eastAsia" w:ascii="宋体" w:hAnsi="宋体" w:cs="宋体"/>
          <w:sz w:val="28"/>
          <w:szCs w:val="28"/>
          <w:lang w:val="en-US" w:eastAsia="zh-CN"/>
        </w:rPr>
        <w:t>92.33</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从评价指标得分情况看，</w:t>
      </w:r>
      <w:r>
        <w:rPr>
          <w:rFonts w:hint="eastAsia" w:ascii="宋体" w:hAnsi="宋体" w:eastAsia="宋体" w:cs="宋体"/>
          <w:sz w:val="28"/>
          <w:szCs w:val="28"/>
          <w:lang w:eastAsia="zh-CN"/>
        </w:rPr>
        <w:t>公平性指标达到了标准的分值，说明项目</w:t>
      </w:r>
      <w:r>
        <w:rPr>
          <w:rFonts w:hint="eastAsia" w:ascii="宋体" w:hAnsi="宋体" w:cs="宋体"/>
          <w:sz w:val="28"/>
          <w:szCs w:val="28"/>
          <w:lang w:val="en-US" w:eastAsia="zh-CN"/>
        </w:rPr>
        <w:t>的实施能满足受益对象的需求；可持续发展指标得分率为92.00%，扣分的原因是</w:t>
      </w:r>
      <w:r>
        <w:rPr>
          <w:rFonts w:hint="eastAsia" w:ascii="宋体" w:hAnsi="宋体" w:eastAsia="宋体" w:cs="宋体"/>
          <w:b w:val="0"/>
          <w:bCs w:val="0"/>
          <w:color w:val="000000"/>
          <w:kern w:val="0"/>
          <w:sz w:val="28"/>
          <w:szCs w:val="28"/>
        </w:rPr>
        <w:t>“广东技工”</w:t>
      </w:r>
      <w:r>
        <w:rPr>
          <w:rFonts w:hint="eastAsia" w:ascii="宋体" w:hAnsi="宋体" w:cs="宋体"/>
          <w:b w:val="0"/>
          <w:bCs w:val="0"/>
          <w:color w:val="000000"/>
          <w:kern w:val="0"/>
          <w:sz w:val="28"/>
          <w:szCs w:val="28"/>
          <w:lang w:val="en-US" w:eastAsia="zh-CN"/>
        </w:rPr>
        <w:t>技能专业建设存在师资配置不足，现有的师资缺乏技能型的人才</w:t>
      </w:r>
      <w:r>
        <w:rPr>
          <w:rFonts w:hint="eastAsia" w:ascii="宋体" w:hAnsi="宋体" w:eastAsia="宋体" w:cs="宋体"/>
          <w:sz w:val="28"/>
          <w:szCs w:val="28"/>
          <w:lang w:eastAsia="zh-CN"/>
        </w:rPr>
        <w:t>。</w:t>
      </w:r>
    </w:p>
    <w:p>
      <w:pPr>
        <w:keepNext w:val="0"/>
        <w:keepLines w:val="0"/>
        <w:pageBreakBefore w:val="0"/>
        <w:wordWrap/>
        <w:overflowPunct/>
        <w:topLinePunct w:val="0"/>
        <w:autoSpaceDE/>
        <w:autoSpaceDN/>
        <w:bidi w:val="0"/>
        <w:adjustRightInd w:val="0"/>
        <w:snapToGrid w:val="0"/>
        <w:spacing w:line="360" w:lineRule="auto"/>
        <w:jc w:val="center"/>
        <w:rPr>
          <w:rFonts w:hint="eastAsia" w:ascii="宋体" w:hAnsi="宋体" w:cs="宋体"/>
          <w:kern w:val="0"/>
          <w:sz w:val="24"/>
          <w:szCs w:val="24"/>
          <w:lang w:eastAsia="zh-CN"/>
        </w:rPr>
      </w:pPr>
      <w:r>
        <w:rPr>
          <w:rFonts w:hint="eastAsia" w:ascii="宋体" w:hAnsi="宋体" w:cs="宋体"/>
          <w:kern w:val="0"/>
          <w:sz w:val="24"/>
          <w:szCs w:val="24"/>
          <w:lang w:eastAsia="zh-CN"/>
        </w:rPr>
        <w:t>效益指标评价明细表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3" w:type="pct"/>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二级指标</w:t>
            </w:r>
          </w:p>
        </w:tc>
        <w:tc>
          <w:tcPr>
            <w:tcW w:w="833" w:type="pct"/>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分值</w:t>
            </w:r>
          </w:p>
        </w:tc>
        <w:tc>
          <w:tcPr>
            <w:tcW w:w="833" w:type="pct"/>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三级指标</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分值</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得分</w:t>
            </w:r>
          </w:p>
        </w:tc>
        <w:tc>
          <w:tcPr>
            <w:tcW w:w="833" w:type="pct"/>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3"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效果性</w:t>
            </w:r>
          </w:p>
        </w:tc>
        <w:tc>
          <w:tcPr>
            <w:tcW w:w="833"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25</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社会效益</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13.50 </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3" w:type="pct"/>
            <w:vMerge w:val="continue"/>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833" w:type="pct"/>
            <w:vMerge w:val="continue"/>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可持续发展</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9.20 </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公平性</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满意度</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5.00 </w:t>
            </w:r>
          </w:p>
        </w:tc>
        <w:tc>
          <w:tcPr>
            <w:tcW w:w="15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3"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合计</w:t>
            </w:r>
          </w:p>
        </w:tc>
        <w:tc>
          <w:tcPr>
            <w:tcW w:w="833"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30</w:t>
            </w:r>
          </w:p>
        </w:tc>
        <w:tc>
          <w:tcPr>
            <w:tcW w:w="833"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p>
        </w:tc>
        <w:tc>
          <w:tcPr>
            <w:tcW w:w="833"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30</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27.70</w:t>
            </w:r>
          </w:p>
        </w:tc>
        <w:tc>
          <w:tcPr>
            <w:tcW w:w="8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9</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3%</w:t>
            </w: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sz w:val="28"/>
          <w:szCs w:val="28"/>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主要绩效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（一）多方联动，促进梅州市“粤菜师傅”工程高质量发展。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在梅州市委市政府的高度重视下，通过市人社局、各级政府有关部门的共同努力，促进了梅州市“粤菜师傅”工程高质量发展。2021年全市累计培训3289人次（其中全日制烹饪专业490人），完成省下达任务1000人的328.9%，培训后获证人数1958人，带动就业创业2410人，完成年度目标任务2000人次的120.5%。</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培育扶持省级“粤菜师傅”培养示范基地，为梅州市“粤菜师傅”工程发展提供人才培养基地。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按照省级“粤菜师傅”培养示范基地的标准，扶持梅州农业学校新增基地建筑面积867平方米</w:t>
      </w:r>
      <w:r>
        <w:rPr>
          <w:rFonts w:hint="eastAsia" w:ascii="宋体" w:hAnsi="宋体" w:cs="宋体"/>
          <w:b w:val="0"/>
          <w:bCs w:val="0"/>
          <w:sz w:val="28"/>
          <w:szCs w:val="28"/>
          <w:lang w:val="en-US" w:eastAsia="zh-CN"/>
        </w:rPr>
        <w:t>和</w:t>
      </w:r>
      <w:r>
        <w:rPr>
          <w:rFonts w:hint="eastAsia" w:ascii="宋体" w:hAnsi="宋体" w:eastAsia="宋体" w:cs="宋体"/>
          <w:b w:val="0"/>
          <w:bCs w:val="0"/>
          <w:sz w:val="28"/>
          <w:szCs w:val="28"/>
          <w:lang w:val="en-US" w:eastAsia="zh-CN"/>
        </w:rPr>
        <w:t>购进一批先进的教研设备，更好地满足了基地建设、专业发展、人才培养、培训考证、技能竞赛、产教融合、研发推广、标准制定、非遗传承与发扬、宣传展示、文化交流等需要，实现了“粤菜师傅”培养示范基地建设目标。以学校为基础设立的广东梅州职业技术学院，新设的烹饪工艺与营养专业于2021年9月23日开始实现首届招生。通过高质量的省级“粤菜师傅”培养示范基地培育，拓宽了“粤菜师傅”人才培养范围，提高了梅州市“粤菜师傅”工程的培养层次和质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扶持梅州市技师学院完善“粤菜师傅”省级培训基地的配套设施，改善了梅州市技师学院学生居住条件。为充分整合政府、院校、企业、社会培训机构等资源要素，更好地发挥学院职业技能培训在梅州扩大就业、脱贫攻坚、乡村振兴、产业转型升级、服务粤港澳大湾区建设工作中的独特作用，该校联合广州（梅州）产业转移工业园管理委员会发起成立“粤菜师傅、广东技工、南粤家政”三项工程实训联盟。通过建设实训联盟，打通企业、院校、人才、市场等各种资源高效对接的政企校平台，定期开展人才实训、交流服务活动，促进各类技能人才合作。2021年，该校利用培训基地共培养了130名粤菜师傅，取得了显著成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组织参加和开展“粤菜师傅”技能比赛，打造梅州“粤菜师傅”名片。</w:t>
      </w:r>
      <w:r>
        <w:rPr>
          <w:rFonts w:hint="eastAsia" w:ascii="宋体" w:hAnsi="宋体" w:eastAsia="宋体" w:cs="宋体"/>
          <w:b w:val="0"/>
          <w:bCs w:val="0"/>
          <w:sz w:val="28"/>
          <w:szCs w:val="28"/>
          <w:lang w:val="en-US" w:eastAsia="zh-CN"/>
        </w:rPr>
        <w:t>组织选手参加高级别的“粤菜师傅”技能比赛，2021年10月，在广东省星级粤菜师傅名厨认定评选活动中，我市有2人被认定为五星级“粤菜师傅”名厨，2人被认定为广东省四星级“粤菜师傅”名厨；2021年11月2日-3日，在第四届粤港澳大湾区“粤菜师傅”技能大赛暨粤菜产业文化交流活动中，我市派出六名选手参赛并取得“中式烹调名厨组”一等奖、三等奖，“中式面点名厨组”优胜奖，梅州市人社局也荣获此次活动“优秀组织奖”；在第十届中华粤菜厨师节暨2021创新粤菜烹饪大赛中，我市选手获特金奖1个、金奖5个；在省第二届职业技能餐饮行业职业技能大赛上，我市选手夺得2金4银7铜佳绩；在2021年全国行业职业技能竞赛决赛上，刘伟森代表广东代表队参赛，并在中式烹饪赛项中获得金奖。</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2021年8月，梅县区人社局组织举办了办名师、名店、名菜“三名”工程评选活动暨技能大赛，通过比赛，提升了“粤菜师傅”技能人才水平。本次活动评选出梅县区客家菜名师8名、梅州市客家菜名店3家、梅县区客家名菜8道，另评选出“地方特色名菜”、“客家名小吃”、“创新名菜”，并举办了“工匠组”和“传承组”技能大赛，“工匠组”决出梅县区客家菜师傅技术标兵1名、金奖银奖优秀奖多名；传承组决出优秀指导老师1名、一二三等奖各1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通过组织开展不同层次的“粤菜师傅”各项技能比赛，提升了“粤菜师傅”技能人才的素质，选手亮眼的比赛成绩，打造了梅州“粤菜师傅”名片。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3.完成了梅江区客家菜传统特色美食示范街前期论证工作。</w:t>
      </w:r>
      <w:r>
        <w:rPr>
          <w:rFonts w:hint="eastAsia" w:ascii="宋体" w:hAnsi="宋体" w:eastAsia="宋体" w:cs="宋体"/>
          <w:b w:val="0"/>
          <w:bCs w:val="0"/>
          <w:sz w:val="28"/>
          <w:szCs w:val="28"/>
          <w:lang w:val="en-US" w:eastAsia="zh-CN"/>
        </w:rPr>
        <w:t>梅江区人社局使用财政专项资金，完成了梅江区客家菜传统特色美食示范街的前期可行性论证；为“粤菜师傅”配套了办公设施；为宣传梅江区客家菜传统特色美食示范街，开发制作了梅江美食的“寻味梅江”短视频、小视频及宣传单。</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4.推动客家腌面小吃品牌市场化发展。</w:t>
      </w:r>
      <w:r>
        <w:rPr>
          <w:rFonts w:hint="eastAsia" w:ascii="宋体" w:hAnsi="宋体" w:eastAsia="宋体" w:cs="宋体"/>
          <w:b w:val="0"/>
          <w:bCs w:val="0"/>
          <w:sz w:val="28"/>
          <w:szCs w:val="28"/>
          <w:lang w:val="en-US" w:eastAsia="zh-CN"/>
        </w:rPr>
        <w:t>根据省三项办《关于开展打造粤菜小吃品牌工作的通知》（粤三项办〔2021〕16号）文件精神，结合我市实际，梅州市三项办印发实施了《关于打造“客家腌面”粤菜小吃品牌方案》（梅市三项办〔2022〕1号），推动梅州市“粤菜师傅”特色风味品牌-“客家腌面”市场化发展。</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5.联动就业创业扶持政策，促进“粤菜师傅”工程高质量发展，助力乡村振兴。</w:t>
      </w:r>
      <w:r>
        <w:rPr>
          <w:rFonts w:hint="eastAsia" w:ascii="宋体" w:hAnsi="宋体" w:eastAsia="宋体" w:cs="宋体"/>
          <w:b w:val="0"/>
          <w:bCs w:val="0"/>
          <w:sz w:val="28"/>
          <w:szCs w:val="28"/>
          <w:lang w:val="en-US" w:eastAsia="zh-CN"/>
        </w:rPr>
        <w:t>坚持将“粤菜师傅”就业创业纳入政策扶持范围，支持“粤菜师傅”开办农家乐、小餐馆或外出创业发展。丰顺县对符合条件的“粤菜师傅”创业者提供最高30万元、最长3年的创业担保贷款及贴息、一次性创业资助1万元等奖励政策。大埔县“大埔小吃”创业带动就业孵化基地，对经过培训挂牌“大埔小吃”创业人员给予1万元财政奖励。五华县通过“粤菜师傅”工程开展“百店扶千户”行动，鼓励全县2000多家餐饮企业主动帮扶2户以上贫困户，扩宽贫困劳动力在客家菜生产、服务、销售、物流、旅游等领域的就业创业机会。梅县区以“粤菜师傅”工程为平台，帮助城东镇玉水村培训培养一大批优秀烹饪学徒和有名厨师，使村内80%以上的家庭有成员外出做厨，从事餐饮服务的超千人，年薪20万元以上的厨师超百人，“粤菜师傅”工程助力该村脱掉省定贫困村的帽子。</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（二）完善“广东技工”教育基地建设，建设适应市场需求的“广东技工”专业，为经济转型发展提供技能人才。</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1.扶持梅州市技师学院完善基础设施，改善了办学条件。</w:t>
      </w:r>
      <w:r>
        <w:rPr>
          <w:rFonts w:hint="eastAsia" w:ascii="宋体" w:hAnsi="宋体" w:eastAsia="宋体" w:cs="宋体"/>
          <w:b w:val="0"/>
          <w:bCs w:val="0"/>
          <w:sz w:val="28"/>
          <w:szCs w:val="28"/>
          <w:lang w:val="en-US" w:eastAsia="zh-CN"/>
        </w:rPr>
        <w:t>通过财政资金的扶持，帮助梅州市技师学院完善办学的配套设施。使用财政资金建设天桥一座，解决了学生穿行校园的安全问题；使用财政资金完善了“南粤家政”专业的教学设施，提升“南粤家政”专业的教学水平；使用财政资金完善了校园消防设备和教学用具，解决了2021年度招入新生的住宿和教室问题，消除了消防隐患。</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2.扶持技校建设适应市场需求的“广东技工”专业，为经济转型发展提供技能人才。</w:t>
      </w:r>
      <w:r>
        <w:rPr>
          <w:rFonts w:hint="eastAsia" w:ascii="宋体" w:hAnsi="宋体" w:eastAsia="宋体" w:cs="宋体"/>
          <w:b w:val="0"/>
          <w:bCs w:val="0"/>
          <w:sz w:val="28"/>
          <w:szCs w:val="28"/>
          <w:lang w:val="en-US" w:eastAsia="zh-CN"/>
        </w:rPr>
        <w:t>通过扶持梅州市技师学院建设计算机室内设计、数控加工、新能源汽车三个专业，五华技校建筑施工、口腔义齿制造二个专业，兴宁市高级技工学校的护理专业的建设，提升了技工学校（院）培养适应市场需求人才的能力，为经济转型发展提供技能人才。</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（三）扶持培育“南粤家政”基层服务示范站，开展多种形式的“南粤家政”培训，引导“南粤家政”健康发展。</w:t>
      </w:r>
      <w:r>
        <w:rPr>
          <w:rFonts w:hint="eastAsia" w:ascii="宋体" w:hAnsi="宋体" w:eastAsia="宋体" w:cs="宋体"/>
          <w:b w:val="0"/>
          <w:bCs w:val="0"/>
          <w:sz w:val="28"/>
          <w:szCs w:val="28"/>
          <w:lang w:val="en-US" w:eastAsia="zh-CN"/>
        </w:rPr>
        <w:t>家政行业牵涉面广，联系到千家万户；家政行业的健康发展，有利于扩大就业门路，提高人民群众的幸福指数。</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1.开展多种形式的“南粤家政”培训，提升家政服务人员的业务素质。</w:t>
      </w:r>
      <w:r>
        <w:rPr>
          <w:rFonts w:hint="eastAsia" w:ascii="宋体" w:hAnsi="宋体" w:eastAsia="宋体" w:cs="宋体"/>
          <w:b w:val="0"/>
          <w:bCs w:val="0"/>
          <w:sz w:val="28"/>
          <w:szCs w:val="28"/>
          <w:lang w:val="en-US" w:eastAsia="zh-CN"/>
        </w:rPr>
        <w:t>2021年围绕母婴、居家、养老和医护四大培训项目，积极推动高等院校、职业（技工）院校、培训机构与家政服务社会组织、企业开展深度合作，通过线上线下相结合的方式，大力开展家政服务技能培训，提升家政人员服务素质。2021年全市累计开展家政服务培训8593人次，完成年度培训5000人次目标任务的171.</w:t>
      </w:r>
      <w:r>
        <w:rPr>
          <w:rFonts w:hint="eastAsia" w:ascii="宋体" w:hAnsi="宋体" w:cs="宋体"/>
          <w:b w:val="0"/>
          <w:bCs w:val="0"/>
          <w:sz w:val="28"/>
          <w:szCs w:val="28"/>
          <w:lang w:val="en-US" w:eastAsia="zh-CN"/>
        </w:rPr>
        <w:t>9</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2.培育“南粤家政”基层服务示范站，以点带面引导“南粤家政”健康发展。</w:t>
      </w:r>
      <w:r>
        <w:rPr>
          <w:rFonts w:hint="eastAsia" w:ascii="宋体" w:hAnsi="宋体" w:eastAsia="宋体" w:cs="宋体"/>
          <w:b w:val="0"/>
          <w:bCs w:val="0"/>
          <w:sz w:val="28"/>
          <w:szCs w:val="28"/>
          <w:lang w:val="en-US" w:eastAsia="zh-CN"/>
        </w:rPr>
        <w:t>2021年，扶持培育梅州市梅江区家政服务行业协会建设“南粤家政”基层服务示范站，通过点的示范作用，带动“南粤家政”行业的健康发展，同时充分落实就业创业优惠政策，鼓励用人单位招用就业困难人员的家政服务人员，鼓励家政从业人员自主创业、自谋职业，促进家政从业人员就业创业。2021年全市累计带动就业创业11462人，完成年度任务目标10000人的114.6%。</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四、存在问题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从绩效评价结果看，项目实施单位在组织实施“粤菜师傅”“广东技工”“南粤家政”三项工程时，主要存在</w:t>
      </w:r>
      <w:r>
        <w:rPr>
          <w:rFonts w:hint="eastAsia" w:ascii="宋体" w:hAnsi="宋体" w:cs="宋体"/>
          <w:b w:val="0"/>
          <w:bCs w:val="0"/>
          <w:sz w:val="28"/>
          <w:szCs w:val="28"/>
          <w:lang w:val="en-US" w:eastAsia="zh-CN"/>
        </w:rPr>
        <w:t>以下</w:t>
      </w:r>
      <w:r>
        <w:rPr>
          <w:rFonts w:hint="eastAsia" w:ascii="宋体" w:hAnsi="宋体" w:eastAsia="宋体" w:cs="宋体"/>
          <w:b w:val="0"/>
          <w:bCs w:val="0"/>
          <w:sz w:val="28"/>
          <w:szCs w:val="28"/>
          <w:lang w:val="en-US" w:eastAsia="zh-CN"/>
        </w:rPr>
        <w:t>问题：</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（一）项目决策方面。</w:t>
      </w:r>
      <w:r>
        <w:rPr>
          <w:rFonts w:hint="eastAsia" w:ascii="宋体" w:hAnsi="宋体" w:eastAsia="宋体" w:cs="宋体"/>
          <w:b w:val="0"/>
          <w:bCs w:val="0"/>
          <w:sz w:val="28"/>
          <w:szCs w:val="28"/>
          <w:lang w:val="en-US" w:eastAsia="zh-CN"/>
        </w:rPr>
        <w:t>实施“粤菜师傅”和“广东技工”工程时，项目的绩效目标设置未全部体现项目实施的内容和要求，同时设置绩效目标</w:t>
      </w:r>
      <w:r>
        <w:rPr>
          <w:rFonts w:hint="eastAsia" w:ascii="宋体" w:hAnsi="宋体" w:cs="宋体"/>
          <w:b w:val="0"/>
          <w:bCs w:val="0"/>
          <w:sz w:val="28"/>
          <w:szCs w:val="28"/>
          <w:lang w:val="en-US" w:eastAsia="zh-CN"/>
        </w:rPr>
        <w:t>部分</w:t>
      </w:r>
      <w:r>
        <w:rPr>
          <w:rFonts w:hint="eastAsia" w:ascii="宋体" w:hAnsi="宋体" w:eastAsia="宋体" w:cs="宋体"/>
          <w:b w:val="0"/>
          <w:bCs w:val="0"/>
          <w:sz w:val="28"/>
          <w:szCs w:val="28"/>
          <w:lang w:val="en-US" w:eastAsia="zh-CN"/>
        </w:rPr>
        <w:t>缺乏可衡量性。</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both"/>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bCs/>
          <w:sz w:val="28"/>
          <w:szCs w:val="28"/>
          <w:lang w:val="en-US" w:eastAsia="zh-CN"/>
        </w:rPr>
        <w:t>（二）项目过程方面。</w:t>
      </w:r>
      <w:r>
        <w:rPr>
          <w:rFonts w:hint="eastAsia" w:ascii="宋体" w:hAnsi="宋体" w:eastAsia="宋体" w:cs="宋体"/>
          <w:b w:val="0"/>
          <w:bCs w:val="0"/>
          <w:sz w:val="28"/>
          <w:szCs w:val="28"/>
          <w:lang w:val="en-US" w:eastAsia="zh-CN"/>
        </w:rPr>
        <w:t>“粤菜师傅”“广东技工”“南粤家政”三项工程的资金使用规范性和</w:t>
      </w:r>
      <w:r>
        <w:rPr>
          <w:rFonts w:hint="eastAsia" w:ascii="宋体" w:hAnsi="宋体" w:eastAsia="宋体" w:cs="宋体"/>
          <w:b w:val="0"/>
          <w:bCs w:val="0"/>
          <w:color w:val="auto"/>
          <w:sz w:val="28"/>
          <w:szCs w:val="28"/>
          <w:lang w:val="en-US" w:eastAsia="zh-CN"/>
        </w:rPr>
        <w:t>主管部门对项目资金使用的检查监管力度存在不足。</w:t>
      </w:r>
      <w:r>
        <w:rPr>
          <w:rFonts w:hint="eastAsia" w:ascii="宋体" w:hAnsi="宋体" w:eastAsia="宋体" w:cs="宋体"/>
          <w:b w:val="0"/>
          <w:bCs w:val="0"/>
          <w:sz w:val="28"/>
          <w:szCs w:val="28"/>
          <w:lang w:val="en-US" w:eastAsia="zh-CN"/>
        </w:rPr>
        <w:t>从项目资金支出的规范性看，五华县技工学校对财政拨入专项资金未在会计账面进行核算，梅江区用款单位对使用专项资金购建固定资产未列作固定资产核算，“南粤家政”的项目单位对使用项目资金购置</w:t>
      </w:r>
      <w:r>
        <w:rPr>
          <w:rFonts w:hint="eastAsia" w:ascii="宋体" w:hAnsi="宋体" w:eastAsia="宋体" w:cs="宋体"/>
          <w:b w:val="0"/>
          <w:bCs w:val="0"/>
          <w:color w:val="auto"/>
          <w:sz w:val="28"/>
          <w:szCs w:val="28"/>
          <w:lang w:val="en-US" w:eastAsia="zh-CN"/>
        </w:rPr>
        <w:t>的电脑</w:t>
      </w:r>
      <w:r>
        <w:rPr>
          <w:rFonts w:hint="eastAsia" w:ascii="宋体" w:hAnsi="宋体" w:eastAsia="宋体" w:cs="宋体"/>
          <w:b w:val="0"/>
          <w:bCs w:val="0"/>
          <w:color w:val="000000" w:themeColor="text1"/>
          <w:sz w:val="28"/>
          <w:szCs w:val="28"/>
          <w:lang w:val="en-US" w:eastAsia="zh-CN"/>
          <w14:textFill>
            <w14:solidFill>
              <w14:schemeClr w14:val="tx1"/>
            </w14:solidFill>
          </w14:textFill>
        </w:rPr>
        <w:t>及打印机固定资产未按会计制度规定列作固定资产；从项目的管理情况看，</w:t>
      </w:r>
      <w:r>
        <w:rPr>
          <w:rFonts w:hint="eastAsia" w:ascii="宋体" w:hAnsi="宋体" w:cs="宋体"/>
          <w:b w:val="0"/>
          <w:bCs w:val="0"/>
          <w:color w:val="000000" w:themeColor="text1"/>
          <w:kern w:val="0"/>
          <w:sz w:val="28"/>
          <w:szCs w:val="28"/>
          <w:lang w:val="en-US" w:eastAsia="zh-CN"/>
          <w14:textFill>
            <w14:solidFill>
              <w14:schemeClr w14:val="tx1"/>
            </w14:solidFill>
          </w14:textFill>
        </w:rPr>
        <w:t>只见主管部门对使用省级专项资金的</w:t>
      </w:r>
      <w:r>
        <w:rPr>
          <w:rFonts w:hint="eastAsia" w:ascii="宋体" w:hAnsi="宋体" w:eastAsia="宋体" w:cs="宋体"/>
          <w:b w:val="0"/>
          <w:bCs w:val="0"/>
          <w:color w:val="000000" w:themeColor="text1"/>
          <w:kern w:val="0"/>
          <w:sz w:val="28"/>
          <w:szCs w:val="28"/>
          <w14:textFill>
            <w14:solidFill>
              <w14:schemeClr w14:val="tx1"/>
            </w14:solidFill>
          </w14:textFill>
        </w:rPr>
        <w:t>“粤菜师傅”</w:t>
      </w:r>
      <w:r>
        <w:rPr>
          <w:rFonts w:hint="eastAsia" w:ascii="宋体" w:hAnsi="宋体" w:cs="宋体"/>
          <w:b w:val="0"/>
          <w:bCs w:val="0"/>
          <w:color w:val="000000" w:themeColor="text1"/>
          <w:kern w:val="0"/>
          <w:sz w:val="28"/>
          <w:szCs w:val="28"/>
          <w:lang w:val="en-US" w:eastAsia="zh-CN"/>
          <w14:textFill>
            <w14:solidFill>
              <w14:schemeClr w14:val="tx1"/>
            </w14:solidFill>
          </w14:textFill>
        </w:rPr>
        <w:t>和</w:t>
      </w:r>
      <w:r>
        <w:rPr>
          <w:rFonts w:hint="eastAsia" w:ascii="宋体" w:hAnsi="宋体" w:eastAsia="宋体" w:cs="宋体"/>
          <w:b w:val="0"/>
          <w:bCs w:val="0"/>
          <w:color w:val="000000" w:themeColor="text1"/>
          <w:kern w:val="0"/>
          <w:sz w:val="28"/>
          <w:szCs w:val="28"/>
          <w14:textFill>
            <w14:solidFill>
              <w14:schemeClr w14:val="tx1"/>
            </w14:solidFill>
          </w14:textFill>
        </w:rPr>
        <w:t>“广东技工”</w:t>
      </w:r>
      <w:r>
        <w:rPr>
          <w:rFonts w:hint="eastAsia" w:ascii="宋体" w:hAnsi="宋体" w:cs="宋体"/>
          <w:b w:val="0"/>
          <w:bCs w:val="0"/>
          <w:color w:val="000000" w:themeColor="text1"/>
          <w:kern w:val="0"/>
          <w:sz w:val="28"/>
          <w:szCs w:val="28"/>
          <w:lang w:val="en-US" w:eastAsia="zh-CN"/>
          <w14:textFill>
            <w14:solidFill>
              <w14:schemeClr w14:val="tx1"/>
            </w14:solidFill>
          </w14:textFill>
        </w:rPr>
        <w:t>项目进行抽查监督，未对项目进行全面检查监督。</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（三）项目产</w:t>
      </w:r>
      <w:r>
        <w:rPr>
          <w:rFonts w:hint="eastAsia" w:ascii="宋体" w:hAnsi="宋体" w:eastAsia="宋体" w:cs="宋体"/>
          <w:b/>
          <w:bCs/>
          <w:color w:val="auto"/>
          <w:sz w:val="28"/>
          <w:szCs w:val="28"/>
          <w:lang w:val="en-US" w:eastAsia="zh-CN"/>
        </w:rPr>
        <w:t>出方面。</w:t>
      </w:r>
      <w:r>
        <w:rPr>
          <w:rFonts w:hint="eastAsia" w:ascii="宋体" w:hAnsi="宋体" w:eastAsia="宋体" w:cs="宋体"/>
          <w:b w:val="0"/>
          <w:bCs w:val="0"/>
          <w:color w:val="auto"/>
          <w:sz w:val="28"/>
          <w:szCs w:val="28"/>
          <w:lang w:val="en-US" w:eastAsia="zh-CN"/>
        </w:rPr>
        <w:t>梅州市农业学校在实施“粤菜师傅”工程项目时，实际支出额超过预算下达额度；梅州技师学院在实施“粤菜师傅”工程项目时，项目（梅州客家菜师傅培训基地建</w:t>
      </w:r>
      <w:r>
        <w:rPr>
          <w:rFonts w:hint="eastAsia" w:ascii="宋体" w:hAnsi="宋体" w:eastAsia="宋体" w:cs="宋体"/>
          <w:b w:val="0"/>
          <w:bCs w:val="0"/>
          <w:sz w:val="28"/>
          <w:szCs w:val="28"/>
          <w:lang w:val="en-US" w:eastAsia="zh-CN"/>
        </w:rPr>
        <w:t>设项目的宿舍改建工程完工验收时间为2022年1月10日）未在2021年度如期完成。</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（四）项目效益方面</w:t>
      </w:r>
      <w:r>
        <w:rPr>
          <w:rFonts w:hint="eastAsia" w:ascii="宋体" w:hAnsi="宋体" w:cs="宋体"/>
          <w:b/>
          <w:bCs/>
          <w:sz w:val="28"/>
          <w:szCs w:val="28"/>
          <w:lang w:val="en-US" w:eastAsia="zh-CN"/>
        </w:rPr>
        <w:t>。</w:t>
      </w:r>
      <w:r>
        <w:rPr>
          <w:rFonts w:hint="eastAsia" w:ascii="宋体" w:hAnsi="宋体" w:eastAsia="宋体" w:cs="宋体"/>
          <w:b w:val="0"/>
          <w:bCs w:val="0"/>
          <w:sz w:val="28"/>
          <w:szCs w:val="28"/>
          <w:lang w:val="en-US" w:eastAsia="zh-CN"/>
        </w:rPr>
        <w:t>“广东技工”技能专业建设存在师资配置不足，现有的师资缺乏技能型的人才。据调查统计，五华县技工学校□腔义齿制造专业应配备教师数量33人，已配置20人，配置率仅=20/33</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100%=61%；梅州市技师学院、五华县技工学校、兴宁市高级技工学校现有教师中，具有相关专业技术职称的人数为27人，占现有教师人数的21%。从调查的情况看，“广东技工”技能专业建设存在师资短板，加强师资软件建设是项目今后能否可持续发展的关键。</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五、相关建议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根据我们绩效评价发现的问题，为完善项目绩效管理，提出如下建议意见：</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（一）</w:t>
      </w:r>
      <w:r>
        <w:rPr>
          <w:rFonts w:hint="eastAsia" w:ascii="宋体" w:hAnsi="宋体" w:eastAsia="宋体" w:cs="宋体"/>
          <w:b/>
          <w:bCs/>
          <w:sz w:val="28"/>
          <w:szCs w:val="28"/>
          <w:lang w:val="en-US" w:eastAsia="zh-CN"/>
        </w:rPr>
        <w:t>在项目决策阶段，建议完善项目的绩效目标设置管理。</w:t>
      </w:r>
      <w:r>
        <w:rPr>
          <w:rFonts w:hint="eastAsia" w:ascii="宋体" w:hAnsi="宋体" w:eastAsia="宋体" w:cs="宋体"/>
          <w:b w:val="0"/>
          <w:bCs w:val="0"/>
          <w:sz w:val="28"/>
          <w:szCs w:val="28"/>
          <w:lang w:val="en-US" w:eastAsia="zh-CN"/>
        </w:rPr>
        <w:t>通过完善绩效目标管理，进一步提高项目实施单位的履职水平。</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建议加强项目的资金管理，提高项目资金的使用效能。</w:t>
      </w:r>
      <w:r>
        <w:rPr>
          <w:rFonts w:hint="eastAsia" w:ascii="宋体" w:hAnsi="宋体" w:eastAsia="宋体" w:cs="宋体"/>
          <w:b w:val="0"/>
          <w:bCs w:val="0"/>
          <w:sz w:val="28"/>
          <w:szCs w:val="28"/>
          <w:lang w:val="en-US" w:eastAsia="zh-CN"/>
        </w:rPr>
        <w:t>针对项目资金管理存在的问题，完善项目专项资金的核算，加强对项目资金使用的检查监督，确保项目资金的规范使用。</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（三）</w:t>
      </w:r>
      <w:r>
        <w:rPr>
          <w:rFonts w:hint="eastAsia" w:ascii="宋体" w:hAnsi="宋体" w:eastAsia="宋体" w:cs="宋体"/>
          <w:b/>
          <w:bCs/>
          <w:sz w:val="28"/>
          <w:szCs w:val="28"/>
          <w:lang w:val="en-US" w:eastAsia="zh-CN"/>
        </w:rPr>
        <w:t>加强“广东技工”技能专业师资力量建设，提高职业技能教育水平。</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0"/>
        <w:rPr>
          <w:rFonts w:hint="eastAsia" w:ascii="宋体" w:hAnsi="宋体" w:eastAsia="宋体" w:cs="宋体"/>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200"/>
        <w:jc w:val="both"/>
        <w:textAlignment w:val="auto"/>
        <w:outlineLvl w:val="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附件1</w:t>
      </w:r>
      <w:r>
        <w:rPr>
          <w:rFonts w:hint="eastAsia" w:ascii="宋体" w:hAnsi="宋体" w:cs="宋体"/>
          <w:kern w:val="2"/>
          <w:sz w:val="27"/>
          <w:szCs w:val="27"/>
          <w:lang w:val="en-US" w:eastAsia="zh-CN" w:bidi="ar-SA"/>
        </w:rPr>
        <w:t xml:space="preserve">  </w:t>
      </w:r>
      <w:r>
        <w:rPr>
          <w:rFonts w:hint="eastAsia" w:ascii="宋体" w:hAnsi="宋体" w:eastAsia="宋体" w:cs="宋体"/>
          <w:kern w:val="2"/>
          <w:sz w:val="27"/>
          <w:szCs w:val="27"/>
          <w:lang w:val="en-US" w:eastAsia="zh-CN" w:bidi="ar-SA"/>
        </w:rPr>
        <w:t>：202</w:t>
      </w:r>
      <w:r>
        <w:rPr>
          <w:rFonts w:hint="eastAsia" w:ascii="宋体" w:hAnsi="宋体" w:cs="宋体"/>
          <w:kern w:val="2"/>
          <w:sz w:val="27"/>
          <w:szCs w:val="27"/>
          <w:lang w:val="en-US" w:eastAsia="zh-CN" w:bidi="ar-SA"/>
        </w:rPr>
        <w:t>1</w:t>
      </w:r>
      <w:r>
        <w:rPr>
          <w:rFonts w:hint="eastAsia" w:ascii="宋体" w:hAnsi="宋体" w:eastAsia="宋体" w:cs="宋体"/>
          <w:kern w:val="2"/>
          <w:sz w:val="27"/>
          <w:szCs w:val="27"/>
          <w:lang w:val="en-US" w:eastAsia="zh-CN" w:bidi="ar-SA"/>
        </w:rPr>
        <w:t>年度梅州市民生实事项目绩效评价说明</w:t>
      </w:r>
    </w:p>
    <w:p>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200"/>
        <w:textAlignment w:val="auto"/>
        <w:rPr>
          <w:rFonts w:hint="default"/>
          <w:sz w:val="27"/>
          <w:szCs w:val="27"/>
          <w:lang w:val="en-US" w:eastAsia="zh-CN"/>
        </w:rPr>
      </w:pPr>
      <w:r>
        <w:rPr>
          <w:rFonts w:hint="eastAsia" w:ascii="宋体" w:hAnsi="宋体" w:eastAsia="宋体" w:cs="宋体"/>
          <w:kern w:val="2"/>
          <w:sz w:val="27"/>
          <w:szCs w:val="27"/>
          <w:lang w:val="en-US" w:eastAsia="zh-CN" w:bidi="ar-SA"/>
        </w:rPr>
        <w:t>附件2</w:t>
      </w:r>
      <w:r>
        <w:rPr>
          <w:rFonts w:hint="eastAsia" w:ascii="宋体" w:hAnsi="宋体" w:cs="宋体"/>
          <w:kern w:val="2"/>
          <w:sz w:val="27"/>
          <w:szCs w:val="27"/>
          <w:lang w:val="en-US" w:eastAsia="zh-CN" w:bidi="ar-SA"/>
        </w:rPr>
        <w:t>-1</w:t>
      </w:r>
      <w:r>
        <w:rPr>
          <w:rFonts w:hint="eastAsia" w:ascii="宋体" w:hAnsi="宋体" w:eastAsia="宋体" w:cs="宋体"/>
          <w:kern w:val="2"/>
          <w:sz w:val="27"/>
          <w:szCs w:val="27"/>
          <w:lang w:val="en-US" w:eastAsia="zh-CN" w:bidi="ar-SA"/>
        </w:rPr>
        <w:t>：202</w:t>
      </w:r>
      <w:r>
        <w:rPr>
          <w:rFonts w:hint="eastAsia" w:ascii="宋体" w:hAnsi="宋体" w:cs="宋体"/>
          <w:kern w:val="2"/>
          <w:sz w:val="27"/>
          <w:szCs w:val="27"/>
          <w:lang w:val="en-US" w:eastAsia="zh-CN" w:bidi="ar-SA"/>
        </w:rPr>
        <w:t>1</w:t>
      </w:r>
      <w:r>
        <w:rPr>
          <w:rFonts w:hint="eastAsia" w:ascii="宋体" w:hAnsi="宋体" w:eastAsia="宋体" w:cs="宋体"/>
          <w:kern w:val="2"/>
          <w:sz w:val="27"/>
          <w:szCs w:val="27"/>
          <w:lang w:val="en-US" w:eastAsia="zh-CN" w:bidi="ar-SA"/>
        </w:rPr>
        <w:t>年度梅州市民生实事项目绩效评分</w:t>
      </w:r>
      <w:r>
        <w:rPr>
          <w:rFonts w:hint="eastAsia" w:ascii="宋体" w:hAnsi="宋体" w:cs="宋体"/>
          <w:kern w:val="2"/>
          <w:sz w:val="27"/>
          <w:szCs w:val="27"/>
          <w:lang w:val="en-US" w:eastAsia="zh-CN" w:bidi="ar-SA"/>
        </w:rPr>
        <w:t>汇总</w:t>
      </w:r>
      <w:r>
        <w:rPr>
          <w:rFonts w:hint="eastAsia" w:ascii="宋体" w:hAnsi="宋体" w:eastAsia="宋体" w:cs="宋体"/>
          <w:kern w:val="2"/>
          <w:sz w:val="27"/>
          <w:szCs w:val="27"/>
          <w:lang w:val="en-US" w:eastAsia="zh-CN" w:bidi="ar-SA"/>
        </w:rPr>
        <w:t>表</w:t>
      </w:r>
    </w:p>
    <w:p>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200"/>
        <w:textAlignment w:val="auto"/>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附件2</w:t>
      </w:r>
      <w:r>
        <w:rPr>
          <w:rFonts w:hint="eastAsia" w:ascii="宋体" w:hAnsi="宋体" w:cs="宋体"/>
          <w:kern w:val="2"/>
          <w:sz w:val="27"/>
          <w:szCs w:val="27"/>
          <w:lang w:val="en-US" w:eastAsia="zh-CN" w:bidi="ar-SA"/>
        </w:rPr>
        <w:t>-2</w:t>
      </w:r>
      <w:r>
        <w:rPr>
          <w:rFonts w:hint="eastAsia" w:ascii="宋体" w:hAnsi="宋体" w:eastAsia="宋体" w:cs="宋体"/>
          <w:kern w:val="2"/>
          <w:sz w:val="27"/>
          <w:szCs w:val="27"/>
          <w:lang w:val="en-US" w:eastAsia="zh-CN" w:bidi="ar-SA"/>
        </w:rPr>
        <w:t>：202</w:t>
      </w:r>
      <w:r>
        <w:rPr>
          <w:rFonts w:hint="eastAsia" w:ascii="宋体" w:hAnsi="宋体" w:cs="宋体"/>
          <w:kern w:val="2"/>
          <w:sz w:val="27"/>
          <w:szCs w:val="27"/>
          <w:lang w:val="en-US" w:eastAsia="zh-CN" w:bidi="ar-SA"/>
        </w:rPr>
        <w:t>1</w:t>
      </w:r>
      <w:r>
        <w:rPr>
          <w:rFonts w:hint="eastAsia" w:ascii="宋体" w:hAnsi="宋体" w:eastAsia="宋体" w:cs="宋体"/>
          <w:kern w:val="2"/>
          <w:sz w:val="27"/>
          <w:szCs w:val="27"/>
          <w:lang w:val="en-US" w:eastAsia="zh-CN" w:bidi="ar-SA"/>
        </w:rPr>
        <w:t>年度梅州市民生实事项目</w:t>
      </w:r>
      <w:r>
        <w:rPr>
          <w:rFonts w:hint="eastAsia" w:ascii="宋体" w:hAnsi="宋体" w:cs="宋体"/>
          <w:kern w:val="2"/>
          <w:sz w:val="27"/>
          <w:szCs w:val="27"/>
          <w:lang w:val="en-US" w:eastAsia="zh-CN" w:bidi="ar-SA"/>
        </w:rPr>
        <w:t>（</w:t>
      </w:r>
      <w:r>
        <w:rPr>
          <w:rFonts w:hint="eastAsia" w:ascii="宋体" w:hAnsi="宋体" w:eastAsia="宋体" w:cs="宋体"/>
          <w:b w:val="0"/>
          <w:bCs w:val="0"/>
          <w:color w:val="000000"/>
          <w:kern w:val="0"/>
          <w:sz w:val="27"/>
          <w:szCs w:val="27"/>
        </w:rPr>
        <w:t>“粤菜师傅”</w:t>
      </w:r>
      <w:r>
        <w:rPr>
          <w:rFonts w:hint="eastAsia" w:ascii="宋体" w:hAnsi="宋体" w:cs="宋体"/>
          <w:b w:val="0"/>
          <w:bCs w:val="0"/>
          <w:color w:val="000000"/>
          <w:kern w:val="0"/>
          <w:sz w:val="27"/>
          <w:szCs w:val="27"/>
          <w:lang w:eastAsia="zh-CN"/>
        </w:rPr>
        <w:t>）</w:t>
      </w:r>
      <w:r>
        <w:rPr>
          <w:rFonts w:hint="eastAsia" w:ascii="宋体" w:hAnsi="宋体" w:eastAsia="宋体" w:cs="宋体"/>
          <w:kern w:val="2"/>
          <w:sz w:val="27"/>
          <w:szCs w:val="27"/>
          <w:lang w:val="en-US" w:eastAsia="zh-CN" w:bidi="ar-SA"/>
        </w:rPr>
        <w:t>绩效评分表</w:t>
      </w:r>
    </w:p>
    <w:p>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200"/>
        <w:textAlignment w:val="auto"/>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附件2</w:t>
      </w:r>
      <w:r>
        <w:rPr>
          <w:rFonts w:hint="eastAsia" w:ascii="宋体" w:hAnsi="宋体" w:cs="宋体"/>
          <w:kern w:val="2"/>
          <w:sz w:val="27"/>
          <w:szCs w:val="27"/>
          <w:lang w:val="en-US" w:eastAsia="zh-CN" w:bidi="ar-SA"/>
        </w:rPr>
        <w:t>-3</w:t>
      </w:r>
      <w:r>
        <w:rPr>
          <w:rFonts w:hint="eastAsia" w:ascii="宋体" w:hAnsi="宋体" w:eastAsia="宋体" w:cs="宋体"/>
          <w:kern w:val="2"/>
          <w:sz w:val="27"/>
          <w:szCs w:val="27"/>
          <w:lang w:val="en-US" w:eastAsia="zh-CN" w:bidi="ar-SA"/>
        </w:rPr>
        <w:t>：202</w:t>
      </w:r>
      <w:r>
        <w:rPr>
          <w:rFonts w:hint="eastAsia" w:ascii="宋体" w:hAnsi="宋体" w:cs="宋体"/>
          <w:kern w:val="2"/>
          <w:sz w:val="27"/>
          <w:szCs w:val="27"/>
          <w:lang w:val="en-US" w:eastAsia="zh-CN" w:bidi="ar-SA"/>
        </w:rPr>
        <w:t>1</w:t>
      </w:r>
      <w:r>
        <w:rPr>
          <w:rFonts w:hint="eastAsia" w:ascii="宋体" w:hAnsi="宋体" w:eastAsia="宋体" w:cs="宋体"/>
          <w:kern w:val="2"/>
          <w:sz w:val="27"/>
          <w:szCs w:val="27"/>
          <w:lang w:val="en-US" w:eastAsia="zh-CN" w:bidi="ar-SA"/>
        </w:rPr>
        <w:t>年度梅州市民生实事项目</w:t>
      </w:r>
      <w:r>
        <w:rPr>
          <w:rFonts w:hint="eastAsia" w:ascii="宋体" w:hAnsi="宋体" w:cs="宋体"/>
          <w:kern w:val="2"/>
          <w:sz w:val="27"/>
          <w:szCs w:val="27"/>
          <w:lang w:val="en-US" w:eastAsia="zh-CN" w:bidi="ar-SA"/>
        </w:rPr>
        <w:t>（</w:t>
      </w:r>
      <w:r>
        <w:rPr>
          <w:rFonts w:hint="eastAsia" w:ascii="宋体" w:hAnsi="宋体" w:eastAsia="宋体" w:cs="宋体"/>
          <w:b w:val="0"/>
          <w:bCs w:val="0"/>
          <w:color w:val="000000"/>
          <w:kern w:val="0"/>
          <w:sz w:val="27"/>
          <w:szCs w:val="27"/>
        </w:rPr>
        <w:t>“广东技工”</w:t>
      </w:r>
      <w:r>
        <w:rPr>
          <w:rFonts w:hint="eastAsia" w:ascii="宋体" w:hAnsi="宋体" w:cs="宋体"/>
          <w:b w:val="0"/>
          <w:bCs w:val="0"/>
          <w:color w:val="000000"/>
          <w:kern w:val="0"/>
          <w:sz w:val="27"/>
          <w:szCs w:val="27"/>
          <w:lang w:eastAsia="zh-CN"/>
        </w:rPr>
        <w:t>）</w:t>
      </w:r>
      <w:r>
        <w:rPr>
          <w:rFonts w:hint="eastAsia" w:ascii="宋体" w:hAnsi="宋体" w:eastAsia="宋体" w:cs="宋体"/>
          <w:kern w:val="2"/>
          <w:sz w:val="27"/>
          <w:szCs w:val="27"/>
          <w:lang w:val="en-US" w:eastAsia="zh-CN" w:bidi="ar-SA"/>
        </w:rPr>
        <w:t>绩效评分表</w:t>
      </w:r>
    </w:p>
    <w:p>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200"/>
        <w:textAlignment w:val="auto"/>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附件2</w:t>
      </w:r>
      <w:r>
        <w:rPr>
          <w:rFonts w:hint="eastAsia" w:ascii="宋体" w:hAnsi="宋体" w:cs="宋体"/>
          <w:kern w:val="2"/>
          <w:sz w:val="27"/>
          <w:szCs w:val="27"/>
          <w:lang w:val="en-US" w:eastAsia="zh-CN" w:bidi="ar-SA"/>
        </w:rPr>
        <w:t>-4</w:t>
      </w:r>
      <w:r>
        <w:rPr>
          <w:rFonts w:hint="eastAsia" w:ascii="宋体" w:hAnsi="宋体" w:eastAsia="宋体" w:cs="宋体"/>
          <w:kern w:val="2"/>
          <w:sz w:val="27"/>
          <w:szCs w:val="27"/>
          <w:lang w:val="en-US" w:eastAsia="zh-CN" w:bidi="ar-SA"/>
        </w:rPr>
        <w:t>：202</w:t>
      </w:r>
      <w:r>
        <w:rPr>
          <w:rFonts w:hint="eastAsia" w:ascii="宋体" w:hAnsi="宋体" w:cs="宋体"/>
          <w:kern w:val="2"/>
          <w:sz w:val="27"/>
          <w:szCs w:val="27"/>
          <w:lang w:val="en-US" w:eastAsia="zh-CN" w:bidi="ar-SA"/>
        </w:rPr>
        <w:t>1</w:t>
      </w:r>
      <w:r>
        <w:rPr>
          <w:rFonts w:hint="eastAsia" w:ascii="宋体" w:hAnsi="宋体" w:eastAsia="宋体" w:cs="宋体"/>
          <w:kern w:val="2"/>
          <w:sz w:val="27"/>
          <w:szCs w:val="27"/>
          <w:lang w:val="en-US" w:eastAsia="zh-CN" w:bidi="ar-SA"/>
        </w:rPr>
        <w:t>年度梅州市民生实事项目</w:t>
      </w:r>
      <w:r>
        <w:rPr>
          <w:rFonts w:hint="eastAsia" w:ascii="宋体" w:hAnsi="宋体" w:cs="宋体"/>
          <w:kern w:val="2"/>
          <w:sz w:val="27"/>
          <w:szCs w:val="27"/>
          <w:lang w:val="en-US" w:eastAsia="zh-CN" w:bidi="ar-SA"/>
        </w:rPr>
        <w:t>（</w:t>
      </w:r>
      <w:r>
        <w:rPr>
          <w:rFonts w:hint="eastAsia" w:ascii="宋体" w:hAnsi="宋体" w:eastAsia="宋体" w:cs="宋体"/>
          <w:b w:val="0"/>
          <w:bCs w:val="0"/>
          <w:color w:val="000000"/>
          <w:kern w:val="0"/>
          <w:sz w:val="27"/>
          <w:szCs w:val="27"/>
        </w:rPr>
        <w:t>“南粤家政”</w:t>
      </w:r>
      <w:r>
        <w:rPr>
          <w:rFonts w:hint="eastAsia" w:ascii="宋体" w:hAnsi="宋体" w:cs="宋体"/>
          <w:b w:val="0"/>
          <w:bCs w:val="0"/>
          <w:color w:val="000000"/>
          <w:kern w:val="0"/>
          <w:sz w:val="27"/>
          <w:szCs w:val="27"/>
          <w:lang w:eastAsia="zh-CN"/>
        </w:rPr>
        <w:t>）</w:t>
      </w:r>
      <w:r>
        <w:rPr>
          <w:rFonts w:hint="eastAsia" w:ascii="宋体" w:hAnsi="宋体" w:eastAsia="宋体" w:cs="宋体"/>
          <w:kern w:val="2"/>
          <w:sz w:val="27"/>
          <w:szCs w:val="27"/>
          <w:lang w:val="en-US" w:eastAsia="zh-CN" w:bidi="ar-SA"/>
        </w:rPr>
        <w:t>绩效评分表</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梅州正信合伙会计师事务所（普通合伙）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default" w:ascii="宋体" w:hAnsi="宋体" w:eastAsia="宋体" w:cs="宋体"/>
          <w:b w:val="0"/>
          <w:bCs w:val="0"/>
          <w:sz w:val="28"/>
          <w:szCs w:val="28"/>
          <w:lang w:val="en-US" w:eastAsia="zh-CN"/>
        </w:rPr>
        <w:t>2022</w:t>
      </w:r>
      <w:r>
        <w:rPr>
          <w:rFonts w:hint="eastAsia" w:ascii="宋体" w:hAnsi="宋体" w:eastAsia="宋体" w:cs="宋体"/>
          <w:b w:val="0"/>
          <w:bCs w:val="0"/>
          <w:sz w:val="28"/>
          <w:szCs w:val="28"/>
          <w:lang w:val="en-US" w:eastAsia="zh-CN"/>
        </w:rPr>
        <w:t>年11月10日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sz w:val="28"/>
          <w:szCs w:val="28"/>
          <w:lang w:val="en-US" w:eastAsia="zh-CN"/>
        </w:rPr>
        <w:sectPr>
          <w:headerReference r:id="rId8" w:type="first"/>
          <w:footerReference r:id="rId10" w:type="first"/>
          <w:headerReference r:id="rId7" w:type="default"/>
          <w:footerReference r:id="rId9" w:type="default"/>
          <w:pgSz w:w="11906" w:h="16838"/>
          <w:pgMar w:top="1440" w:right="1474" w:bottom="1440" w:left="1588" w:header="851" w:footer="992" w:gutter="0"/>
          <w:pgNumType w:fmt="decimal" w:start="1" w:chapStyle="1"/>
          <w:cols w:space="425" w:num="1"/>
          <w:titlePg/>
          <w:docGrid w:type="lines" w:linePitch="531" w:charSpace="17367"/>
        </w:sectPr>
      </w:pPr>
    </w:p>
    <w:p>
      <w:pPr>
        <w:spacing w:line="360" w:lineRule="auto"/>
        <w:rPr>
          <w:rFonts w:ascii="宋体" w:hAnsi="宋体" w:eastAsia="等线"/>
          <w:b/>
          <w:bCs/>
          <w:sz w:val="24"/>
          <w:szCs w:val="24"/>
        </w:rPr>
      </w:pPr>
      <w:r>
        <w:rPr>
          <w:rFonts w:hint="eastAsia" w:ascii="宋体" w:hAnsi="宋体" w:eastAsia="等线"/>
          <w:b/>
          <w:bCs/>
          <w:sz w:val="24"/>
          <w:szCs w:val="24"/>
        </w:rPr>
        <w:t>附件1</w:t>
      </w:r>
    </w:p>
    <w:p>
      <w:pPr>
        <w:spacing w:line="360" w:lineRule="auto"/>
        <w:jc w:val="center"/>
        <w:outlineLvl w:val="0"/>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梅州市人力资源和社会保障局</w:t>
      </w:r>
    </w:p>
    <w:p>
      <w:pPr>
        <w:spacing w:line="360" w:lineRule="auto"/>
        <w:jc w:val="center"/>
        <w:outlineLvl w:val="0"/>
        <w:rPr>
          <w:rFonts w:hint="eastAsia" w:ascii="宋体" w:hAnsi="宋体" w:eastAsia="宋体" w:cs="宋体"/>
          <w:b/>
          <w:bCs/>
          <w:kern w:val="44"/>
          <w:sz w:val="28"/>
          <w:szCs w:val="28"/>
        </w:rPr>
      </w:pPr>
      <w:r>
        <w:rPr>
          <w:rFonts w:hint="eastAsia" w:ascii="宋体" w:hAnsi="宋体" w:eastAsia="宋体" w:cs="宋体"/>
          <w:b/>
          <w:bCs/>
          <w:color w:val="000000"/>
          <w:kern w:val="0"/>
          <w:sz w:val="28"/>
          <w:szCs w:val="28"/>
          <w:lang w:val="en-US" w:eastAsia="zh-CN"/>
        </w:rPr>
        <w:t>2021年</w:t>
      </w:r>
      <w:r>
        <w:rPr>
          <w:rFonts w:hint="eastAsia" w:ascii="宋体" w:hAnsi="宋体" w:eastAsia="宋体" w:cs="宋体"/>
          <w:b/>
          <w:bCs/>
          <w:color w:val="000000"/>
          <w:kern w:val="0"/>
          <w:sz w:val="28"/>
          <w:szCs w:val="28"/>
          <w:lang w:eastAsia="zh-CN"/>
        </w:rPr>
        <w:t>梅州市十件民生实事（</w:t>
      </w:r>
      <w:r>
        <w:rPr>
          <w:rFonts w:hint="eastAsia" w:ascii="宋体" w:hAnsi="宋体" w:eastAsia="宋体" w:cs="宋体"/>
          <w:b/>
          <w:bCs/>
          <w:color w:val="000000"/>
          <w:kern w:val="0"/>
          <w:sz w:val="28"/>
          <w:szCs w:val="28"/>
        </w:rPr>
        <w:t>深入实施“粤菜师傅”“广东技工”“南粤家政”三项工程）</w:t>
      </w:r>
      <w:r>
        <w:rPr>
          <w:rFonts w:hint="eastAsia" w:ascii="宋体" w:hAnsi="宋体" w:eastAsia="宋体" w:cs="宋体"/>
          <w:b/>
          <w:bCs/>
          <w:kern w:val="36"/>
          <w:sz w:val="28"/>
          <w:szCs w:val="28"/>
          <w:lang w:eastAsia="zh-CN"/>
        </w:rPr>
        <w:t>项目</w:t>
      </w:r>
      <w:r>
        <w:rPr>
          <w:rFonts w:hint="eastAsia" w:ascii="宋体" w:hAnsi="宋体" w:eastAsia="宋体" w:cs="宋体"/>
          <w:b/>
          <w:bCs/>
          <w:sz w:val="28"/>
          <w:szCs w:val="28"/>
        </w:rPr>
        <w:t>绩效评价说明</w:t>
      </w:r>
    </w:p>
    <w:p>
      <w:pPr>
        <w:keepNext/>
        <w:keepLines/>
        <w:pageBreakBefore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kern w:val="44"/>
          <w:sz w:val="24"/>
          <w:szCs w:val="24"/>
          <w:lang w:val="en-US" w:eastAsia="zh-CN"/>
        </w:rPr>
      </w:pPr>
      <w:r>
        <w:rPr>
          <w:rFonts w:hint="eastAsia" w:ascii="宋体" w:hAnsi="宋体" w:eastAsia="宋体" w:cs="宋体"/>
          <w:b/>
          <w:kern w:val="44"/>
          <w:sz w:val="24"/>
          <w:szCs w:val="24"/>
          <w:lang w:val="en-US" w:eastAsia="zh-CN"/>
        </w:rPr>
        <w:t>一、评价目的</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kern w:val="44"/>
          <w:sz w:val="24"/>
          <w:szCs w:val="24"/>
          <w:lang w:val="en-US" w:eastAsia="zh-CN"/>
        </w:rPr>
      </w:pPr>
      <w:r>
        <w:rPr>
          <w:rFonts w:hint="eastAsia" w:ascii="宋体" w:hAnsi="宋体" w:eastAsia="宋体" w:cs="宋体"/>
          <w:sz w:val="24"/>
          <w:szCs w:val="24"/>
        </w:rPr>
        <w:t>为深入推进预算绩效管理改革，规范政府部门财政支出，通过</w:t>
      </w:r>
      <w:r>
        <w:rPr>
          <w:rFonts w:hint="eastAsia" w:ascii="宋体" w:hAnsi="宋体" w:eastAsia="宋体" w:cs="宋体"/>
          <w:sz w:val="24"/>
          <w:szCs w:val="24"/>
          <w:lang w:eastAsia="zh-CN"/>
        </w:rPr>
        <w:t>项目</w:t>
      </w:r>
      <w:r>
        <w:rPr>
          <w:rFonts w:hint="eastAsia" w:ascii="宋体" w:hAnsi="宋体" w:eastAsia="宋体" w:cs="宋体"/>
          <w:sz w:val="24"/>
          <w:szCs w:val="24"/>
        </w:rPr>
        <w:t>支出绩效评价，检验财政性资金使用的效益，衡量部门履行职责的执行情况和效率效果，增强预算部门（单位）绩效管理责任主体的意识，切实提高财政性资金使用的效益。</w:t>
      </w:r>
    </w:p>
    <w:p>
      <w:pPr>
        <w:keepNext/>
        <w:keepLines/>
        <w:pageBreakBefore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sz w:val="24"/>
          <w:szCs w:val="24"/>
        </w:rPr>
      </w:pPr>
      <w:r>
        <w:rPr>
          <w:rFonts w:hint="eastAsia" w:ascii="宋体" w:hAnsi="宋体" w:eastAsia="宋体" w:cs="宋体"/>
          <w:b/>
          <w:kern w:val="44"/>
          <w:sz w:val="24"/>
          <w:szCs w:val="24"/>
          <w:lang w:val="en-US" w:eastAsia="zh-CN"/>
        </w:rPr>
        <w:t>二</w:t>
      </w:r>
      <w:r>
        <w:rPr>
          <w:rFonts w:hint="eastAsia" w:ascii="宋体" w:hAnsi="宋体" w:eastAsia="宋体" w:cs="宋体"/>
          <w:b/>
          <w:kern w:val="44"/>
          <w:sz w:val="24"/>
          <w:szCs w:val="24"/>
        </w:rPr>
        <w:t>、评价原则和方法</w:t>
      </w:r>
    </w:p>
    <w:p>
      <w:pPr>
        <w:pageBreakBefore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color w:val="auto"/>
          <w:sz w:val="24"/>
          <w:szCs w:val="24"/>
        </w:rPr>
        <w:t>本次评价工作遵循“客观、公正、科学、规范”的原则，结合</w:t>
      </w:r>
      <w:r>
        <w:rPr>
          <w:rFonts w:hint="eastAsia" w:ascii="宋体" w:hAnsi="宋体" w:eastAsia="宋体" w:cs="宋体"/>
          <w:color w:val="auto"/>
          <w:sz w:val="24"/>
          <w:szCs w:val="24"/>
          <w:lang w:eastAsia="zh-CN"/>
        </w:rPr>
        <w:t>梅州市</w:t>
      </w:r>
      <w:r>
        <w:rPr>
          <w:rFonts w:hint="eastAsia" w:ascii="宋体" w:hAnsi="宋体" w:eastAsia="宋体" w:cs="宋体"/>
          <w:color w:val="auto"/>
          <w:sz w:val="24"/>
          <w:szCs w:val="24"/>
          <w:lang w:val="en-US" w:eastAsia="zh-CN"/>
        </w:rPr>
        <w:t>人力资源和社会保障</w:t>
      </w:r>
      <w:r>
        <w:rPr>
          <w:rFonts w:hint="eastAsia" w:ascii="宋体" w:hAnsi="宋体" w:eastAsia="宋体" w:cs="宋体"/>
          <w:color w:val="auto"/>
          <w:sz w:val="24"/>
          <w:szCs w:val="24"/>
          <w:lang w:eastAsia="zh-CN"/>
        </w:rPr>
        <w:t>局（以下简称市</w:t>
      </w:r>
      <w:r>
        <w:rPr>
          <w:rFonts w:hint="eastAsia" w:ascii="宋体" w:hAnsi="宋体" w:eastAsia="宋体" w:cs="宋体"/>
          <w:color w:val="auto"/>
          <w:sz w:val="24"/>
          <w:szCs w:val="24"/>
          <w:lang w:val="en-US" w:eastAsia="zh-CN"/>
        </w:rPr>
        <w:t>人社</w:t>
      </w:r>
      <w:r>
        <w:rPr>
          <w:rFonts w:hint="eastAsia" w:ascii="宋体" w:hAnsi="宋体" w:eastAsia="宋体" w:cs="宋体"/>
          <w:color w:val="auto"/>
          <w:sz w:val="24"/>
          <w:szCs w:val="24"/>
          <w:lang w:eastAsia="zh-CN"/>
        </w:rPr>
        <w:t>局）</w:t>
      </w:r>
      <w:r>
        <w:rPr>
          <w:rFonts w:hint="eastAsia" w:ascii="宋体" w:hAnsi="宋体" w:eastAsia="宋体" w:cs="宋体"/>
          <w:color w:val="auto"/>
          <w:sz w:val="24"/>
          <w:szCs w:val="24"/>
        </w:rPr>
        <w:t>特点，评价方法主要采用比较法、成本效益分析法和公众评判法，评价指</w:t>
      </w:r>
      <w:r>
        <w:rPr>
          <w:rFonts w:hint="eastAsia" w:ascii="宋体" w:hAnsi="宋体" w:eastAsia="宋体" w:cs="宋体"/>
          <w:sz w:val="24"/>
          <w:szCs w:val="24"/>
        </w:rPr>
        <w:t>标分析主要采用定量指标分析，并辅以部分定性分析。</w:t>
      </w:r>
    </w:p>
    <w:p>
      <w:pPr>
        <w:pageBreakBefore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、评价基准日</w:t>
      </w:r>
    </w:p>
    <w:p>
      <w:pPr>
        <w:pageBreakBefore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绩效评价基准日为20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月31日。</w:t>
      </w:r>
    </w:p>
    <w:p>
      <w:pPr>
        <w:keepNext/>
        <w:keepLines/>
        <w:pageBreakBefore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kern w:val="44"/>
          <w:sz w:val="24"/>
          <w:szCs w:val="24"/>
        </w:rPr>
      </w:pPr>
      <w:r>
        <w:rPr>
          <w:rFonts w:hint="eastAsia" w:ascii="宋体" w:hAnsi="宋体" w:eastAsia="宋体" w:cs="宋体"/>
          <w:b/>
          <w:kern w:val="44"/>
          <w:sz w:val="24"/>
          <w:szCs w:val="24"/>
          <w:lang w:val="en-US" w:eastAsia="zh-CN"/>
        </w:rPr>
        <w:t>四</w:t>
      </w:r>
      <w:r>
        <w:rPr>
          <w:rFonts w:hint="eastAsia" w:ascii="宋体" w:hAnsi="宋体" w:eastAsia="宋体" w:cs="宋体"/>
          <w:b/>
          <w:kern w:val="44"/>
          <w:sz w:val="24"/>
          <w:szCs w:val="24"/>
        </w:rPr>
        <w:t>、评价依据</w:t>
      </w:r>
    </w:p>
    <w:p>
      <w:pPr>
        <w:keepNext/>
        <w:keepLines/>
        <w:pageBreakBefore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宋体" w:hAnsi="宋体" w:eastAsia="宋体" w:cs="宋体"/>
          <w:b/>
          <w:sz w:val="24"/>
          <w:szCs w:val="24"/>
        </w:rPr>
      </w:pPr>
      <w:r>
        <w:rPr>
          <w:rFonts w:hint="eastAsia" w:ascii="宋体" w:hAnsi="宋体" w:eastAsia="宋体" w:cs="宋体"/>
          <w:b/>
          <w:sz w:val="24"/>
          <w:szCs w:val="24"/>
        </w:rPr>
        <w:t>（一）国家层面的法律法规等</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1.《中华人民共和国预算法》以及其他相关法律、法规和规章制度。</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财政部</w:t>
      </w:r>
      <w:r>
        <w:rPr>
          <w:rFonts w:hint="eastAsia" w:ascii="宋体" w:hAnsi="宋体" w:eastAsia="宋体" w:cs="宋体"/>
          <w:b w:val="0"/>
          <w:bCs w:val="0"/>
          <w:i w:val="0"/>
          <w:iCs w:val="0"/>
          <w:caps w:val="0"/>
          <w:color w:val="333333"/>
          <w:spacing w:val="0"/>
          <w:sz w:val="24"/>
          <w:szCs w:val="24"/>
          <w:shd w:val="clear" w:fill="FFFFFF"/>
        </w:rPr>
        <w:t>关于印发《预算绩效评价共性指标体系框架》的通知</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b w:val="0"/>
          <w:bCs w:val="0"/>
          <w:i w:val="0"/>
          <w:iCs w:val="0"/>
          <w:caps w:val="0"/>
          <w:color w:val="333333"/>
          <w:spacing w:val="0"/>
          <w:sz w:val="24"/>
          <w:szCs w:val="24"/>
          <w:shd w:val="clear" w:fill="FFFFFF"/>
        </w:rPr>
        <w:t>财预</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b w:val="0"/>
          <w:bCs w:val="0"/>
          <w:i w:val="0"/>
          <w:iCs w:val="0"/>
          <w:caps w:val="0"/>
          <w:color w:val="333333"/>
          <w:spacing w:val="0"/>
          <w:sz w:val="24"/>
          <w:szCs w:val="24"/>
          <w:shd w:val="clear" w:fill="FFFFFF"/>
        </w:rPr>
        <w:t>2013</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b w:val="0"/>
          <w:bCs w:val="0"/>
          <w:i w:val="0"/>
          <w:iCs w:val="0"/>
          <w:caps w:val="0"/>
          <w:color w:val="333333"/>
          <w:spacing w:val="0"/>
          <w:sz w:val="24"/>
          <w:szCs w:val="24"/>
          <w:shd w:val="clear" w:fill="FFFFFF"/>
        </w:rPr>
        <w:t>53号</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b w:val="0"/>
          <w:bCs w:val="0"/>
          <w:sz w:val="24"/>
          <w:szCs w:val="24"/>
          <w:lang w:eastAsia="zh-CN"/>
        </w:rPr>
        <w:t>财政部</w:t>
      </w:r>
      <w:r>
        <w:rPr>
          <w:rFonts w:hint="eastAsia" w:ascii="宋体" w:hAnsi="宋体" w:eastAsia="宋体" w:cs="宋体"/>
          <w:b w:val="0"/>
          <w:bCs w:val="0"/>
          <w:i w:val="0"/>
          <w:iCs w:val="0"/>
          <w:caps w:val="0"/>
          <w:color w:val="333333"/>
          <w:spacing w:val="0"/>
          <w:sz w:val="24"/>
          <w:szCs w:val="24"/>
          <w:shd w:val="clear" w:fill="FFFFFF"/>
        </w:rPr>
        <w:t>关于印发《</w:t>
      </w:r>
      <w:r>
        <w:rPr>
          <w:rFonts w:hint="eastAsia" w:ascii="宋体" w:hAnsi="宋体" w:eastAsia="宋体" w:cs="宋体"/>
          <w:b w:val="0"/>
          <w:bCs w:val="0"/>
          <w:i w:val="0"/>
          <w:iCs w:val="0"/>
          <w:caps w:val="0"/>
          <w:color w:val="333333"/>
          <w:spacing w:val="0"/>
          <w:sz w:val="24"/>
          <w:szCs w:val="24"/>
          <w:shd w:val="clear" w:fill="FFFFFF"/>
          <w:lang w:eastAsia="zh-CN"/>
        </w:rPr>
        <w:t>项目支出绩效评价管理办法</w:t>
      </w:r>
      <w:r>
        <w:rPr>
          <w:rFonts w:hint="eastAsia" w:ascii="宋体" w:hAnsi="宋体" w:eastAsia="宋体" w:cs="宋体"/>
          <w:b w:val="0"/>
          <w:bCs w:val="0"/>
          <w:i w:val="0"/>
          <w:iCs w:val="0"/>
          <w:caps w:val="0"/>
          <w:color w:val="333333"/>
          <w:spacing w:val="0"/>
          <w:sz w:val="24"/>
          <w:szCs w:val="24"/>
          <w:shd w:val="clear" w:fill="FFFFFF"/>
        </w:rPr>
        <w:t>》的通知</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b w:val="0"/>
          <w:bCs w:val="0"/>
          <w:i w:val="0"/>
          <w:iCs w:val="0"/>
          <w:caps w:val="0"/>
          <w:color w:val="333333"/>
          <w:spacing w:val="0"/>
          <w:sz w:val="24"/>
          <w:szCs w:val="24"/>
          <w:shd w:val="clear" w:fill="FFFFFF"/>
        </w:rPr>
        <w:t>财预</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b w:val="0"/>
          <w:bCs w:val="0"/>
          <w:i w:val="0"/>
          <w:iCs w:val="0"/>
          <w:caps w:val="0"/>
          <w:color w:val="333333"/>
          <w:spacing w:val="0"/>
          <w:sz w:val="24"/>
          <w:szCs w:val="24"/>
          <w:shd w:val="clear" w:fill="FFFFFF"/>
        </w:rPr>
        <w:t>20</w:t>
      </w:r>
      <w:r>
        <w:rPr>
          <w:rFonts w:hint="eastAsia" w:ascii="宋体" w:hAnsi="宋体" w:eastAsia="宋体" w:cs="宋体"/>
          <w:b w:val="0"/>
          <w:bCs w:val="0"/>
          <w:i w:val="0"/>
          <w:iCs w:val="0"/>
          <w:caps w:val="0"/>
          <w:color w:val="333333"/>
          <w:spacing w:val="0"/>
          <w:sz w:val="24"/>
          <w:szCs w:val="24"/>
          <w:shd w:val="clear" w:fill="FFFFFF"/>
          <w:lang w:val="en-US" w:eastAsia="zh-CN"/>
        </w:rPr>
        <w:t>20</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b w:val="0"/>
          <w:bCs w:val="0"/>
          <w:i w:val="0"/>
          <w:iCs w:val="0"/>
          <w:caps w:val="0"/>
          <w:color w:val="333333"/>
          <w:spacing w:val="0"/>
          <w:sz w:val="24"/>
          <w:szCs w:val="24"/>
          <w:shd w:val="clear" w:fill="FFFFFF"/>
          <w:lang w:val="en-US" w:eastAsia="zh-CN"/>
        </w:rPr>
        <w:t>10</w:t>
      </w:r>
      <w:r>
        <w:rPr>
          <w:rFonts w:hint="eastAsia" w:ascii="宋体" w:hAnsi="宋体" w:eastAsia="宋体" w:cs="宋体"/>
          <w:b w:val="0"/>
          <w:bCs w:val="0"/>
          <w:i w:val="0"/>
          <w:iCs w:val="0"/>
          <w:caps w:val="0"/>
          <w:color w:val="333333"/>
          <w:spacing w:val="0"/>
          <w:sz w:val="24"/>
          <w:szCs w:val="24"/>
          <w:shd w:val="clear" w:fill="FFFFFF"/>
        </w:rPr>
        <w:t>号</w:t>
      </w:r>
      <w:r>
        <w:rPr>
          <w:rFonts w:hint="eastAsia" w:ascii="宋体" w:hAnsi="宋体" w:eastAsia="宋体" w:cs="宋体"/>
          <w:b w:val="0"/>
          <w:bCs w:val="0"/>
          <w:i w:val="0"/>
          <w:iCs w:val="0"/>
          <w:caps w:val="0"/>
          <w:color w:val="333333"/>
          <w:spacing w:val="0"/>
          <w:sz w:val="24"/>
          <w:szCs w:val="24"/>
          <w:shd w:val="clear" w:fill="FFFFFF"/>
          <w:lang w:eastAsia="zh-CN"/>
        </w:rPr>
        <w:t>）等</w:t>
      </w:r>
      <w:r>
        <w:rPr>
          <w:rFonts w:hint="eastAsia" w:ascii="宋体" w:hAnsi="宋体" w:eastAsia="宋体" w:cs="宋体"/>
          <w:b w:val="0"/>
          <w:bCs w:val="0"/>
          <w:sz w:val="24"/>
          <w:szCs w:val="24"/>
        </w:rPr>
        <w:t>绩效管理的规章制度。</w:t>
      </w:r>
    </w:p>
    <w:p>
      <w:pPr>
        <w:keepNext/>
        <w:keepLines/>
        <w:pageBreakBefore w:val="0"/>
        <w:kinsoku/>
        <w:wordWrap/>
        <w:overflowPunct/>
        <w:topLinePunct w:val="0"/>
        <w:autoSpaceDE/>
        <w:autoSpaceDN/>
        <w:bidi w:val="0"/>
        <w:adjustRightInd/>
        <w:snapToGrid/>
        <w:spacing w:line="360" w:lineRule="auto"/>
        <w:ind w:left="0" w:leftChars="0" w:firstLine="482" w:firstLineChars="200"/>
        <w:jc w:val="both"/>
        <w:textAlignment w:val="auto"/>
        <w:outlineLvl w:val="0"/>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二）省委省政府及部门文件</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中共广东省委办公厅 广东省人民政府办公厅印发〈关于推动“粤菜师傅”工程高质量发展的意见〉的通知》（粤办发〔2020〕18号）</w:t>
      </w:r>
      <w:r>
        <w:rPr>
          <w:rFonts w:hint="eastAsia" w:ascii="宋体" w:hAnsi="宋体" w:eastAsia="宋体" w:cs="宋体"/>
          <w:b w:val="0"/>
          <w:bCs w:val="0"/>
          <w:sz w:val="24"/>
          <w:szCs w:val="24"/>
          <w:lang w:eastAsia="zh-CN"/>
        </w:rPr>
        <w:t>。</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《关于深入推进“粤菜师傅”工程高质量发展的通知》（粤人社函〔2021〕132号）</w:t>
      </w:r>
      <w:r>
        <w:rPr>
          <w:rFonts w:hint="eastAsia" w:ascii="宋体" w:hAnsi="宋体" w:eastAsia="宋体" w:cs="宋体"/>
          <w:b w:val="0"/>
          <w:bCs w:val="0"/>
          <w:sz w:val="24"/>
          <w:szCs w:val="24"/>
          <w:lang w:eastAsia="zh-CN"/>
        </w:rPr>
        <w:t>。</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《关于印发“粤菜师傅”培养示范基地建设指引的通知》（粤人社函〔2021〕97号）</w:t>
      </w:r>
      <w:r>
        <w:rPr>
          <w:rFonts w:hint="eastAsia" w:ascii="宋体" w:hAnsi="宋体" w:eastAsia="宋体" w:cs="宋体"/>
          <w:b w:val="0"/>
          <w:bCs w:val="0"/>
          <w:sz w:val="24"/>
          <w:szCs w:val="24"/>
          <w:lang w:eastAsia="zh-CN"/>
        </w:rPr>
        <w:t>。</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《关于切实做好“粤菜师傅”培养示范基地建设工作的通知》（粤人社函〔2021〕115号</w:t>
      </w:r>
      <w:r>
        <w:rPr>
          <w:rFonts w:hint="eastAsia" w:ascii="宋体" w:hAnsi="宋体" w:eastAsia="宋体" w:cs="宋体"/>
          <w:b w:val="0"/>
          <w:bCs w:val="0"/>
          <w:sz w:val="24"/>
          <w:szCs w:val="24"/>
          <w:lang w:eastAsia="zh-CN"/>
        </w:rPr>
        <w:t>）。</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《中共广东省委办公厅 广东省人民政府办公厅印发〈关于推动“广东技工”工程高质量发展的意见〉的通知》（粤办发〔2021〕10号）</w:t>
      </w:r>
      <w:r>
        <w:rPr>
          <w:rFonts w:hint="eastAsia" w:ascii="宋体" w:hAnsi="宋体" w:eastAsia="宋体" w:cs="宋体"/>
          <w:b w:val="0"/>
          <w:bCs w:val="0"/>
          <w:sz w:val="24"/>
          <w:szCs w:val="24"/>
          <w:lang w:eastAsia="zh-CN"/>
        </w:rPr>
        <w:t>。</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省三项办《广东省“文化技工”建设实施方案》</w:t>
      </w:r>
      <w:r>
        <w:rPr>
          <w:rFonts w:hint="eastAsia" w:ascii="宋体" w:hAnsi="宋体" w:eastAsia="宋体" w:cs="宋体"/>
          <w:b w:val="0"/>
          <w:bCs w:val="0"/>
          <w:sz w:val="24"/>
          <w:szCs w:val="24"/>
          <w:lang w:eastAsia="zh-CN"/>
        </w:rPr>
        <w:t>。</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《中共广东省委办公厅 广东省人民政府办公厅印发&lt;关于推动“南粤家政”工程高质量发展的意见&gt;的通知》（粤办发〔2020〕29号）</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三</w:t>
      </w:r>
      <w:r>
        <w:rPr>
          <w:rFonts w:hint="eastAsia" w:ascii="宋体" w:hAnsi="宋体" w:eastAsia="宋体" w:cs="宋体"/>
          <w:b/>
          <w:sz w:val="24"/>
          <w:szCs w:val="24"/>
        </w:rPr>
        <w:t>）市委市政府文件</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1.《中共梅州市委 梅州市人民政府印发&lt;关于全面实施预算绩效管理的实施意见&gt;的通知（梅市明电</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sz w:val="24"/>
          <w:szCs w:val="24"/>
        </w:rPr>
        <w:t>2019</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sz w:val="24"/>
          <w:szCs w:val="24"/>
        </w:rPr>
        <w:t>229号）。</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2F2F2F"/>
          <w:kern w:val="0"/>
          <w:sz w:val="24"/>
          <w:szCs w:val="24"/>
        </w:rPr>
      </w:pPr>
      <w:r>
        <w:rPr>
          <w:rFonts w:hint="eastAsia" w:ascii="宋体" w:hAnsi="宋体" w:eastAsia="宋体" w:cs="宋体"/>
          <w:sz w:val="24"/>
          <w:szCs w:val="24"/>
        </w:rPr>
        <w:t>2.《中共梅州市委办公室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梅州市人民政府办公室印发〈关于推动梅州市“粤菜师傅”工程高质量发展的实施方案〉的通知》（梅市明电〔2021〕95号）</w:t>
      </w:r>
      <w:r>
        <w:rPr>
          <w:rFonts w:hint="eastAsia" w:ascii="宋体" w:hAnsi="宋体" w:eastAsia="宋体" w:cs="宋体"/>
          <w:color w:val="2F2F2F"/>
          <w:kern w:val="0"/>
          <w:sz w:val="24"/>
          <w:szCs w:val="24"/>
        </w:rPr>
        <w:t>。</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color w:val="2F2F2F"/>
          <w:kern w:val="0"/>
          <w:sz w:val="24"/>
          <w:szCs w:val="24"/>
          <w:lang w:val="en-US" w:eastAsia="zh-CN"/>
        </w:rPr>
        <w:t>3.</w:t>
      </w:r>
      <w:r>
        <w:rPr>
          <w:rFonts w:hint="eastAsia" w:ascii="宋体" w:hAnsi="宋体" w:eastAsia="宋体" w:cs="宋体"/>
          <w:sz w:val="24"/>
          <w:szCs w:val="24"/>
        </w:rPr>
        <w:t>《梅州市推动“广东技工”工程高质量发展实施方案》</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《中共梅州市委办公室 梅州市人民政府办公室关于印发〈梅州市“南粤家政”工程高质量发展实施方案〉的通知》（梅市明电〔2021〕27号</w:t>
      </w:r>
      <w:r>
        <w:rPr>
          <w:rFonts w:hint="eastAsia" w:ascii="宋体" w:hAnsi="宋体" w:eastAsia="宋体" w:cs="宋体"/>
          <w:sz w:val="24"/>
          <w:szCs w:val="24"/>
          <w:lang w:eastAsia="zh-CN"/>
        </w:rPr>
        <w:t>。</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四</w:t>
      </w:r>
      <w:r>
        <w:rPr>
          <w:rFonts w:hint="eastAsia" w:ascii="宋体" w:hAnsi="宋体" w:eastAsia="宋体" w:cs="宋体"/>
          <w:b/>
          <w:sz w:val="24"/>
          <w:szCs w:val="24"/>
        </w:rPr>
        <w:t>）市财政局的文件资料</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1.《梅州市财政支出绩效评价实施办法》（梅市财评</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sz w:val="24"/>
          <w:szCs w:val="24"/>
        </w:rPr>
        <w:t>2015</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sz w:val="24"/>
          <w:szCs w:val="24"/>
        </w:rPr>
        <w:t>9号）。</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2.《关于开展202</w:t>
      </w:r>
      <w:r>
        <w:rPr>
          <w:rFonts w:hint="eastAsia" w:ascii="宋体" w:hAnsi="宋体" w:eastAsia="宋体" w:cs="宋体"/>
          <w:sz w:val="24"/>
          <w:szCs w:val="24"/>
          <w:lang w:val="en-US" w:eastAsia="zh-CN"/>
        </w:rPr>
        <w:t>2</w:t>
      </w:r>
      <w:r>
        <w:rPr>
          <w:rFonts w:hint="eastAsia" w:ascii="宋体" w:hAnsi="宋体" w:eastAsia="宋体" w:cs="宋体"/>
          <w:sz w:val="24"/>
          <w:szCs w:val="24"/>
        </w:rPr>
        <w:t>年市级财政资金绩效自评工作的通知》（梅市财评〔202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号）。</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3.梅州市财政局关于印发《广东省财政绩效评价指南》的通知（</w:t>
      </w:r>
      <w:r>
        <w:rPr>
          <w:rFonts w:hint="eastAsia" w:ascii="宋体" w:hAnsi="宋体" w:eastAsia="宋体" w:cs="宋体"/>
          <w:sz w:val="24"/>
          <w:szCs w:val="24"/>
        </w:rPr>
        <w:t>梅市财评〔202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号）。</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.《关于做好20</w:t>
      </w:r>
      <w:r>
        <w:rPr>
          <w:rFonts w:hint="eastAsia" w:ascii="宋体" w:hAnsi="宋体" w:eastAsia="宋体" w:cs="宋体"/>
          <w:sz w:val="24"/>
          <w:szCs w:val="24"/>
          <w:lang w:val="en-US" w:eastAsia="zh-CN"/>
        </w:rPr>
        <w:t>22</w:t>
      </w:r>
      <w:r>
        <w:rPr>
          <w:rFonts w:hint="eastAsia" w:ascii="宋体" w:hAnsi="宋体" w:eastAsia="宋体" w:cs="宋体"/>
          <w:sz w:val="24"/>
          <w:szCs w:val="24"/>
        </w:rPr>
        <w:t>年度市级财政重点绩效评价</w:t>
      </w:r>
      <w:r>
        <w:rPr>
          <w:rFonts w:hint="eastAsia" w:ascii="宋体" w:hAnsi="宋体" w:eastAsia="宋体" w:cs="宋体"/>
          <w:sz w:val="24"/>
          <w:szCs w:val="24"/>
          <w:lang w:val="en-US" w:eastAsia="zh-CN"/>
        </w:rPr>
        <w:t>工作</w:t>
      </w:r>
      <w:r>
        <w:rPr>
          <w:rFonts w:hint="eastAsia" w:ascii="宋体" w:hAnsi="宋体" w:eastAsia="宋体" w:cs="宋体"/>
          <w:sz w:val="24"/>
          <w:szCs w:val="24"/>
        </w:rPr>
        <w:t>的通知》（梅市财评〔202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号）</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五</w:t>
      </w:r>
      <w:r>
        <w:rPr>
          <w:rFonts w:hint="eastAsia" w:ascii="宋体" w:hAnsi="宋体" w:eastAsia="宋体" w:cs="宋体"/>
          <w:b/>
          <w:sz w:val="24"/>
          <w:szCs w:val="24"/>
        </w:rPr>
        <w:t>）被评价部门（单位）相关资料</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人社</w:t>
      </w:r>
      <w:r>
        <w:rPr>
          <w:rFonts w:hint="eastAsia" w:ascii="宋体" w:hAnsi="宋体" w:eastAsia="宋体" w:cs="宋体"/>
          <w:color w:val="auto"/>
          <w:sz w:val="24"/>
          <w:szCs w:val="24"/>
          <w:lang w:eastAsia="zh-CN"/>
        </w:rPr>
        <w:t>局</w:t>
      </w:r>
      <w:r>
        <w:rPr>
          <w:rFonts w:hint="eastAsia" w:ascii="宋体" w:hAnsi="宋体" w:eastAsia="宋体" w:cs="宋体"/>
          <w:color w:val="auto"/>
          <w:sz w:val="24"/>
          <w:szCs w:val="24"/>
        </w:rPr>
        <w:t>提交的</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绩效自评报告、</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绩效评价指标表和对应</w:t>
      </w:r>
      <w:r>
        <w:rPr>
          <w:rFonts w:hint="eastAsia" w:ascii="宋体" w:hAnsi="宋体" w:eastAsia="宋体" w:cs="宋体"/>
          <w:color w:val="auto"/>
          <w:sz w:val="24"/>
          <w:szCs w:val="24"/>
          <w:lang w:eastAsia="zh-CN"/>
        </w:rPr>
        <w:t>佐</w:t>
      </w:r>
      <w:r>
        <w:rPr>
          <w:rFonts w:hint="eastAsia" w:ascii="宋体" w:hAnsi="宋体" w:eastAsia="宋体" w:cs="宋体"/>
          <w:color w:val="auto"/>
          <w:sz w:val="24"/>
          <w:szCs w:val="24"/>
        </w:rPr>
        <w:t>证材料等自评材料。</w:t>
      </w:r>
    </w:p>
    <w:p>
      <w:pPr>
        <w:keepNext/>
        <w:keepLines/>
        <w:pageBreakBefore w:val="0"/>
        <w:kinsoku/>
        <w:wordWrap/>
        <w:overflowPunct/>
        <w:topLinePunct w:val="0"/>
        <w:autoSpaceDE/>
        <w:autoSpaceDN/>
        <w:bidi w:val="0"/>
        <w:adjustRightInd/>
        <w:snapToGrid/>
        <w:spacing w:line="360" w:lineRule="auto"/>
        <w:ind w:firstLine="482" w:firstLineChars="200"/>
        <w:jc w:val="both"/>
        <w:textAlignment w:val="auto"/>
        <w:outlineLvl w:val="0"/>
        <w:rPr>
          <w:rFonts w:hint="eastAsia" w:ascii="宋体" w:hAnsi="宋体" w:eastAsia="宋体" w:cs="宋体"/>
          <w:b/>
          <w:kern w:val="44"/>
          <w:sz w:val="24"/>
          <w:szCs w:val="24"/>
        </w:rPr>
      </w:pPr>
      <w:r>
        <w:rPr>
          <w:rFonts w:hint="eastAsia" w:ascii="宋体" w:hAnsi="宋体" w:eastAsia="宋体" w:cs="宋体"/>
          <w:b/>
          <w:kern w:val="44"/>
          <w:sz w:val="24"/>
          <w:szCs w:val="24"/>
          <w:lang w:val="en-US" w:eastAsia="zh-CN"/>
        </w:rPr>
        <w:t>五</w:t>
      </w:r>
      <w:r>
        <w:rPr>
          <w:rFonts w:hint="eastAsia" w:ascii="宋体" w:hAnsi="宋体" w:eastAsia="宋体" w:cs="宋体"/>
          <w:b/>
          <w:kern w:val="44"/>
          <w:sz w:val="24"/>
          <w:szCs w:val="24"/>
        </w:rPr>
        <w:t>、评价指标体系</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本次评价主要基于《预算绩效评价共性指标体系框架》（财预〔2013〕53 号）</w:t>
      </w:r>
      <w:r>
        <w:rPr>
          <w:rFonts w:hint="eastAsia" w:ascii="宋体" w:hAnsi="宋体" w:eastAsia="宋体" w:cs="宋体"/>
          <w:sz w:val="24"/>
          <w:szCs w:val="24"/>
          <w:lang w:eastAsia="zh-CN"/>
        </w:rPr>
        <w:t>、《项目支出绩效评价管理办法》（</w:t>
      </w:r>
      <w:r>
        <w:rPr>
          <w:rFonts w:hint="eastAsia" w:ascii="宋体" w:hAnsi="宋体" w:eastAsia="宋体" w:cs="宋体"/>
          <w:sz w:val="24"/>
          <w:szCs w:val="24"/>
        </w:rPr>
        <w:t>财预〔20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号）</w:t>
      </w:r>
      <w:r>
        <w:rPr>
          <w:rFonts w:hint="eastAsia" w:ascii="宋体" w:hAnsi="宋体" w:eastAsia="宋体" w:cs="宋体"/>
          <w:sz w:val="24"/>
          <w:szCs w:val="24"/>
          <w:lang w:eastAsia="zh-CN"/>
        </w:rPr>
        <w:t>、</w:t>
      </w:r>
      <w:r>
        <w:rPr>
          <w:rFonts w:hint="eastAsia" w:ascii="宋体" w:hAnsi="宋体" w:eastAsia="宋体" w:cs="宋体"/>
          <w:sz w:val="24"/>
          <w:szCs w:val="24"/>
        </w:rPr>
        <w:t>《梅州市财政局关于做好2021年市级财政重点绩效评价工作的通知》指标体系中的指标的内容及权重，结合资金项目的特点及资金使用的具体情况，以资金使用结果和使用效果为导向，确定评价内容并相应设置评价指标及权重。</w:t>
      </w:r>
      <w:r>
        <w:rPr>
          <w:rFonts w:hint="eastAsia" w:ascii="宋体" w:hAnsi="宋体" w:eastAsia="宋体" w:cs="宋体"/>
          <w:sz w:val="24"/>
          <w:szCs w:val="24"/>
          <w:lang w:val="en-US" w:eastAsia="zh-CN"/>
        </w:rPr>
        <w:t>项目的</w:t>
      </w:r>
      <w:r>
        <w:rPr>
          <w:rFonts w:hint="eastAsia" w:ascii="宋体" w:hAnsi="宋体" w:eastAsia="宋体" w:cs="宋体"/>
          <w:sz w:val="24"/>
          <w:szCs w:val="24"/>
        </w:rPr>
        <w:t>绩效评价指标体系分为</w:t>
      </w:r>
      <w:r>
        <w:rPr>
          <w:rFonts w:hint="eastAsia" w:ascii="宋体" w:hAnsi="宋体" w:eastAsia="宋体" w:cs="宋体"/>
          <w:sz w:val="24"/>
          <w:szCs w:val="24"/>
          <w:lang w:eastAsia="zh-CN"/>
        </w:rPr>
        <w:t>四</w:t>
      </w:r>
      <w:r>
        <w:rPr>
          <w:rFonts w:hint="eastAsia" w:ascii="宋体" w:hAnsi="宋体" w:eastAsia="宋体" w:cs="宋体"/>
          <w:sz w:val="24"/>
          <w:szCs w:val="24"/>
        </w:rPr>
        <w:t>大部</w:t>
      </w:r>
      <w:r>
        <w:rPr>
          <w:rFonts w:hint="eastAsia" w:ascii="宋体" w:hAnsi="宋体" w:eastAsia="宋体" w:cs="宋体"/>
          <w:color w:val="auto"/>
          <w:sz w:val="24"/>
          <w:szCs w:val="24"/>
        </w:rPr>
        <w:t>分，其权重分别为：</w:t>
      </w:r>
      <w:r>
        <w:rPr>
          <w:rFonts w:hint="eastAsia" w:ascii="宋体" w:hAnsi="宋体" w:eastAsia="宋体" w:cs="宋体"/>
          <w:color w:val="auto"/>
          <w:sz w:val="24"/>
          <w:szCs w:val="24"/>
          <w:lang w:eastAsia="zh-CN"/>
        </w:rPr>
        <w:t>决策</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过程25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产出</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效益3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%。指标体系采取百分制的计分方式，共有</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级指标，一级指标</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个，二级指标</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个，三级指标</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个，</w:t>
      </w:r>
      <w:r>
        <w:rPr>
          <w:rFonts w:hint="eastAsia" w:ascii="宋体" w:hAnsi="宋体" w:eastAsia="宋体" w:cs="宋体"/>
          <w:color w:val="auto"/>
          <w:sz w:val="24"/>
          <w:szCs w:val="24"/>
          <w:lang w:eastAsia="zh-CN"/>
        </w:rPr>
        <w:t>四级指标</w:t>
      </w:r>
      <w:r>
        <w:rPr>
          <w:rFonts w:hint="eastAsia" w:ascii="宋体" w:hAnsi="宋体" w:eastAsia="宋体" w:cs="宋体"/>
          <w:color w:val="auto"/>
          <w:sz w:val="24"/>
          <w:szCs w:val="24"/>
          <w:lang w:val="en-US" w:eastAsia="zh-CN"/>
        </w:rPr>
        <w:t>22-26</w:t>
      </w:r>
      <w:r>
        <w:rPr>
          <w:rFonts w:hint="eastAsia" w:ascii="宋体" w:hAnsi="宋体" w:eastAsia="宋体" w:cs="宋体"/>
          <w:color w:val="auto"/>
          <w:sz w:val="24"/>
          <w:szCs w:val="24"/>
          <w:lang w:eastAsia="zh-CN"/>
        </w:rPr>
        <w:t>个，</w:t>
      </w:r>
      <w:r>
        <w:rPr>
          <w:rFonts w:hint="eastAsia" w:ascii="宋体" w:hAnsi="宋体" w:eastAsia="宋体" w:cs="宋体"/>
          <w:color w:val="auto"/>
          <w:sz w:val="24"/>
          <w:szCs w:val="24"/>
        </w:rPr>
        <w:t>各指标的分值情况详见附件2</w:t>
      </w:r>
      <w:r>
        <w:rPr>
          <w:rFonts w:hint="eastAsia" w:ascii="宋体" w:hAnsi="宋体" w:eastAsia="宋体" w:cs="宋体"/>
          <w:color w:val="auto"/>
          <w:sz w:val="24"/>
          <w:szCs w:val="24"/>
          <w:lang w:val="en-US" w:eastAsia="zh-CN"/>
        </w:rPr>
        <w:t>-1至附件2-4</w:t>
      </w:r>
      <w:r>
        <w:rPr>
          <w:rFonts w:hint="eastAsia" w:ascii="宋体" w:hAnsi="宋体" w:eastAsia="宋体" w:cs="宋体"/>
          <w:color w:val="auto"/>
          <w:sz w:val="24"/>
          <w:szCs w:val="24"/>
        </w:rPr>
        <w:t>。</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评价先对“粤菜师傅”“广东技工”“南粤家政”三项工程每个项目单独进行评分，然后按照三项工程财政预算资金投入比例折算汇总，汇总得出项目的总分值。“粤菜师傅”“广东技工”“南粤家政”三项工程汇总的权重分别为：</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0%和</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根据评价得分结果，划分评价等级，各等级划分见下表：</w:t>
      </w:r>
    </w:p>
    <w:tbl>
      <w:tblPr>
        <w:tblStyle w:val="15"/>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2"/>
        <w:gridCol w:w="1444"/>
        <w:gridCol w:w="1444"/>
        <w:gridCol w:w="1444"/>
        <w:gridCol w:w="1444"/>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4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line="560" w:lineRule="exact"/>
              <w:ind w:left="0" w:right="0"/>
              <w:jc w:val="center"/>
              <w:rPr>
                <w:rFonts w:hint="eastAsia" w:ascii="等线" w:hAnsi="等线" w:eastAsia="等线" w:cs="Times New Roman"/>
                <w:sz w:val="24"/>
                <w:szCs w:val="24"/>
              </w:rPr>
            </w:pPr>
            <w:r>
              <w:rPr>
                <w:rFonts w:hint="eastAsia" w:ascii="等线" w:hAnsi="等线" w:eastAsia="等线" w:cs="Times New Roman"/>
                <w:sz w:val="24"/>
                <w:szCs w:val="24"/>
                <w:lang w:val="en-US" w:eastAsia="zh-CN"/>
              </w:rPr>
              <w:t>评价结果</w:t>
            </w:r>
          </w:p>
        </w:tc>
        <w:tc>
          <w:tcPr>
            <w:tcW w:w="79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line="560" w:lineRule="exact"/>
              <w:ind w:left="0" w:right="0"/>
              <w:jc w:val="center"/>
              <w:rPr>
                <w:rFonts w:hint="eastAsia" w:ascii="等线" w:hAnsi="等线" w:eastAsia="等线" w:cs="Times New Roman"/>
                <w:sz w:val="24"/>
                <w:szCs w:val="24"/>
              </w:rPr>
            </w:pPr>
            <w:r>
              <w:rPr>
                <w:rFonts w:hint="eastAsia" w:ascii="等线" w:hAnsi="等线" w:eastAsia="等线" w:cs="Times New Roman"/>
                <w:sz w:val="24"/>
                <w:szCs w:val="24"/>
                <w:lang w:val="en-US" w:eastAsia="zh-CN"/>
              </w:rPr>
              <w:t>优</w:t>
            </w:r>
          </w:p>
        </w:tc>
        <w:tc>
          <w:tcPr>
            <w:tcW w:w="79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line="560" w:lineRule="exact"/>
              <w:ind w:left="0" w:right="0"/>
              <w:jc w:val="center"/>
              <w:rPr>
                <w:rFonts w:hint="eastAsia" w:ascii="等线" w:hAnsi="等线" w:eastAsia="等线" w:cs="Times New Roman"/>
                <w:sz w:val="24"/>
                <w:szCs w:val="24"/>
              </w:rPr>
            </w:pPr>
            <w:r>
              <w:rPr>
                <w:rFonts w:hint="eastAsia" w:ascii="等线" w:hAnsi="等线" w:eastAsia="等线" w:cs="Times New Roman"/>
                <w:sz w:val="24"/>
                <w:szCs w:val="24"/>
                <w:lang w:val="en-US" w:eastAsia="zh-CN"/>
              </w:rPr>
              <w:t>良</w:t>
            </w:r>
          </w:p>
        </w:tc>
        <w:tc>
          <w:tcPr>
            <w:tcW w:w="79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line="560" w:lineRule="exact"/>
              <w:ind w:left="0" w:right="0"/>
              <w:jc w:val="center"/>
              <w:rPr>
                <w:rFonts w:hint="eastAsia" w:ascii="等线" w:hAnsi="等线" w:eastAsia="等线" w:cs="Times New Roman"/>
                <w:sz w:val="24"/>
                <w:szCs w:val="24"/>
              </w:rPr>
            </w:pPr>
            <w:r>
              <w:rPr>
                <w:rFonts w:hint="eastAsia" w:ascii="等线" w:hAnsi="等线" w:eastAsia="等线" w:cs="Times New Roman"/>
                <w:sz w:val="24"/>
                <w:szCs w:val="24"/>
                <w:lang w:val="en-US" w:eastAsia="zh-CN"/>
              </w:rPr>
              <w:t>中</w:t>
            </w:r>
          </w:p>
        </w:tc>
        <w:tc>
          <w:tcPr>
            <w:tcW w:w="79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line="560" w:lineRule="exact"/>
              <w:ind w:left="0" w:right="0"/>
              <w:jc w:val="center"/>
              <w:rPr>
                <w:rFonts w:hint="eastAsia" w:ascii="等线" w:hAnsi="等线" w:eastAsia="等线" w:cs="Times New Roman"/>
                <w:sz w:val="24"/>
                <w:szCs w:val="24"/>
              </w:rPr>
            </w:pPr>
            <w:r>
              <w:rPr>
                <w:rFonts w:hint="eastAsia" w:ascii="等线" w:hAnsi="等线" w:eastAsia="等线" w:cs="Times New Roman"/>
                <w:sz w:val="24"/>
                <w:szCs w:val="24"/>
                <w:lang w:val="en-US" w:eastAsia="zh-CN"/>
              </w:rPr>
              <w:t>低</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line="560" w:lineRule="exact"/>
              <w:ind w:left="0" w:right="0"/>
              <w:jc w:val="center"/>
              <w:rPr>
                <w:rFonts w:hint="eastAsia" w:ascii="等线" w:hAnsi="等线" w:eastAsia="等线" w:cs="Times New Roman"/>
                <w:sz w:val="24"/>
                <w:szCs w:val="24"/>
              </w:rPr>
            </w:pPr>
            <w:r>
              <w:rPr>
                <w:rFonts w:hint="eastAsia" w:ascii="等线" w:hAnsi="等线" w:eastAsia="等线" w:cs="Times New Roman"/>
                <w:sz w:val="24"/>
                <w:szCs w:val="24"/>
                <w:lang w:val="en-US" w:eastAsia="zh-CN"/>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line="560" w:lineRule="exact"/>
              <w:ind w:left="0" w:right="0"/>
              <w:jc w:val="center"/>
              <w:rPr>
                <w:rFonts w:hint="eastAsia" w:ascii="等线" w:hAnsi="等线" w:eastAsia="等线" w:cs="Times New Roman"/>
                <w:sz w:val="24"/>
                <w:szCs w:val="24"/>
              </w:rPr>
            </w:pPr>
            <w:r>
              <w:rPr>
                <w:rFonts w:hint="eastAsia" w:ascii="等线" w:hAnsi="等线" w:eastAsia="等线" w:cs="Times New Roman"/>
                <w:sz w:val="24"/>
                <w:szCs w:val="24"/>
                <w:lang w:val="en-US" w:eastAsia="zh-CN"/>
              </w:rPr>
              <w:t>分值分布</w:t>
            </w:r>
          </w:p>
        </w:tc>
        <w:tc>
          <w:tcPr>
            <w:tcW w:w="79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line="560" w:lineRule="exact"/>
              <w:ind w:left="0" w:right="0"/>
              <w:jc w:val="center"/>
              <w:rPr>
                <w:rFonts w:hint="eastAsia" w:ascii="等线" w:hAnsi="等线" w:eastAsia="等线" w:cs="Times New Roman"/>
                <w:sz w:val="24"/>
                <w:szCs w:val="24"/>
              </w:rPr>
            </w:pPr>
            <w:r>
              <w:rPr>
                <w:rFonts w:hint="eastAsia" w:ascii="等线" w:hAnsi="等线" w:eastAsia="等线" w:cs="Times New Roman"/>
                <w:sz w:val="24"/>
                <w:szCs w:val="24"/>
                <w:lang w:val="en-US" w:eastAsia="zh-CN"/>
              </w:rPr>
              <w:t>90-100</w:t>
            </w:r>
          </w:p>
        </w:tc>
        <w:tc>
          <w:tcPr>
            <w:tcW w:w="79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line="560" w:lineRule="exact"/>
              <w:ind w:left="0" w:right="0"/>
              <w:jc w:val="center"/>
              <w:rPr>
                <w:rFonts w:hint="eastAsia" w:ascii="等线" w:hAnsi="等线" w:eastAsia="等线" w:cs="Times New Roman"/>
                <w:sz w:val="24"/>
                <w:szCs w:val="24"/>
              </w:rPr>
            </w:pPr>
            <w:r>
              <w:rPr>
                <w:rFonts w:hint="eastAsia" w:ascii="等线" w:hAnsi="等线" w:eastAsia="等线" w:cs="Times New Roman"/>
                <w:sz w:val="24"/>
                <w:szCs w:val="24"/>
                <w:lang w:val="en-US" w:eastAsia="zh-CN"/>
              </w:rPr>
              <w:t>80—89</w:t>
            </w:r>
          </w:p>
        </w:tc>
        <w:tc>
          <w:tcPr>
            <w:tcW w:w="79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line="560" w:lineRule="exact"/>
              <w:ind w:left="0" w:right="0"/>
              <w:jc w:val="center"/>
              <w:rPr>
                <w:rFonts w:hint="eastAsia" w:ascii="等线" w:hAnsi="等线" w:eastAsia="等线" w:cs="Times New Roman"/>
                <w:sz w:val="24"/>
                <w:szCs w:val="24"/>
              </w:rPr>
            </w:pPr>
            <w:r>
              <w:rPr>
                <w:rFonts w:hint="eastAsia" w:ascii="等线" w:hAnsi="等线" w:eastAsia="等线" w:cs="Times New Roman"/>
                <w:sz w:val="24"/>
                <w:szCs w:val="24"/>
                <w:lang w:val="en-US" w:eastAsia="zh-CN"/>
              </w:rPr>
              <w:t>70-79</w:t>
            </w:r>
          </w:p>
        </w:tc>
        <w:tc>
          <w:tcPr>
            <w:tcW w:w="79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line="560" w:lineRule="exact"/>
              <w:ind w:left="0" w:right="0"/>
              <w:jc w:val="center"/>
              <w:rPr>
                <w:rFonts w:hint="eastAsia" w:ascii="等线" w:hAnsi="等线" w:eastAsia="等线" w:cs="Times New Roman"/>
                <w:sz w:val="24"/>
                <w:szCs w:val="24"/>
              </w:rPr>
            </w:pPr>
            <w:r>
              <w:rPr>
                <w:rFonts w:hint="eastAsia" w:ascii="等线" w:hAnsi="等线" w:eastAsia="等线" w:cs="Times New Roman"/>
                <w:sz w:val="24"/>
                <w:szCs w:val="24"/>
                <w:lang w:val="en-US" w:eastAsia="zh-CN"/>
              </w:rPr>
              <w:t>60-69</w:t>
            </w:r>
          </w:p>
        </w:tc>
        <w:tc>
          <w:tcPr>
            <w:tcW w:w="87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line="560" w:lineRule="exact"/>
              <w:ind w:left="0" w:right="0"/>
              <w:jc w:val="center"/>
              <w:rPr>
                <w:rFonts w:hint="eastAsia" w:ascii="等线" w:hAnsi="等线" w:eastAsia="等线" w:cs="Times New Roman"/>
                <w:sz w:val="24"/>
                <w:szCs w:val="24"/>
              </w:rPr>
            </w:pPr>
            <w:r>
              <w:rPr>
                <w:rFonts w:hint="eastAsia" w:ascii="等线" w:hAnsi="等线" w:eastAsia="等线" w:cs="Times New Roman"/>
                <w:sz w:val="24"/>
                <w:szCs w:val="24"/>
                <w:lang w:val="en-US" w:eastAsia="zh-CN"/>
              </w:rPr>
              <w:t>60分以下</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、评价流程</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梅州正信合伙会计师事务所（普通合伙）组织专家成立评价工作组，对项目支出绩效进行现场评价工作。评价期间，评价工作组与市</w:t>
      </w:r>
      <w:r>
        <w:rPr>
          <w:rFonts w:hint="eastAsia" w:ascii="宋体" w:hAnsi="宋体" w:eastAsia="宋体" w:cs="宋体"/>
          <w:sz w:val="24"/>
          <w:szCs w:val="24"/>
          <w:lang w:val="en-US" w:eastAsia="zh-CN"/>
        </w:rPr>
        <w:t>人社</w:t>
      </w:r>
      <w:r>
        <w:rPr>
          <w:rFonts w:hint="eastAsia" w:ascii="宋体" w:hAnsi="宋体" w:eastAsia="宋体" w:cs="宋体"/>
          <w:sz w:val="24"/>
          <w:szCs w:val="24"/>
          <w:lang w:eastAsia="zh-CN"/>
        </w:rPr>
        <w:t>局主管业务部门及科室负责人进行座谈，了解项目的整体情况，运用目标比较法对项目进行实地评价。在此基础上，评价工作组成员形成了各自的初步评价意见，并相互交换意见，最终形成评价意见。具体步骤如下：</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1.确定绩效评价对象和范围；</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2.研究制订绩效评价工作方案；</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3.到市</w:t>
      </w:r>
      <w:r>
        <w:rPr>
          <w:rFonts w:hint="eastAsia" w:ascii="宋体" w:hAnsi="宋体" w:eastAsia="宋体" w:cs="宋体"/>
          <w:sz w:val="24"/>
          <w:szCs w:val="24"/>
          <w:lang w:val="en-US" w:eastAsia="zh-CN"/>
        </w:rPr>
        <w:t>人社</w:t>
      </w:r>
      <w:r>
        <w:rPr>
          <w:rFonts w:hint="eastAsia" w:ascii="宋体" w:hAnsi="宋体" w:eastAsia="宋体" w:cs="宋体"/>
          <w:sz w:val="24"/>
          <w:szCs w:val="24"/>
          <w:lang w:eastAsia="zh-CN"/>
        </w:rPr>
        <w:t>局调查了解项目实施情况，并审核项目绩效自评相关资料；</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.深入</w:t>
      </w:r>
      <w:r>
        <w:rPr>
          <w:rFonts w:hint="eastAsia" w:ascii="宋体" w:hAnsi="宋体" w:eastAsia="宋体" w:cs="宋体"/>
          <w:sz w:val="24"/>
          <w:szCs w:val="24"/>
          <w:lang w:val="en-US" w:eastAsia="zh-CN"/>
        </w:rPr>
        <w:t>梅州市农业学校、梅州市技师学院</w:t>
      </w:r>
      <w:r>
        <w:rPr>
          <w:rFonts w:hint="eastAsia" w:ascii="宋体" w:hAnsi="宋体" w:eastAsia="宋体" w:cs="宋体"/>
          <w:sz w:val="24"/>
          <w:szCs w:val="24"/>
          <w:lang w:eastAsia="zh-CN"/>
        </w:rPr>
        <w:t>实地询问、检查和核实有关项目实施情况；</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.汇总审核所获取评审相关资料，分析评价项目实施效果；</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.与被评价单位交换意见；</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.综合分析并形成最终结论，出具绩效评价报告。</w:t>
      </w:r>
    </w:p>
    <w:p>
      <w:pPr>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七、本次评价专家组成员</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梅州正信合伙会计师事务所（普通合伙）成立了由5人组成的评价工作组，其中，中国注册会计师3人，绩效评价师1人。</w:t>
      </w:r>
    </w:p>
    <w:p>
      <w:pPr>
        <w:pStyle w:val="2"/>
        <w:ind w:left="0" w:leftChars="0" w:firstLine="0" w:firstLineChars="0"/>
        <w:rPr>
          <w:rFonts w:hint="eastAsia"/>
          <w:lang w:val="en-US" w:eastAsia="zh-CN"/>
        </w:rPr>
      </w:pPr>
    </w:p>
    <w:sectPr>
      <w:footerReference r:id="rId11" w:type="default"/>
      <w:pgSz w:w="11906" w:h="16838"/>
      <w:pgMar w:top="1440" w:right="1474" w:bottom="1440"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1</w:t>
                          </w:r>
                          <w:r>
                            <w:rPr>
                              <w:rFonts w:ascii="等线" w:hAnsi="等线" w:eastAsia="等线"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1</w:t>
                    </w:r>
                    <w:r>
                      <w:rPr>
                        <w:rFonts w:ascii="等线" w:hAnsi="等线" w:eastAsia="等线"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30799"/>
    <w:multiLevelType w:val="singleLevel"/>
    <w:tmpl w:val="FF63079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295"/>
  <w:drawingGridVerticalSpacing w:val="53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MDc3YTJkYjljMTczYWVkMTgzZTE3YjM5Mzc0NzYifQ=="/>
  </w:docVars>
  <w:rsids>
    <w:rsidRoot w:val="00033C57"/>
    <w:rsid w:val="0000001F"/>
    <w:rsid w:val="00001F4F"/>
    <w:rsid w:val="000034EC"/>
    <w:rsid w:val="00022191"/>
    <w:rsid w:val="0003365A"/>
    <w:rsid w:val="00033C57"/>
    <w:rsid w:val="00044813"/>
    <w:rsid w:val="00057B7C"/>
    <w:rsid w:val="00067F21"/>
    <w:rsid w:val="00067F64"/>
    <w:rsid w:val="0007336C"/>
    <w:rsid w:val="00074830"/>
    <w:rsid w:val="00074E78"/>
    <w:rsid w:val="00080FEA"/>
    <w:rsid w:val="00084678"/>
    <w:rsid w:val="00084965"/>
    <w:rsid w:val="00091C38"/>
    <w:rsid w:val="000967A3"/>
    <w:rsid w:val="000A338F"/>
    <w:rsid w:val="000B67AF"/>
    <w:rsid w:val="000B7A6A"/>
    <w:rsid w:val="000B7CF0"/>
    <w:rsid w:val="000C3233"/>
    <w:rsid w:val="000D0EE1"/>
    <w:rsid w:val="000D37BE"/>
    <w:rsid w:val="000D69B9"/>
    <w:rsid w:val="000E42B8"/>
    <w:rsid w:val="000E5E75"/>
    <w:rsid w:val="000E7C91"/>
    <w:rsid w:val="000F054A"/>
    <w:rsid w:val="000F1403"/>
    <w:rsid w:val="000F6E33"/>
    <w:rsid w:val="00100632"/>
    <w:rsid w:val="00102D00"/>
    <w:rsid w:val="0010308E"/>
    <w:rsid w:val="00103369"/>
    <w:rsid w:val="00106D3B"/>
    <w:rsid w:val="001107A6"/>
    <w:rsid w:val="0011449A"/>
    <w:rsid w:val="0011689A"/>
    <w:rsid w:val="001236F0"/>
    <w:rsid w:val="001303E2"/>
    <w:rsid w:val="00131CC5"/>
    <w:rsid w:val="001325F6"/>
    <w:rsid w:val="001330D0"/>
    <w:rsid w:val="001358D0"/>
    <w:rsid w:val="001406D2"/>
    <w:rsid w:val="00140C12"/>
    <w:rsid w:val="00144486"/>
    <w:rsid w:val="00147474"/>
    <w:rsid w:val="001506D0"/>
    <w:rsid w:val="00157F61"/>
    <w:rsid w:val="00165309"/>
    <w:rsid w:val="00165BDB"/>
    <w:rsid w:val="001760BB"/>
    <w:rsid w:val="001851CD"/>
    <w:rsid w:val="00185834"/>
    <w:rsid w:val="00191FB3"/>
    <w:rsid w:val="001A23C3"/>
    <w:rsid w:val="001B1155"/>
    <w:rsid w:val="001B2098"/>
    <w:rsid w:val="001B3E3F"/>
    <w:rsid w:val="001C550D"/>
    <w:rsid w:val="001C56D7"/>
    <w:rsid w:val="001C5F9E"/>
    <w:rsid w:val="001D3B47"/>
    <w:rsid w:val="001D5314"/>
    <w:rsid w:val="001E2273"/>
    <w:rsid w:val="001E2D2A"/>
    <w:rsid w:val="001F1BEB"/>
    <w:rsid w:val="001F1E0D"/>
    <w:rsid w:val="001F2CB5"/>
    <w:rsid w:val="001F3680"/>
    <w:rsid w:val="001F4A9A"/>
    <w:rsid w:val="001F4BA2"/>
    <w:rsid w:val="001F6B95"/>
    <w:rsid w:val="001F7103"/>
    <w:rsid w:val="001F7D27"/>
    <w:rsid w:val="00200005"/>
    <w:rsid w:val="00200754"/>
    <w:rsid w:val="00203893"/>
    <w:rsid w:val="002067E7"/>
    <w:rsid w:val="0020708D"/>
    <w:rsid w:val="00207F36"/>
    <w:rsid w:val="0021621B"/>
    <w:rsid w:val="00216D65"/>
    <w:rsid w:val="002201BD"/>
    <w:rsid w:val="00222E7E"/>
    <w:rsid w:val="0022570E"/>
    <w:rsid w:val="00233490"/>
    <w:rsid w:val="00241A0B"/>
    <w:rsid w:val="00242DCE"/>
    <w:rsid w:val="00242F5E"/>
    <w:rsid w:val="002528AF"/>
    <w:rsid w:val="00253F1E"/>
    <w:rsid w:val="002607CE"/>
    <w:rsid w:val="0026397E"/>
    <w:rsid w:val="0026630F"/>
    <w:rsid w:val="002733B5"/>
    <w:rsid w:val="00273498"/>
    <w:rsid w:val="00280CDF"/>
    <w:rsid w:val="00284191"/>
    <w:rsid w:val="002A1D9C"/>
    <w:rsid w:val="002B2E3D"/>
    <w:rsid w:val="002D112D"/>
    <w:rsid w:val="002D4588"/>
    <w:rsid w:val="002D51C7"/>
    <w:rsid w:val="002E17F2"/>
    <w:rsid w:val="002E1CDC"/>
    <w:rsid w:val="002E206C"/>
    <w:rsid w:val="002E7AF4"/>
    <w:rsid w:val="002F1F6F"/>
    <w:rsid w:val="002F4936"/>
    <w:rsid w:val="002F4D70"/>
    <w:rsid w:val="003002AF"/>
    <w:rsid w:val="00307E33"/>
    <w:rsid w:val="003320F9"/>
    <w:rsid w:val="00333270"/>
    <w:rsid w:val="003464FB"/>
    <w:rsid w:val="003625DB"/>
    <w:rsid w:val="003668E8"/>
    <w:rsid w:val="0037137C"/>
    <w:rsid w:val="00375D5C"/>
    <w:rsid w:val="00380F8C"/>
    <w:rsid w:val="003823F1"/>
    <w:rsid w:val="00387DE3"/>
    <w:rsid w:val="003A73CB"/>
    <w:rsid w:val="003B3880"/>
    <w:rsid w:val="003C21FC"/>
    <w:rsid w:val="003D14DD"/>
    <w:rsid w:val="003D4D64"/>
    <w:rsid w:val="003F09E2"/>
    <w:rsid w:val="003F147A"/>
    <w:rsid w:val="003F1B87"/>
    <w:rsid w:val="00402219"/>
    <w:rsid w:val="00410055"/>
    <w:rsid w:val="004163DB"/>
    <w:rsid w:val="00420816"/>
    <w:rsid w:val="0042324E"/>
    <w:rsid w:val="00436F3A"/>
    <w:rsid w:val="00436F78"/>
    <w:rsid w:val="004429F0"/>
    <w:rsid w:val="00444C1F"/>
    <w:rsid w:val="00447937"/>
    <w:rsid w:val="00452244"/>
    <w:rsid w:val="00454210"/>
    <w:rsid w:val="00461DBA"/>
    <w:rsid w:val="004623B7"/>
    <w:rsid w:val="004741FF"/>
    <w:rsid w:val="00475B7C"/>
    <w:rsid w:val="004767D7"/>
    <w:rsid w:val="00485284"/>
    <w:rsid w:val="00493AA7"/>
    <w:rsid w:val="004948A3"/>
    <w:rsid w:val="0049639D"/>
    <w:rsid w:val="00496AAC"/>
    <w:rsid w:val="00497DCA"/>
    <w:rsid w:val="004A014E"/>
    <w:rsid w:val="004A1513"/>
    <w:rsid w:val="004A21BB"/>
    <w:rsid w:val="004A35A4"/>
    <w:rsid w:val="004A36ED"/>
    <w:rsid w:val="004A37BC"/>
    <w:rsid w:val="004A51A4"/>
    <w:rsid w:val="004A7D8F"/>
    <w:rsid w:val="004B2D19"/>
    <w:rsid w:val="004B2E86"/>
    <w:rsid w:val="004B3B11"/>
    <w:rsid w:val="004C088D"/>
    <w:rsid w:val="004C6240"/>
    <w:rsid w:val="004D1F9D"/>
    <w:rsid w:val="004D3FE4"/>
    <w:rsid w:val="004D6161"/>
    <w:rsid w:val="004D7079"/>
    <w:rsid w:val="004E079B"/>
    <w:rsid w:val="004E6EE6"/>
    <w:rsid w:val="004F36C0"/>
    <w:rsid w:val="004F74D9"/>
    <w:rsid w:val="00500373"/>
    <w:rsid w:val="0050179F"/>
    <w:rsid w:val="005144DF"/>
    <w:rsid w:val="00525BBB"/>
    <w:rsid w:val="00526AD5"/>
    <w:rsid w:val="005356D7"/>
    <w:rsid w:val="00535EE0"/>
    <w:rsid w:val="00540904"/>
    <w:rsid w:val="00544CAD"/>
    <w:rsid w:val="0055180C"/>
    <w:rsid w:val="00557CFE"/>
    <w:rsid w:val="00561F13"/>
    <w:rsid w:val="00565CA2"/>
    <w:rsid w:val="00570759"/>
    <w:rsid w:val="00573084"/>
    <w:rsid w:val="00574D0E"/>
    <w:rsid w:val="00576990"/>
    <w:rsid w:val="005815CC"/>
    <w:rsid w:val="00583AB7"/>
    <w:rsid w:val="00583C3C"/>
    <w:rsid w:val="005910E6"/>
    <w:rsid w:val="0059706A"/>
    <w:rsid w:val="005B241E"/>
    <w:rsid w:val="005B35E2"/>
    <w:rsid w:val="005B38D2"/>
    <w:rsid w:val="005B751E"/>
    <w:rsid w:val="005C07B3"/>
    <w:rsid w:val="005C410C"/>
    <w:rsid w:val="005C557B"/>
    <w:rsid w:val="005D4A36"/>
    <w:rsid w:val="005D75BD"/>
    <w:rsid w:val="005D7DDA"/>
    <w:rsid w:val="005E2D06"/>
    <w:rsid w:val="005E50ED"/>
    <w:rsid w:val="005E579B"/>
    <w:rsid w:val="005F42BB"/>
    <w:rsid w:val="005F583F"/>
    <w:rsid w:val="0060077B"/>
    <w:rsid w:val="00600936"/>
    <w:rsid w:val="00603A84"/>
    <w:rsid w:val="00605A8E"/>
    <w:rsid w:val="00611122"/>
    <w:rsid w:val="0061363D"/>
    <w:rsid w:val="00615804"/>
    <w:rsid w:val="00620446"/>
    <w:rsid w:val="00620535"/>
    <w:rsid w:val="00640247"/>
    <w:rsid w:val="00640C18"/>
    <w:rsid w:val="00650654"/>
    <w:rsid w:val="00650F27"/>
    <w:rsid w:val="00671082"/>
    <w:rsid w:val="00677D39"/>
    <w:rsid w:val="006842E2"/>
    <w:rsid w:val="0069095B"/>
    <w:rsid w:val="006944C8"/>
    <w:rsid w:val="006A2E8E"/>
    <w:rsid w:val="006A38FB"/>
    <w:rsid w:val="006A5C56"/>
    <w:rsid w:val="006A7E94"/>
    <w:rsid w:val="006B2532"/>
    <w:rsid w:val="006B3605"/>
    <w:rsid w:val="006B3635"/>
    <w:rsid w:val="006B4041"/>
    <w:rsid w:val="006B599E"/>
    <w:rsid w:val="006C2F3C"/>
    <w:rsid w:val="006C5BA2"/>
    <w:rsid w:val="006C7A5B"/>
    <w:rsid w:val="006D4E22"/>
    <w:rsid w:val="006D6195"/>
    <w:rsid w:val="006E083F"/>
    <w:rsid w:val="006E137D"/>
    <w:rsid w:val="006E1A45"/>
    <w:rsid w:val="006E6EF4"/>
    <w:rsid w:val="006E78D1"/>
    <w:rsid w:val="006F184B"/>
    <w:rsid w:val="006F2A58"/>
    <w:rsid w:val="006F2A67"/>
    <w:rsid w:val="006F474F"/>
    <w:rsid w:val="0070405E"/>
    <w:rsid w:val="00704376"/>
    <w:rsid w:val="00705547"/>
    <w:rsid w:val="00710D99"/>
    <w:rsid w:val="007155F7"/>
    <w:rsid w:val="00716674"/>
    <w:rsid w:val="00716837"/>
    <w:rsid w:val="00721120"/>
    <w:rsid w:val="00723AFA"/>
    <w:rsid w:val="0073133B"/>
    <w:rsid w:val="0073203E"/>
    <w:rsid w:val="007371E9"/>
    <w:rsid w:val="00740839"/>
    <w:rsid w:val="00741CCD"/>
    <w:rsid w:val="00745E7B"/>
    <w:rsid w:val="00753389"/>
    <w:rsid w:val="0075467B"/>
    <w:rsid w:val="007548E0"/>
    <w:rsid w:val="00760851"/>
    <w:rsid w:val="007611C9"/>
    <w:rsid w:val="0076315C"/>
    <w:rsid w:val="007661AF"/>
    <w:rsid w:val="00770570"/>
    <w:rsid w:val="007712B6"/>
    <w:rsid w:val="00776C99"/>
    <w:rsid w:val="0078194C"/>
    <w:rsid w:val="00787297"/>
    <w:rsid w:val="007902C9"/>
    <w:rsid w:val="007941FB"/>
    <w:rsid w:val="00794258"/>
    <w:rsid w:val="007A6BF3"/>
    <w:rsid w:val="007B35CC"/>
    <w:rsid w:val="007C4F76"/>
    <w:rsid w:val="007C5BBF"/>
    <w:rsid w:val="007D25B7"/>
    <w:rsid w:val="007D4268"/>
    <w:rsid w:val="007D6989"/>
    <w:rsid w:val="007E0A83"/>
    <w:rsid w:val="007E1935"/>
    <w:rsid w:val="007E1C3B"/>
    <w:rsid w:val="007E5103"/>
    <w:rsid w:val="007F663B"/>
    <w:rsid w:val="00804A6E"/>
    <w:rsid w:val="008064BF"/>
    <w:rsid w:val="0080707B"/>
    <w:rsid w:val="00807A26"/>
    <w:rsid w:val="00807B34"/>
    <w:rsid w:val="008105B5"/>
    <w:rsid w:val="008131A5"/>
    <w:rsid w:val="008318DB"/>
    <w:rsid w:val="00835376"/>
    <w:rsid w:val="00836842"/>
    <w:rsid w:val="008453D7"/>
    <w:rsid w:val="0085698D"/>
    <w:rsid w:val="00865894"/>
    <w:rsid w:val="0087129A"/>
    <w:rsid w:val="00873908"/>
    <w:rsid w:val="00873D47"/>
    <w:rsid w:val="008807E4"/>
    <w:rsid w:val="00880951"/>
    <w:rsid w:val="008918FC"/>
    <w:rsid w:val="00892F4F"/>
    <w:rsid w:val="008A7D13"/>
    <w:rsid w:val="008B31D4"/>
    <w:rsid w:val="008B5894"/>
    <w:rsid w:val="008B6E88"/>
    <w:rsid w:val="008C3AED"/>
    <w:rsid w:val="008D0190"/>
    <w:rsid w:val="008D2A59"/>
    <w:rsid w:val="008E097A"/>
    <w:rsid w:val="008E57CE"/>
    <w:rsid w:val="008E5AF0"/>
    <w:rsid w:val="008F14D2"/>
    <w:rsid w:val="008F2E64"/>
    <w:rsid w:val="008F4CB1"/>
    <w:rsid w:val="008F52DF"/>
    <w:rsid w:val="008F57F0"/>
    <w:rsid w:val="00917070"/>
    <w:rsid w:val="009203D5"/>
    <w:rsid w:val="00920AD9"/>
    <w:rsid w:val="00921106"/>
    <w:rsid w:val="00921AEA"/>
    <w:rsid w:val="00921D68"/>
    <w:rsid w:val="00925F58"/>
    <w:rsid w:val="00930198"/>
    <w:rsid w:val="0093679C"/>
    <w:rsid w:val="00942162"/>
    <w:rsid w:val="0094462E"/>
    <w:rsid w:val="00946C59"/>
    <w:rsid w:val="0095323B"/>
    <w:rsid w:val="00953462"/>
    <w:rsid w:val="009536BF"/>
    <w:rsid w:val="0095782B"/>
    <w:rsid w:val="00962398"/>
    <w:rsid w:val="00964A0C"/>
    <w:rsid w:val="00965B8A"/>
    <w:rsid w:val="00991A32"/>
    <w:rsid w:val="00995AE1"/>
    <w:rsid w:val="009A2325"/>
    <w:rsid w:val="009A3ED1"/>
    <w:rsid w:val="009B3C42"/>
    <w:rsid w:val="009C0D41"/>
    <w:rsid w:val="009C3DD5"/>
    <w:rsid w:val="009D097A"/>
    <w:rsid w:val="009D2204"/>
    <w:rsid w:val="009E18FD"/>
    <w:rsid w:val="009E300D"/>
    <w:rsid w:val="009F0174"/>
    <w:rsid w:val="009F251F"/>
    <w:rsid w:val="00A00790"/>
    <w:rsid w:val="00A070DF"/>
    <w:rsid w:val="00A13DE1"/>
    <w:rsid w:val="00A14BEA"/>
    <w:rsid w:val="00A20704"/>
    <w:rsid w:val="00A20781"/>
    <w:rsid w:val="00A21CC5"/>
    <w:rsid w:val="00A22109"/>
    <w:rsid w:val="00A2216F"/>
    <w:rsid w:val="00A23579"/>
    <w:rsid w:val="00A30855"/>
    <w:rsid w:val="00A3113F"/>
    <w:rsid w:val="00A31EAA"/>
    <w:rsid w:val="00A37CC3"/>
    <w:rsid w:val="00A405EF"/>
    <w:rsid w:val="00A468F0"/>
    <w:rsid w:val="00A53351"/>
    <w:rsid w:val="00A539B7"/>
    <w:rsid w:val="00A61857"/>
    <w:rsid w:val="00A651C3"/>
    <w:rsid w:val="00A658DC"/>
    <w:rsid w:val="00A65B96"/>
    <w:rsid w:val="00A66DED"/>
    <w:rsid w:val="00A71BCE"/>
    <w:rsid w:val="00A76E7F"/>
    <w:rsid w:val="00A84A4A"/>
    <w:rsid w:val="00A87A8E"/>
    <w:rsid w:val="00A91A9D"/>
    <w:rsid w:val="00A9322D"/>
    <w:rsid w:val="00A953F9"/>
    <w:rsid w:val="00A97739"/>
    <w:rsid w:val="00AA138D"/>
    <w:rsid w:val="00AC66CB"/>
    <w:rsid w:val="00AC6BFB"/>
    <w:rsid w:val="00AD0BE0"/>
    <w:rsid w:val="00AD158F"/>
    <w:rsid w:val="00AD31AE"/>
    <w:rsid w:val="00AD343C"/>
    <w:rsid w:val="00AD3932"/>
    <w:rsid w:val="00AD56D7"/>
    <w:rsid w:val="00AE0323"/>
    <w:rsid w:val="00AE0F72"/>
    <w:rsid w:val="00AE11A0"/>
    <w:rsid w:val="00AE578F"/>
    <w:rsid w:val="00AE6B09"/>
    <w:rsid w:val="00AF0981"/>
    <w:rsid w:val="00AF19FA"/>
    <w:rsid w:val="00AF3E58"/>
    <w:rsid w:val="00AF49AF"/>
    <w:rsid w:val="00B011FF"/>
    <w:rsid w:val="00B0163D"/>
    <w:rsid w:val="00B02ECD"/>
    <w:rsid w:val="00B04209"/>
    <w:rsid w:val="00B054CC"/>
    <w:rsid w:val="00B07707"/>
    <w:rsid w:val="00B1038D"/>
    <w:rsid w:val="00B14DAE"/>
    <w:rsid w:val="00B168D6"/>
    <w:rsid w:val="00B32DDA"/>
    <w:rsid w:val="00B34CB4"/>
    <w:rsid w:val="00B40527"/>
    <w:rsid w:val="00B54B5D"/>
    <w:rsid w:val="00B5750D"/>
    <w:rsid w:val="00B67A90"/>
    <w:rsid w:val="00B72865"/>
    <w:rsid w:val="00B72C90"/>
    <w:rsid w:val="00B72F67"/>
    <w:rsid w:val="00B76CC5"/>
    <w:rsid w:val="00B7759F"/>
    <w:rsid w:val="00B815A3"/>
    <w:rsid w:val="00B85072"/>
    <w:rsid w:val="00B85948"/>
    <w:rsid w:val="00B85C06"/>
    <w:rsid w:val="00B906AE"/>
    <w:rsid w:val="00B934CA"/>
    <w:rsid w:val="00B94D38"/>
    <w:rsid w:val="00B96038"/>
    <w:rsid w:val="00B96783"/>
    <w:rsid w:val="00BA1FF4"/>
    <w:rsid w:val="00BA60BC"/>
    <w:rsid w:val="00BA6F8C"/>
    <w:rsid w:val="00BB55D7"/>
    <w:rsid w:val="00BC3A36"/>
    <w:rsid w:val="00BD1A1E"/>
    <w:rsid w:val="00BD50D3"/>
    <w:rsid w:val="00BD5682"/>
    <w:rsid w:val="00BE317B"/>
    <w:rsid w:val="00BE49F5"/>
    <w:rsid w:val="00BE66EA"/>
    <w:rsid w:val="00C00457"/>
    <w:rsid w:val="00C03420"/>
    <w:rsid w:val="00C1356D"/>
    <w:rsid w:val="00C16285"/>
    <w:rsid w:val="00C202F8"/>
    <w:rsid w:val="00C27E8D"/>
    <w:rsid w:val="00C31752"/>
    <w:rsid w:val="00C32B5C"/>
    <w:rsid w:val="00C3357E"/>
    <w:rsid w:val="00C367F5"/>
    <w:rsid w:val="00C4077F"/>
    <w:rsid w:val="00C43724"/>
    <w:rsid w:val="00C47B4D"/>
    <w:rsid w:val="00C511A0"/>
    <w:rsid w:val="00C5260E"/>
    <w:rsid w:val="00C566C8"/>
    <w:rsid w:val="00C61C41"/>
    <w:rsid w:val="00C667D6"/>
    <w:rsid w:val="00C721F1"/>
    <w:rsid w:val="00C72F5F"/>
    <w:rsid w:val="00C82CD1"/>
    <w:rsid w:val="00C91034"/>
    <w:rsid w:val="00C96653"/>
    <w:rsid w:val="00CB1341"/>
    <w:rsid w:val="00CB5271"/>
    <w:rsid w:val="00CC13E6"/>
    <w:rsid w:val="00CC6D77"/>
    <w:rsid w:val="00D00247"/>
    <w:rsid w:val="00D01D71"/>
    <w:rsid w:val="00D15D0D"/>
    <w:rsid w:val="00D21260"/>
    <w:rsid w:val="00D22357"/>
    <w:rsid w:val="00D22B0A"/>
    <w:rsid w:val="00D237B3"/>
    <w:rsid w:val="00D30BA9"/>
    <w:rsid w:val="00D30E32"/>
    <w:rsid w:val="00D370F7"/>
    <w:rsid w:val="00D37C42"/>
    <w:rsid w:val="00D468ED"/>
    <w:rsid w:val="00D54184"/>
    <w:rsid w:val="00D542CC"/>
    <w:rsid w:val="00D55F2A"/>
    <w:rsid w:val="00D600ED"/>
    <w:rsid w:val="00D62B3E"/>
    <w:rsid w:val="00D65D35"/>
    <w:rsid w:val="00D66771"/>
    <w:rsid w:val="00D73EF4"/>
    <w:rsid w:val="00D7404D"/>
    <w:rsid w:val="00D7440E"/>
    <w:rsid w:val="00D92D78"/>
    <w:rsid w:val="00D95565"/>
    <w:rsid w:val="00D95EDB"/>
    <w:rsid w:val="00D975E7"/>
    <w:rsid w:val="00DA0117"/>
    <w:rsid w:val="00DA6C05"/>
    <w:rsid w:val="00DB03BF"/>
    <w:rsid w:val="00DB092D"/>
    <w:rsid w:val="00DB3678"/>
    <w:rsid w:val="00DB6999"/>
    <w:rsid w:val="00DB6B4E"/>
    <w:rsid w:val="00DB7F1D"/>
    <w:rsid w:val="00DC1E58"/>
    <w:rsid w:val="00DC347E"/>
    <w:rsid w:val="00DC3E07"/>
    <w:rsid w:val="00DD2F2C"/>
    <w:rsid w:val="00DD40A2"/>
    <w:rsid w:val="00DD65CF"/>
    <w:rsid w:val="00DE39BD"/>
    <w:rsid w:val="00DE4BB8"/>
    <w:rsid w:val="00DE4CEC"/>
    <w:rsid w:val="00DE62B2"/>
    <w:rsid w:val="00DE737D"/>
    <w:rsid w:val="00DF03C3"/>
    <w:rsid w:val="00DF2363"/>
    <w:rsid w:val="00DF6776"/>
    <w:rsid w:val="00DF7473"/>
    <w:rsid w:val="00E00986"/>
    <w:rsid w:val="00E01336"/>
    <w:rsid w:val="00E04C7C"/>
    <w:rsid w:val="00E06FD4"/>
    <w:rsid w:val="00E0736B"/>
    <w:rsid w:val="00E07A98"/>
    <w:rsid w:val="00E07AD6"/>
    <w:rsid w:val="00E27191"/>
    <w:rsid w:val="00E310B6"/>
    <w:rsid w:val="00E310C4"/>
    <w:rsid w:val="00E33024"/>
    <w:rsid w:val="00E34D58"/>
    <w:rsid w:val="00E3634A"/>
    <w:rsid w:val="00E54D12"/>
    <w:rsid w:val="00E62C41"/>
    <w:rsid w:val="00E73F40"/>
    <w:rsid w:val="00E74538"/>
    <w:rsid w:val="00E82ACD"/>
    <w:rsid w:val="00E87713"/>
    <w:rsid w:val="00E927BD"/>
    <w:rsid w:val="00E967CA"/>
    <w:rsid w:val="00EA2E58"/>
    <w:rsid w:val="00EA3DC5"/>
    <w:rsid w:val="00EB09C7"/>
    <w:rsid w:val="00EB34CB"/>
    <w:rsid w:val="00EB4F14"/>
    <w:rsid w:val="00EB5A84"/>
    <w:rsid w:val="00EC2EE6"/>
    <w:rsid w:val="00EC2FB7"/>
    <w:rsid w:val="00ED0E12"/>
    <w:rsid w:val="00ED7260"/>
    <w:rsid w:val="00ED7C7B"/>
    <w:rsid w:val="00EF190D"/>
    <w:rsid w:val="00EF5D38"/>
    <w:rsid w:val="00F0268E"/>
    <w:rsid w:val="00F04525"/>
    <w:rsid w:val="00F21686"/>
    <w:rsid w:val="00F23D86"/>
    <w:rsid w:val="00F24E07"/>
    <w:rsid w:val="00F27F5C"/>
    <w:rsid w:val="00F307E5"/>
    <w:rsid w:val="00F32051"/>
    <w:rsid w:val="00F3562B"/>
    <w:rsid w:val="00F416EB"/>
    <w:rsid w:val="00F432FD"/>
    <w:rsid w:val="00F43D07"/>
    <w:rsid w:val="00F463A4"/>
    <w:rsid w:val="00F46714"/>
    <w:rsid w:val="00F538ED"/>
    <w:rsid w:val="00F53E7F"/>
    <w:rsid w:val="00F5796B"/>
    <w:rsid w:val="00F63077"/>
    <w:rsid w:val="00F67272"/>
    <w:rsid w:val="00F80808"/>
    <w:rsid w:val="00F87819"/>
    <w:rsid w:val="00FB13F5"/>
    <w:rsid w:val="00FB272C"/>
    <w:rsid w:val="00FB73E3"/>
    <w:rsid w:val="00FC2F9E"/>
    <w:rsid w:val="00FC5007"/>
    <w:rsid w:val="00FD46C4"/>
    <w:rsid w:val="00FE4BA6"/>
    <w:rsid w:val="00FF0CB5"/>
    <w:rsid w:val="00FF0D8B"/>
    <w:rsid w:val="00FF123D"/>
    <w:rsid w:val="00FF7D1D"/>
    <w:rsid w:val="01040F3D"/>
    <w:rsid w:val="016C598B"/>
    <w:rsid w:val="01A44C19"/>
    <w:rsid w:val="01F05602"/>
    <w:rsid w:val="01FC1380"/>
    <w:rsid w:val="02281E18"/>
    <w:rsid w:val="02730B4E"/>
    <w:rsid w:val="02782911"/>
    <w:rsid w:val="02804E3E"/>
    <w:rsid w:val="02996022"/>
    <w:rsid w:val="02AE0BA7"/>
    <w:rsid w:val="02B43BDB"/>
    <w:rsid w:val="02DA586A"/>
    <w:rsid w:val="02FB6972"/>
    <w:rsid w:val="035D4EE6"/>
    <w:rsid w:val="036136B2"/>
    <w:rsid w:val="038C34E2"/>
    <w:rsid w:val="03907CE9"/>
    <w:rsid w:val="039D6E6C"/>
    <w:rsid w:val="03A03015"/>
    <w:rsid w:val="03A82287"/>
    <w:rsid w:val="03C076C5"/>
    <w:rsid w:val="03DD1CE2"/>
    <w:rsid w:val="04021749"/>
    <w:rsid w:val="0410030A"/>
    <w:rsid w:val="04182012"/>
    <w:rsid w:val="04202010"/>
    <w:rsid w:val="045E73E2"/>
    <w:rsid w:val="04720FA7"/>
    <w:rsid w:val="047836C9"/>
    <w:rsid w:val="04784E8E"/>
    <w:rsid w:val="04B016C5"/>
    <w:rsid w:val="04BE5F43"/>
    <w:rsid w:val="04C410F4"/>
    <w:rsid w:val="04E52B74"/>
    <w:rsid w:val="05051A69"/>
    <w:rsid w:val="05105ABC"/>
    <w:rsid w:val="055C4004"/>
    <w:rsid w:val="05641330"/>
    <w:rsid w:val="05834B0B"/>
    <w:rsid w:val="05A72A8A"/>
    <w:rsid w:val="05FB7F06"/>
    <w:rsid w:val="061B11E8"/>
    <w:rsid w:val="06220C41"/>
    <w:rsid w:val="06897A1E"/>
    <w:rsid w:val="068A3FD8"/>
    <w:rsid w:val="06BA0BB0"/>
    <w:rsid w:val="06ED4906"/>
    <w:rsid w:val="07057DF9"/>
    <w:rsid w:val="0717505A"/>
    <w:rsid w:val="073A6B45"/>
    <w:rsid w:val="07674003"/>
    <w:rsid w:val="076D718A"/>
    <w:rsid w:val="076D7C92"/>
    <w:rsid w:val="076E6A49"/>
    <w:rsid w:val="080C0DE8"/>
    <w:rsid w:val="082D3CA7"/>
    <w:rsid w:val="083C2780"/>
    <w:rsid w:val="09007836"/>
    <w:rsid w:val="090B4217"/>
    <w:rsid w:val="0950497D"/>
    <w:rsid w:val="09B07FCC"/>
    <w:rsid w:val="09C52889"/>
    <w:rsid w:val="09EC7082"/>
    <w:rsid w:val="0A1650B1"/>
    <w:rsid w:val="0A6760F7"/>
    <w:rsid w:val="0A7D5EC4"/>
    <w:rsid w:val="0AA2244C"/>
    <w:rsid w:val="0AA35B7C"/>
    <w:rsid w:val="0AB05A11"/>
    <w:rsid w:val="0AC46695"/>
    <w:rsid w:val="0AD162C8"/>
    <w:rsid w:val="0B0C505A"/>
    <w:rsid w:val="0B1269E0"/>
    <w:rsid w:val="0B2703F5"/>
    <w:rsid w:val="0B457BF1"/>
    <w:rsid w:val="0B477AE3"/>
    <w:rsid w:val="0B780D41"/>
    <w:rsid w:val="0B7B00AA"/>
    <w:rsid w:val="0B9C2483"/>
    <w:rsid w:val="0BB80CF3"/>
    <w:rsid w:val="0BBB7472"/>
    <w:rsid w:val="0BC425BC"/>
    <w:rsid w:val="0BD86884"/>
    <w:rsid w:val="0BF75E9F"/>
    <w:rsid w:val="0C39776B"/>
    <w:rsid w:val="0C595F76"/>
    <w:rsid w:val="0C83720D"/>
    <w:rsid w:val="0C840344"/>
    <w:rsid w:val="0C8B3330"/>
    <w:rsid w:val="0C912950"/>
    <w:rsid w:val="0C9560B9"/>
    <w:rsid w:val="0CDA6965"/>
    <w:rsid w:val="0D313210"/>
    <w:rsid w:val="0DF85768"/>
    <w:rsid w:val="0E0B0B35"/>
    <w:rsid w:val="0E5078F1"/>
    <w:rsid w:val="0E513122"/>
    <w:rsid w:val="0E6512EF"/>
    <w:rsid w:val="0E701B76"/>
    <w:rsid w:val="0EB27E50"/>
    <w:rsid w:val="0EF91916"/>
    <w:rsid w:val="0F031F8E"/>
    <w:rsid w:val="0F3964CF"/>
    <w:rsid w:val="0F44302E"/>
    <w:rsid w:val="0FA70EC2"/>
    <w:rsid w:val="0FBF32BD"/>
    <w:rsid w:val="10255218"/>
    <w:rsid w:val="107726B4"/>
    <w:rsid w:val="107D3DF2"/>
    <w:rsid w:val="10817E99"/>
    <w:rsid w:val="10873AA0"/>
    <w:rsid w:val="10A7712B"/>
    <w:rsid w:val="10AD7A83"/>
    <w:rsid w:val="10CE16F0"/>
    <w:rsid w:val="10DE3963"/>
    <w:rsid w:val="111D57F1"/>
    <w:rsid w:val="11647AB3"/>
    <w:rsid w:val="116B625C"/>
    <w:rsid w:val="1178129C"/>
    <w:rsid w:val="11A540E8"/>
    <w:rsid w:val="11B05311"/>
    <w:rsid w:val="11B2325A"/>
    <w:rsid w:val="11B834FB"/>
    <w:rsid w:val="11BF10E2"/>
    <w:rsid w:val="11D13123"/>
    <w:rsid w:val="11E84291"/>
    <w:rsid w:val="121671FD"/>
    <w:rsid w:val="12AF6A50"/>
    <w:rsid w:val="12BC13C9"/>
    <w:rsid w:val="13203999"/>
    <w:rsid w:val="133E6971"/>
    <w:rsid w:val="13753078"/>
    <w:rsid w:val="137B2F91"/>
    <w:rsid w:val="137B69A4"/>
    <w:rsid w:val="13A07FB8"/>
    <w:rsid w:val="13B44A71"/>
    <w:rsid w:val="13C612A2"/>
    <w:rsid w:val="13C770C5"/>
    <w:rsid w:val="13EB7A2E"/>
    <w:rsid w:val="13EE322D"/>
    <w:rsid w:val="14075D88"/>
    <w:rsid w:val="1419469F"/>
    <w:rsid w:val="142F3874"/>
    <w:rsid w:val="14305184"/>
    <w:rsid w:val="144D5946"/>
    <w:rsid w:val="148F0215"/>
    <w:rsid w:val="14DD5C5F"/>
    <w:rsid w:val="14E57FC7"/>
    <w:rsid w:val="14F64C3C"/>
    <w:rsid w:val="151B3C35"/>
    <w:rsid w:val="151F307B"/>
    <w:rsid w:val="15454A79"/>
    <w:rsid w:val="15996F12"/>
    <w:rsid w:val="15A43E12"/>
    <w:rsid w:val="15B6554E"/>
    <w:rsid w:val="15F67B8C"/>
    <w:rsid w:val="16215041"/>
    <w:rsid w:val="16246504"/>
    <w:rsid w:val="162B75F0"/>
    <w:rsid w:val="164A60F7"/>
    <w:rsid w:val="16CF49D1"/>
    <w:rsid w:val="173D0C2F"/>
    <w:rsid w:val="17457D60"/>
    <w:rsid w:val="1752472D"/>
    <w:rsid w:val="17585C1B"/>
    <w:rsid w:val="17592592"/>
    <w:rsid w:val="175950DD"/>
    <w:rsid w:val="1762699A"/>
    <w:rsid w:val="177714B3"/>
    <w:rsid w:val="178507E8"/>
    <w:rsid w:val="17980140"/>
    <w:rsid w:val="17C770E8"/>
    <w:rsid w:val="17CA5C62"/>
    <w:rsid w:val="17D76A21"/>
    <w:rsid w:val="181B499C"/>
    <w:rsid w:val="18256AAE"/>
    <w:rsid w:val="18405334"/>
    <w:rsid w:val="184718BA"/>
    <w:rsid w:val="18A80076"/>
    <w:rsid w:val="18F13FEB"/>
    <w:rsid w:val="18F86A36"/>
    <w:rsid w:val="191968ED"/>
    <w:rsid w:val="192969A1"/>
    <w:rsid w:val="193A3A77"/>
    <w:rsid w:val="193C52A5"/>
    <w:rsid w:val="194921AD"/>
    <w:rsid w:val="19B023B5"/>
    <w:rsid w:val="19CE73DF"/>
    <w:rsid w:val="19D61C87"/>
    <w:rsid w:val="19D66C97"/>
    <w:rsid w:val="19F11592"/>
    <w:rsid w:val="19F169E4"/>
    <w:rsid w:val="19FE64A1"/>
    <w:rsid w:val="1A3F5634"/>
    <w:rsid w:val="1A5D3A1B"/>
    <w:rsid w:val="1A67613F"/>
    <w:rsid w:val="1A6E3399"/>
    <w:rsid w:val="1AFE00F0"/>
    <w:rsid w:val="1B1B57EA"/>
    <w:rsid w:val="1B3E1AE1"/>
    <w:rsid w:val="1B5E3565"/>
    <w:rsid w:val="1BA703B6"/>
    <w:rsid w:val="1BDF655A"/>
    <w:rsid w:val="1C3A0BF5"/>
    <w:rsid w:val="1C4A6AA8"/>
    <w:rsid w:val="1C5404C7"/>
    <w:rsid w:val="1C7F4DF1"/>
    <w:rsid w:val="1C861887"/>
    <w:rsid w:val="1CAB015B"/>
    <w:rsid w:val="1CBF51D9"/>
    <w:rsid w:val="1CC94676"/>
    <w:rsid w:val="1D212928"/>
    <w:rsid w:val="1D562EAF"/>
    <w:rsid w:val="1D580A5C"/>
    <w:rsid w:val="1D8464D0"/>
    <w:rsid w:val="1DE82A8D"/>
    <w:rsid w:val="1DFB7937"/>
    <w:rsid w:val="1E420ECB"/>
    <w:rsid w:val="1E5673B0"/>
    <w:rsid w:val="1E7A0458"/>
    <w:rsid w:val="1E7C531E"/>
    <w:rsid w:val="1EA10ED2"/>
    <w:rsid w:val="1ED53077"/>
    <w:rsid w:val="1F2B6225"/>
    <w:rsid w:val="1F6E5A8A"/>
    <w:rsid w:val="1FC026DF"/>
    <w:rsid w:val="1FC27AD9"/>
    <w:rsid w:val="1FD652E0"/>
    <w:rsid w:val="1FDC4608"/>
    <w:rsid w:val="1FF45D70"/>
    <w:rsid w:val="20027ADC"/>
    <w:rsid w:val="20263DD7"/>
    <w:rsid w:val="209876F2"/>
    <w:rsid w:val="20BA2308"/>
    <w:rsid w:val="20E82B5C"/>
    <w:rsid w:val="21124245"/>
    <w:rsid w:val="212605C6"/>
    <w:rsid w:val="212C1E8A"/>
    <w:rsid w:val="214B1738"/>
    <w:rsid w:val="21553506"/>
    <w:rsid w:val="215E5A91"/>
    <w:rsid w:val="21883C68"/>
    <w:rsid w:val="21B46482"/>
    <w:rsid w:val="21C5025D"/>
    <w:rsid w:val="22070867"/>
    <w:rsid w:val="222C655A"/>
    <w:rsid w:val="22305A2C"/>
    <w:rsid w:val="224B48F4"/>
    <w:rsid w:val="22636AF6"/>
    <w:rsid w:val="22724CF4"/>
    <w:rsid w:val="228B1951"/>
    <w:rsid w:val="22E24B73"/>
    <w:rsid w:val="22E5732F"/>
    <w:rsid w:val="22F15D11"/>
    <w:rsid w:val="23295615"/>
    <w:rsid w:val="233861B1"/>
    <w:rsid w:val="23512A47"/>
    <w:rsid w:val="23566CAB"/>
    <w:rsid w:val="235A6465"/>
    <w:rsid w:val="23693835"/>
    <w:rsid w:val="239102A9"/>
    <w:rsid w:val="23B76B93"/>
    <w:rsid w:val="23BD6A2E"/>
    <w:rsid w:val="24041D15"/>
    <w:rsid w:val="24284C63"/>
    <w:rsid w:val="24483C47"/>
    <w:rsid w:val="247545BB"/>
    <w:rsid w:val="248875F1"/>
    <w:rsid w:val="24A33C20"/>
    <w:rsid w:val="24ED6E7E"/>
    <w:rsid w:val="252D4B50"/>
    <w:rsid w:val="25350686"/>
    <w:rsid w:val="25385CA8"/>
    <w:rsid w:val="253A6F0B"/>
    <w:rsid w:val="254A27CB"/>
    <w:rsid w:val="258C3732"/>
    <w:rsid w:val="25BA3CD4"/>
    <w:rsid w:val="25BB1EE5"/>
    <w:rsid w:val="25C95087"/>
    <w:rsid w:val="25F56916"/>
    <w:rsid w:val="25FC4084"/>
    <w:rsid w:val="261907DE"/>
    <w:rsid w:val="261A0FD0"/>
    <w:rsid w:val="261F3F85"/>
    <w:rsid w:val="26250090"/>
    <w:rsid w:val="263961B0"/>
    <w:rsid w:val="264C6457"/>
    <w:rsid w:val="268A3B90"/>
    <w:rsid w:val="26955894"/>
    <w:rsid w:val="269B65B1"/>
    <w:rsid w:val="26A61264"/>
    <w:rsid w:val="270214FB"/>
    <w:rsid w:val="27170E75"/>
    <w:rsid w:val="27363051"/>
    <w:rsid w:val="2738384B"/>
    <w:rsid w:val="276C4FA7"/>
    <w:rsid w:val="278C7FB2"/>
    <w:rsid w:val="27E46EC0"/>
    <w:rsid w:val="27E960E4"/>
    <w:rsid w:val="27EC1C6A"/>
    <w:rsid w:val="27FD1E5A"/>
    <w:rsid w:val="282450E6"/>
    <w:rsid w:val="28627A09"/>
    <w:rsid w:val="28632CA6"/>
    <w:rsid w:val="2892582F"/>
    <w:rsid w:val="28D62D2E"/>
    <w:rsid w:val="28E00C59"/>
    <w:rsid w:val="28E8751C"/>
    <w:rsid w:val="28FA731E"/>
    <w:rsid w:val="292A1264"/>
    <w:rsid w:val="293D5C6D"/>
    <w:rsid w:val="29A17554"/>
    <w:rsid w:val="29E337C3"/>
    <w:rsid w:val="2A992D6F"/>
    <w:rsid w:val="2B1E3D33"/>
    <w:rsid w:val="2B3B76C8"/>
    <w:rsid w:val="2B7705DA"/>
    <w:rsid w:val="2B8D35CE"/>
    <w:rsid w:val="2BD573A8"/>
    <w:rsid w:val="2BDF7F3D"/>
    <w:rsid w:val="2BEF6656"/>
    <w:rsid w:val="2C023311"/>
    <w:rsid w:val="2C5D463F"/>
    <w:rsid w:val="2C675F93"/>
    <w:rsid w:val="2C74104A"/>
    <w:rsid w:val="2C860728"/>
    <w:rsid w:val="2D005400"/>
    <w:rsid w:val="2D0307FF"/>
    <w:rsid w:val="2D7F540D"/>
    <w:rsid w:val="2D9E64E4"/>
    <w:rsid w:val="2D9F26B4"/>
    <w:rsid w:val="2DBA6664"/>
    <w:rsid w:val="2DBC0862"/>
    <w:rsid w:val="2DCB6061"/>
    <w:rsid w:val="2DD14A90"/>
    <w:rsid w:val="2DDD20B1"/>
    <w:rsid w:val="2DDE64D3"/>
    <w:rsid w:val="2DE404ED"/>
    <w:rsid w:val="2E06134E"/>
    <w:rsid w:val="2E0975FA"/>
    <w:rsid w:val="2E3276CC"/>
    <w:rsid w:val="2E497758"/>
    <w:rsid w:val="2E4F0B90"/>
    <w:rsid w:val="2E884DBD"/>
    <w:rsid w:val="2E927415"/>
    <w:rsid w:val="2EC639CA"/>
    <w:rsid w:val="2ED967F7"/>
    <w:rsid w:val="2F0463D7"/>
    <w:rsid w:val="2F9163F1"/>
    <w:rsid w:val="2F9F1464"/>
    <w:rsid w:val="2FBA1D25"/>
    <w:rsid w:val="2FCC2514"/>
    <w:rsid w:val="2FD528E1"/>
    <w:rsid w:val="2FE17DEF"/>
    <w:rsid w:val="2FE44793"/>
    <w:rsid w:val="304A4D2B"/>
    <w:rsid w:val="304B6179"/>
    <w:rsid w:val="306642A0"/>
    <w:rsid w:val="30672CAD"/>
    <w:rsid w:val="30690CAC"/>
    <w:rsid w:val="30CB1972"/>
    <w:rsid w:val="30F615E8"/>
    <w:rsid w:val="310928EC"/>
    <w:rsid w:val="31275049"/>
    <w:rsid w:val="313B3148"/>
    <w:rsid w:val="31943A79"/>
    <w:rsid w:val="31A474A0"/>
    <w:rsid w:val="32225010"/>
    <w:rsid w:val="32292975"/>
    <w:rsid w:val="323B617A"/>
    <w:rsid w:val="32E27442"/>
    <w:rsid w:val="32F12EDA"/>
    <w:rsid w:val="330C2FE5"/>
    <w:rsid w:val="3337770D"/>
    <w:rsid w:val="337F6C54"/>
    <w:rsid w:val="34356023"/>
    <w:rsid w:val="34380837"/>
    <w:rsid w:val="34601F84"/>
    <w:rsid w:val="34AB2EE3"/>
    <w:rsid w:val="34BB41D8"/>
    <w:rsid w:val="34D51635"/>
    <w:rsid w:val="34DB62C6"/>
    <w:rsid w:val="34F004D0"/>
    <w:rsid w:val="354506C1"/>
    <w:rsid w:val="35BE70BA"/>
    <w:rsid w:val="35FC5171"/>
    <w:rsid w:val="36297D28"/>
    <w:rsid w:val="363D3FA9"/>
    <w:rsid w:val="365D2943"/>
    <w:rsid w:val="36627C1C"/>
    <w:rsid w:val="368C7331"/>
    <w:rsid w:val="36A24542"/>
    <w:rsid w:val="36B30D09"/>
    <w:rsid w:val="36B35430"/>
    <w:rsid w:val="36C05A6F"/>
    <w:rsid w:val="36EA4253"/>
    <w:rsid w:val="36EB517A"/>
    <w:rsid w:val="36F37CCC"/>
    <w:rsid w:val="37365FC8"/>
    <w:rsid w:val="3742521C"/>
    <w:rsid w:val="375755A3"/>
    <w:rsid w:val="37622248"/>
    <w:rsid w:val="37651E5F"/>
    <w:rsid w:val="377D4B23"/>
    <w:rsid w:val="379A6359"/>
    <w:rsid w:val="379D386F"/>
    <w:rsid w:val="37A02A53"/>
    <w:rsid w:val="37A158B3"/>
    <w:rsid w:val="37BA23ED"/>
    <w:rsid w:val="37DC356E"/>
    <w:rsid w:val="382D7BA8"/>
    <w:rsid w:val="383D05B3"/>
    <w:rsid w:val="38A977CB"/>
    <w:rsid w:val="38D41207"/>
    <w:rsid w:val="38DB6A01"/>
    <w:rsid w:val="38EE1237"/>
    <w:rsid w:val="38FE10DB"/>
    <w:rsid w:val="392508B5"/>
    <w:rsid w:val="396C0E5F"/>
    <w:rsid w:val="397023DF"/>
    <w:rsid w:val="39973089"/>
    <w:rsid w:val="39A11DF0"/>
    <w:rsid w:val="39B442C9"/>
    <w:rsid w:val="39D55336"/>
    <w:rsid w:val="3A527F46"/>
    <w:rsid w:val="3A602421"/>
    <w:rsid w:val="3AB06E8F"/>
    <w:rsid w:val="3AB850BF"/>
    <w:rsid w:val="3AD83932"/>
    <w:rsid w:val="3B020534"/>
    <w:rsid w:val="3B082DE1"/>
    <w:rsid w:val="3B6339B0"/>
    <w:rsid w:val="3BB45412"/>
    <w:rsid w:val="3C197136"/>
    <w:rsid w:val="3C3F4234"/>
    <w:rsid w:val="3C8F01E3"/>
    <w:rsid w:val="3CBB7D27"/>
    <w:rsid w:val="3CD84DFD"/>
    <w:rsid w:val="3D097AE0"/>
    <w:rsid w:val="3D1F7089"/>
    <w:rsid w:val="3D2B2952"/>
    <w:rsid w:val="3DB90806"/>
    <w:rsid w:val="3DCD252E"/>
    <w:rsid w:val="3DF579B6"/>
    <w:rsid w:val="3DFC4C26"/>
    <w:rsid w:val="3E217D0D"/>
    <w:rsid w:val="3E8A0D21"/>
    <w:rsid w:val="3E9242B8"/>
    <w:rsid w:val="3EA72D25"/>
    <w:rsid w:val="3EB25BC0"/>
    <w:rsid w:val="3EC14BB5"/>
    <w:rsid w:val="3EC22FD8"/>
    <w:rsid w:val="3ED824E6"/>
    <w:rsid w:val="3EFB7DDE"/>
    <w:rsid w:val="3F0C10F2"/>
    <w:rsid w:val="3F295F8F"/>
    <w:rsid w:val="3F316284"/>
    <w:rsid w:val="3F473F41"/>
    <w:rsid w:val="3F54085F"/>
    <w:rsid w:val="400A462D"/>
    <w:rsid w:val="40480668"/>
    <w:rsid w:val="405014B2"/>
    <w:rsid w:val="408E3C29"/>
    <w:rsid w:val="40A46805"/>
    <w:rsid w:val="40B86CCE"/>
    <w:rsid w:val="40FB4314"/>
    <w:rsid w:val="41251757"/>
    <w:rsid w:val="413B6637"/>
    <w:rsid w:val="41420BAF"/>
    <w:rsid w:val="414A265C"/>
    <w:rsid w:val="416E47A3"/>
    <w:rsid w:val="418E016A"/>
    <w:rsid w:val="419E284F"/>
    <w:rsid w:val="41A559C4"/>
    <w:rsid w:val="41A63525"/>
    <w:rsid w:val="41A6740D"/>
    <w:rsid w:val="41BD5B26"/>
    <w:rsid w:val="41BF4342"/>
    <w:rsid w:val="41EB28B8"/>
    <w:rsid w:val="42042908"/>
    <w:rsid w:val="42481E26"/>
    <w:rsid w:val="4248354A"/>
    <w:rsid w:val="426E4FA6"/>
    <w:rsid w:val="42BE0B2D"/>
    <w:rsid w:val="42CA64C6"/>
    <w:rsid w:val="42D64093"/>
    <w:rsid w:val="42F13D7C"/>
    <w:rsid w:val="43017446"/>
    <w:rsid w:val="43514E9B"/>
    <w:rsid w:val="4374340D"/>
    <w:rsid w:val="438E1F8E"/>
    <w:rsid w:val="439001A2"/>
    <w:rsid w:val="43921851"/>
    <w:rsid w:val="43E17AFB"/>
    <w:rsid w:val="43F72029"/>
    <w:rsid w:val="44481602"/>
    <w:rsid w:val="445C4619"/>
    <w:rsid w:val="447A2E29"/>
    <w:rsid w:val="44BA339E"/>
    <w:rsid w:val="44C81CBC"/>
    <w:rsid w:val="44E63F11"/>
    <w:rsid w:val="44EC7B8A"/>
    <w:rsid w:val="44F713F9"/>
    <w:rsid w:val="453D4248"/>
    <w:rsid w:val="45501E30"/>
    <w:rsid w:val="456F54A0"/>
    <w:rsid w:val="45922A60"/>
    <w:rsid w:val="45981931"/>
    <w:rsid w:val="45B26795"/>
    <w:rsid w:val="45CA61C0"/>
    <w:rsid w:val="46096B4C"/>
    <w:rsid w:val="460D3F82"/>
    <w:rsid w:val="460E6ADA"/>
    <w:rsid w:val="461A365F"/>
    <w:rsid w:val="461C0E6B"/>
    <w:rsid w:val="46223900"/>
    <w:rsid w:val="46376FA1"/>
    <w:rsid w:val="466205C1"/>
    <w:rsid w:val="466E2692"/>
    <w:rsid w:val="46900302"/>
    <w:rsid w:val="46994FB3"/>
    <w:rsid w:val="46BD0F24"/>
    <w:rsid w:val="46C1535D"/>
    <w:rsid w:val="46CD74C3"/>
    <w:rsid w:val="46D369F1"/>
    <w:rsid w:val="475F1FDB"/>
    <w:rsid w:val="47AE55D0"/>
    <w:rsid w:val="47B34397"/>
    <w:rsid w:val="47C17E97"/>
    <w:rsid w:val="47D95E3C"/>
    <w:rsid w:val="47E17FA6"/>
    <w:rsid w:val="47E21C9F"/>
    <w:rsid w:val="47E4742D"/>
    <w:rsid w:val="480B0DAE"/>
    <w:rsid w:val="481E3B56"/>
    <w:rsid w:val="481F65BA"/>
    <w:rsid w:val="482C4549"/>
    <w:rsid w:val="482E34C4"/>
    <w:rsid w:val="48487CBA"/>
    <w:rsid w:val="484D3898"/>
    <w:rsid w:val="485964DD"/>
    <w:rsid w:val="48D21125"/>
    <w:rsid w:val="48EB4EAB"/>
    <w:rsid w:val="48F826E7"/>
    <w:rsid w:val="48FD0466"/>
    <w:rsid w:val="492769CD"/>
    <w:rsid w:val="493D6E42"/>
    <w:rsid w:val="494E60CC"/>
    <w:rsid w:val="49750488"/>
    <w:rsid w:val="497A4134"/>
    <w:rsid w:val="497D6B05"/>
    <w:rsid w:val="4A0744A5"/>
    <w:rsid w:val="4A187531"/>
    <w:rsid w:val="4A1B4D17"/>
    <w:rsid w:val="4A314F2F"/>
    <w:rsid w:val="4AA424DC"/>
    <w:rsid w:val="4AB90CD8"/>
    <w:rsid w:val="4ACF5316"/>
    <w:rsid w:val="4ACF7B0E"/>
    <w:rsid w:val="4AE178D7"/>
    <w:rsid w:val="4AE9338A"/>
    <w:rsid w:val="4AE971BA"/>
    <w:rsid w:val="4B107811"/>
    <w:rsid w:val="4B247248"/>
    <w:rsid w:val="4B41180F"/>
    <w:rsid w:val="4B7916E2"/>
    <w:rsid w:val="4BA1678D"/>
    <w:rsid w:val="4C363DE5"/>
    <w:rsid w:val="4C4B00D8"/>
    <w:rsid w:val="4C4F4E96"/>
    <w:rsid w:val="4C59168A"/>
    <w:rsid w:val="4C5A799D"/>
    <w:rsid w:val="4C8E1BB0"/>
    <w:rsid w:val="4CA20F3E"/>
    <w:rsid w:val="4CE43936"/>
    <w:rsid w:val="4CEB560A"/>
    <w:rsid w:val="4D560E2A"/>
    <w:rsid w:val="4DA439E6"/>
    <w:rsid w:val="4DC220CC"/>
    <w:rsid w:val="4DEC128C"/>
    <w:rsid w:val="4E01203E"/>
    <w:rsid w:val="4E17000C"/>
    <w:rsid w:val="4E27113D"/>
    <w:rsid w:val="4E27262F"/>
    <w:rsid w:val="4E4F4D84"/>
    <w:rsid w:val="4E512BEB"/>
    <w:rsid w:val="4E8462D1"/>
    <w:rsid w:val="4EC943C1"/>
    <w:rsid w:val="4F146282"/>
    <w:rsid w:val="4F3957E1"/>
    <w:rsid w:val="4F4904FC"/>
    <w:rsid w:val="4F570695"/>
    <w:rsid w:val="4F813436"/>
    <w:rsid w:val="4FA23D3E"/>
    <w:rsid w:val="4FA4506A"/>
    <w:rsid w:val="4FA47EFB"/>
    <w:rsid w:val="4FBA2D1C"/>
    <w:rsid w:val="4FE75C10"/>
    <w:rsid w:val="5018303F"/>
    <w:rsid w:val="503568DC"/>
    <w:rsid w:val="504E6550"/>
    <w:rsid w:val="506D21BC"/>
    <w:rsid w:val="50C81B9F"/>
    <w:rsid w:val="50C90A9E"/>
    <w:rsid w:val="50DE1F51"/>
    <w:rsid w:val="510036E2"/>
    <w:rsid w:val="514A5D8C"/>
    <w:rsid w:val="514F7440"/>
    <w:rsid w:val="515E06CA"/>
    <w:rsid w:val="519F53DE"/>
    <w:rsid w:val="51B322FB"/>
    <w:rsid w:val="51CE2A40"/>
    <w:rsid w:val="51E443B5"/>
    <w:rsid w:val="51EB3B32"/>
    <w:rsid w:val="51EF690C"/>
    <w:rsid w:val="51F35131"/>
    <w:rsid w:val="51FF6894"/>
    <w:rsid w:val="52017B55"/>
    <w:rsid w:val="52065E75"/>
    <w:rsid w:val="521021FA"/>
    <w:rsid w:val="521C4C06"/>
    <w:rsid w:val="52207E87"/>
    <w:rsid w:val="523779FA"/>
    <w:rsid w:val="524E5A49"/>
    <w:rsid w:val="52592D53"/>
    <w:rsid w:val="5277652F"/>
    <w:rsid w:val="52797AEB"/>
    <w:rsid w:val="528D3881"/>
    <w:rsid w:val="52AA443D"/>
    <w:rsid w:val="52C03BC0"/>
    <w:rsid w:val="52E63C6D"/>
    <w:rsid w:val="53256170"/>
    <w:rsid w:val="53490926"/>
    <w:rsid w:val="53741C50"/>
    <w:rsid w:val="53FD6DD8"/>
    <w:rsid w:val="540207CC"/>
    <w:rsid w:val="547C2A67"/>
    <w:rsid w:val="5485303A"/>
    <w:rsid w:val="549419A8"/>
    <w:rsid w:val="549B2DCC"/>
    <w:rsid w:val="54B96050"/>
    <w:rsid w:val="54BF218D"/>
    <w:rsid w:val="54C0752E"/>
    <w:rsid w:val="54CB0FAE"/>
    <w:rsid w:val="551A39E5"/>
    <w:rsid w:val="55370B6A"/>
    <w:rsid w:val="554831E5"/>
    <w:rsid w:val="554937EA"/>
    <w:rsid w:val="555962BC"/>
    <w:rsid w:val="55611391"/>
    <w:rsid w:val="556A5CBE"/>
    <w:rsid w:val="55836E84"/>
    <w:rsid w:val="5586381E"/>
    <w:rsid w:val="55913CA7"/>
    <w:rsid w:val="55C02A5B"/>
    <w:rsid w:val="55DD6B65"/>
    <w:rsid w:val="55EF7B9C"/>
    <w:rsid w:val="56067AAE"/>
    <w:rsid w:val="562D579D"/>
    <w:rsid w:val="56334D9B"/>
    <w:rsid w:val="564A2DFD"/>
    <w:rsid w:val="565F311D"/>
    <w:rsid w:val="56A02C1A"/>
    <w:rsid w:val="56B2547E"/>
    <w:rsid w:val="56B40DF0"/>
    <w:rsid w:val="56BA0342"/>
    <w:rsid w:val="56D1132A"/>
    <w:rsid w:val="56D51D26"/>
    <w:rsid w:val="56F7150A"/>
    <w:rsid w:val="57110E13"/>
    <w:rsid w:val="572208C2"/>
    <w:rsid w:val="572C7E38"/>
    <w:rsid w:val="573A6270"/>
    <w:rsid w:val="573F3022"/>
    <w:rsid w:val="57496ED2"/>
    <w:rsid w:val="57517597"/>
    <w:rsid w:val="578C5D0A"/>
    <w:rsid w:val="57A35E67"/>
    <w:rsid w:val="57E435D3"/>
    <w:rsid w:val="57E66EE0"/>
    <w:rsid w:val="57E84EE4"/>
    <w:rsid w:val="57F6257E"/>
    <w:rsid w:val="580C3F21"/>
    <w:rsid w:val="582A0D1C"/>
    <w:rsid w:val="587D3252"/>
    <w:rsid w:val="59417793"/>
    <w:rsid w:val="594A49F2"/>
    <w:rsid w:val="596441BD"/>
    <w:rsid w:val="596E16DA"/>
    <w:rsid w:val="59B9665F"/>
    <w:rsid w:val="59CD66CB"/>
    <w:rsid w:val="59D404A5"/>
    <w:rsid w:val="59E11725"/>
    <w:rsid w:val="59E12B14"/>
    <w:rsid w:val="5A2A678D"/>
    <w:rsid w:val="5A497D74"/>
    <w:rsid w:val="5A4A526C"/>
    <w:rsid w:val="5A642574"/>
    <w:rsid w:val="5A862ED2"/>
    <w:rsid w:val="5ADD155C"/>
    <w:rsid w:val="5B123E3C"/>
    <w:rsid w:val="5B347268"/>
    <w:rsid w:val="5B4E4EDF"/>
    <w:rsid w:val="5B610AC1"/>
    <w:rsid w:val="5B975D01"/>
    <w:rsid w:val="5BE211D4"/>
    <w:rsid w:val="5C075D3F"/>
    <w:rsid w:val="5C4D5361"/>
    <w:rsid w:val="5C9A2BDD"/>
    <w:rsid w:val="5CA84CA0"/>
    <w:rsid w:val="5CB52FE3"/>
    <w:rsid w:val="5D7663B1"/>
    <w:rsid w:val="5D84494C"/>
    <w:rsid w:val="5DA12EF6"/>
    <w:rsid w:val="5DB85C0C"/>
    <w:rsid w:val="5DDD03F6"/>
    <w:rsid w:val="5E125634"/>
    <w:rsid w:val="5E211B9A"/>
    <w:rsid w:val="5E2D2AAB"/>
    <w:rsid w:val="5E3E4F9C"/>
    <w:rsid w:val="5E5F7EFF"/>
    <w:rsid w:val="5E852AA2"/>
    <w:rsid w:val="5EAA243A"/>
    <w:rsid w:val="5F465486"/>
    <w:rsid w:val="5FAE02EA"/>
    <w:rsid w:val="5FAE0844"/>
    <w:rsid w:val="5FB201B7"/>
    <w:rsid w:val="5FC33D40"/>
    <w:rsid w:val="600E256C"/>
    <w:rsid w:val="60504BE5"/>
    <w:rsid w:val="60885DEF"/>
    <w:rsid w:val="609B1E7E"/>
    <w:rsid w:val="609E019F"/>
    <w:rsid w:val="60F717AF"/>
    <w:rsid w:val="611320EE"/>
    <w:rsid w:val="6118527D"/>
    <w:rsid w:val="614A1E86"/>
    <w:rsid w:val="6187754F"/>
    <w:rsid w:val="6196168A"/>
    <w:rsid w:val="61BB680D"/>
    <w:rsid w:val="62446CE1"/>
    <w:rsid w:val="628B0BDD"/>
    <w:rsid w:val="62A61922"/>
    <w:rsid w:val="62AB7E18"/>
    <w:rsid w:val="62AF5C26"/>
    <w:rsid w:val="62C179AE"/>
    <w:rsid w:val="62EA6A21"/>
    <w:rsid w:val="632628FE"/>
    <w:rsid w:val="63336BF9"/>
    <w:rsid w:val="63466D54"/>
    <w:rsid w:val="636D5FE3"/>
    <w:rsid w:val="63A554F9"/>
    <w:rsid w:val="63DC4D40"/>
    <w:rsid w:val="64026E0A"/>
    <w:rsid w:val="64123725"/>
    <w:rsid w:val="64B61C4B"/>
    <w:rsid w:val="64FD2E57"/>
    <w:rsid w:val="65317EB6"/>
    <w:rsid w:val="6599316B"/>
    <w:rsid w:val="65BC3848"/>
    <w:rsid w:val="65ED38BC"/>
    <w:rsid w:val="66293A88"/>
    <w:rsid w:val="66426785"/>
    <w:rsid w:val="66A57F26"/>
    <w:rsid w:val="66C368F3"/>
    <w:rsid w:val="66CA04ED"/>
    <w:rsid w:val="6709001B"/>
    <w:rsid w:val="670E45ED"/>
    <w:rsid w:val="672B4F10"/>
    <w:rsid w:val="67357B7B"/>
    <w:rsid w:val="674E23C8"/>
    <w:rsid w:val="6799188A"/>
    <w:rsid w:val="679F4002"/>
    <w:rsid w:val="67C64BE2"/>
    <w:rsid w:val="67DF27CC"/>
    <w:rsid w:val="681B44B1"/>
    <w:rsid w:val="681E6D9B"/>
    <w:rsid w:val="682E182A"/>
    <w:rsid w:val="682E4F16"/>
    <w:rsid w:val="683C0E21"/>
    <w:rsid w:val="684810E9"/>
    <w:rsid w:val="686E4C94"/>
    <w:rsid w:val="6872383C"/>
    <w:rsid w:val="68975AA8"/>
    <w:rsid w:val="68A84030"/>
    <w:rsid w:val="68CD64C7"/>
    <w:rsid w:val="68CE6300"/>
    <w:rsid w:val="69554DFE"/>
    <w:rsid w:val="69795FF8"/>
    <w:rsid w:val="69B46512"/>
    <w:rsid w:val="6A167EE5"/>
    <w:rsid w:val="6A3249FB"/>
    <w:rsid w:val="6A354BC2"/>
    <w:rsid w:val="6A942D80"/>
    <w:rsid w:val="6AA95AEA"/>
    <w:rsid w:val="6AAE1571"/>
    <w:rsid w:val="6AB6548C"/>
    <w:rsid w:val="6AD01AEC"/>
    <w:rsid w:val="6AD61FEF"/>
    <w:rsid w:val="6AEF6525"/>
    <w:rsid w:val="6AF57B57"/>
    <w:rsid w:val="6B543EA0"/>
    <w:rsid w:val="6B62154F"/>
    <w:rsid w:val="6B6C3E79"/>
    <w:rsid w:val="6B974A7B"/>
    <w:rsid w:val="6B9B6763"/>
    <w:rsid w:val="6BD42338"/>
    <w:rsid w:val="6C0B5FA6"/>
    <w:rsid w:val="6C444B74"/>
    <w:rsid w:val="6C70052A"/>
    <w:rsid w:val="6C8C2F32"/>
    <w:rsid w:val="6CB640BA"/>
    <w:rsid w:val="6D232D6F"/>
    <w:rsid w:val="6D254930"/>
    <w:rsid w:val="6D34757E"/>
    <w:rsid w:val="6D9147A7"/>
    <w:rsid w:val="6D9F5D14"/>
    <w:rsid w:val="6DA3079C"/>
    <w:rsid w:val="6DAB3130"/>
    <w:rsid w:val="6DBD00C4"/>
    <w:rsid w:val="6DC90D79"/>
    <w:rsid w:val="6DC93F2B"/>
    <w:rsid w:val="6DE656F9"/>
    <w:rsid w:val="6E556DA4"/>
    <w:rsid w:val="6E5B6049"/>
    <w:rsid w:val="6E896DA1"/>
    <w:rsid w:val="6E8A6DF3"/>
    <w:rsid w:val="6E9B07ED"/>
    <w:rsid w:val="6ECD3F8A"/>
    <w:rsid w:val="6EF3278C"/>
    <w:rsid w:val="6F092588"/>
    <w:rsid w:val="6F09440F"/>
    <w:rsid w:val="6F327A18"/>
    <w:rsid w:val="6F745093"/>
    <w:rsid w:val="6F971FE2"/>
    <w:rsid w:val="6FCD01A5"/>
    <w:rsid w:val="6FDE54FF"/>
    <w:rsid w:val="6FF32801"/>
    <w:rsid w:val="6FFA43F0"/>
    <w:rsid w:val="70071E41"/>
    <w:rsid w:val="701B7A98"/>
    <w:rsid w:val="703233C7"/>
    <w:rsid w:val="703A2593"/>
    <w:rsid w:val="70F40DF3"/>
    <w:rsid w:val="70FE575E"/>
    <w:rsid w:val="713B5140"/>
    <w:rsid w:val="715C3261"/>
    <w:rsid w:val="71A44416"/>
    <w:rsid w:val="71C14735"/>
    <w:rsid w:val="71C65968"/>
    <w:rsid w:val="71C9232F"/>
    <w:rsid w:val="71D1602E"/>
    <w:rsid w:val="71ED215A"/>
    <w:rsid w:val="723516C7"/>
    <w:rsid w:val="72663144"/>
    <w:rsid w:val="72675324"/>
    <w:rsid w:val="72901615"/>
    <w:rsid w:val="729213A2"/>
    <w:rsid w:val="72EF592B"/>
    <w:rsid w:val="72F1397E"/>
    <w:rsid w:val="72FD7C31"/>
    <w:rsid w:val="730B57FA"/>
    <w:rsid w:val="730D1AA6"/>
    <w:rsid w:val="73167688"/>
    <w:rsid w:val="73186741"/>
    <w:rsid w:val="731B050A"/>
    <w:rsid w:val="738C30FB"/>
    <w:rsid w:val="73965443"/>
    <w:rsid w:val="73BC1E4B"/>
    <w:rsid w:val="73C36E27"/>
    <w:rsid w:val="73DC151A"/>
    <w:rsid w:val="73EB49AD"/>
    <w:rsid w:val="74067EE8"/>
    <w:rsid w:val="74137810"/>
    <w:rsid w:val="743264E5"/>
    <w:rsid w:val="748C6F64"/>
    <w:rsid w:val="74906AA6"/>
    <w:rsid w:val="74A844D0"/>
    <w:rsid w:val="74AF297F"/>
    <w:rsid w:val="74AF5A95"/>
    <w:rsid w:val="74B1360C"/>
    <w:rsid w:val="750668BE"/>
    <w:rsid w:val="751D00CC"/>
    <w:rsid w:val="755901C8"/>
    <w:rsid w:val="75761A7B"/>
    <w:rsid w:val="757840E4"/>
    <w:rsid w:val="758928A6"/>
    <w:rsid w:val="75982038"/>
    <w:rsid w:val="759B51AF"/>
    <w:rsid w:val="75A872AC"/>
    <w:rsid w:val="75E35546"/>
    <w:rsid w:val="7623713F"/>
    <w:rsid w:val="76344A89"/>
    <w:rsid w:val="76426D89"/>
    <w:rsid w:val="766305EA"/>
    <w:rsid w:val="767D1EF2"/>
    <w:rsid w:val="76A2766B"/>
    <w:rsid w:val="76A909CA"/>
    <w:rsid w:val="76C27B92"/>
    <w:rsid w:val="76D45E69"/>
    <w:rsid w:val="76E059B6"/>
    <w:rsid w:val="77062046"/>
    <w:rsid w:val="770F573A"/>
    <w:rsid w:val="772E3DF0"/>
    <w:rsid w:val="77373289"/>
    <w:rsid w:val="77614E43"/>
    <w:rsid w:val="77647ABF"/>
    <w:rsid w:val="77A054E8"/>
    <w:rsid w:val="780E3705"/>
    <w:rsid w:val="780E6D1F"/>
    <w:rsid w:val="785669F9"/>
    <w:rsid w:val="788A38AD"/>
    <w:rsid w:val="78977ED7"/>
    <w:rsid w:val="78A62707"/>
    <w:rsid w:val="78A70D87"/>
    <w:rsid w:val="78A97749"/>
    <w:rsid w:val="78E57A75"/>
    <w:rsid w:val="78F16688"/>
    <w:rsid w:val="78FA16C3"/>
    <w:rsid w:val="79177F12"/>
    <w:rsid w:val="79206AD3"/>
    <w:rsid w:val="792C01E6"/>
    <w:rsid w:val="796208E9"/>
    <w:rsid w:val="7978495C"/>
    <w:rsid w:val="799B273A"/>
    <w:rsid w:val="79A05DEF"/>
    <w:rsid w:val="79AA3B3E"/>
    <w:rsid w:val="79AC1471"/>
    <w:rsid w:val="79C579E8"/>
    <w:rsid w:val="79CA7245"/>
    <w:rsid w:val="7A0B0350"/>
    <w:rsid w:val="7A237DA7"/>
    <w:rsid w:val="7A29651B"/>
    <w:rsid w:val="7A52399A"/>
    <w:rsid w:val="7A5D5C43"/>
    <w:rsid w:val="7A6C30D2"/>
    <w:rsid w:val="7A743ECA"/>
    <w:rsid w:val="7AB97479"/>
    <w:rsid w:val="7AEC561D"/>
    <w:rsid w:val="7B1524A2"/>
    <w:rsid w:val="7B464E2B"/>
    <w:rsid w:val="7B626B5A"/>
    <w:rsid w:val="7BC93F9B"/>
    <w:rsid w:val="7BD83B2F"/>
    <w:rsid w:val="7BF731EA"/>
    <w:rsid w:val="7C070C1E"/>
    <w:rsid w:val="7C0D0291"/>
    <w:rsid w:val="7C252FCD"/>
    <w:rsid w:val="7C464F3C"/>
    <w:rsid w:val="7CAD758E"/>
    <w:rsid w:val="7CD17B22"/>
    <w:rsid w:val="7CD6162F"/>
    <w:rsid w:val="7CEA32F9"/>
    <w:rsid w:val="7D4A3CE5"/>
    <w:rsid w:val="7D4E17F3"/>
    <w:rsid w:val="7D562C9C"/>
    <w:rsid w:val="7D6959B1"/>
    <w:rsid w:val="7D793D30"/>
    <w:rsid w:val="7D8A077C"/>
    <w:rsid w:val="7DA41079"/>
    <w:rsid w:val="7DA50A18"/>
    <w:rsid w:val="7DCC2863"/>
    <w:rsid w:val="7DD449DF"/>
    <w:rsid w:val="7DFC1D56"/>
    <w:rsid w:val="7E6B00A7"/>
    <w:rsid w:val="7E6D006D"/>
    <w:rsid w:val="7E865851"/>
    <w:rsid w:val="7ECE6E87"/>
    <w:rsid w:val="7F1D1FFC"/>
    <w:rsid w:val="7F22608F"/>
    <w:rsid w:val="7F713F04"/>
    <w:rsid w:val="7F9A3C0A"/>
    <w:rsid w:val="7F9C6614"/>
    <w:rsid w:val="7FE66088"/>
    <w:rsid w:val="7FEB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rFonts w:eastAsia="黑体" w:asciiTheme="minorHAnsi" w:hAnsiTheme="minorHAnsi" w:cstheme="minorBidi"/>
      <w:b/>
      <w:bCs/>
      <w:kern w:val="44"/>
      <w:sz w:val="28"/>
      <w:szCs w:val="44"/>
    </w:rPr>
  </w:style>
  <w:style w:type="paragraph" w:styleId="4">
    <w:name w:val="heading 2"/>
    <w:basedOn w:val="1"/>
    <w:next w:val="1"/>
    <w:link w:val="27"/>
    <w:unhideWhenUsed/>
    <w:qFormat/>
    <w:uiPriority w:val="9"/>
    <w:pPr>
      <w:keepNext/>
      <w:keepLines/>
      <w:spacing w:line="415" w:lineRule="auto"/>
      <w:outlineLvl w:val="1"/>
    </w:pPr>
    <w:rPr>
      <w:rFonts w:asciiTheme="majorHAnsi" w:hAnsiTheme="majorHAnsi" w:cstheme="majorBidi"/>
      <w:bCs/>
      <w:sz w:val="24"/>
      <w:szCs w:val="32"/>
    </w:rPr>
  </w:style>
  <w:style w:type="paragraph" w:styleId="5">
    <w:name w:val="heading 3"/>
    <w:basedOn w:val="1"/>
    <w:next w:val="1"/>
    <w:link w:val="28"/>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6">
    <w:name w:val="Normal Indent"/>
    <w:basedOn w:val="1"/>
    <w:unhideWhenUsed/>
    <w:qFormat/>
    <w:uiPriority w:val="99"/>
    <w:pPr>
      <w:ind w:firstLine="420" w:firstLineChars="200"/>
    </w:pPr>
    <w:rPr>
      <w:rFonts w:eastAsia="仿宋_GB2312"/>
      <w:sz w:val="32"/>
    </w:rPr>
  </w:style>
  <w:style w:type="paragraph" w:styleId="7">
    <w:name w:val="annotation text"/>
    <w:basedOn w:val="1"/>
    <w:link w:val="24"/>
    <w:semiHidden/>
    <w:unhideWhenUsed/>
    <w:qFormat/>
    <w:uiPriority w:val="99"/>
    <w:pPr>
      <w:jc w:val="left"/>
    </w:pPr>
  </w:style>
  <w:style w:type="paragraph" w:styleId="8">
    <w:name w:val="Plain Text"/>
    <w:basedOn w:val="1"/>
    <w:link w:val="29"/>
    <w:qFormat/>
    <w:uiPriority w:val="0"/>
    <w:rPr>
      <w:rFonts w:ascii="宋体" w:hAnsi="Courier New" w:cs="Courier New" w:eastAsiaTheme="minorEastAsia"/>
      <w:szCs w:val="21"/>
    </w:r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rPr>
      <w:rFonts w:ascii="Times New Roman" w:hAnsi="Times New Roman" w:eastAsia="宋体" w:cs="Times New Roman"/>
      <w:sz w:val="18"/>
      <w:szCs w:val="20"/>
    </w:rPr>
  </w:style>
  <w:style w:type="paragraph" w:styleId="13">
    <w:name w:val="Normal (Web)"/>
    <w:basedOn w:val="1"/>
    <w:unhideWhenUsed/>
    <w:qFormat/>
    <w:uiPriority w:val="99"/>
    <w:pPr>
      <w:widowControl/>
      <w:jc w:val="left"/>
    </w:pPr>
    <w:rPr>
      <w:rFonts w:ascii="宋体" w:hAnsi="宋体" w:cs="宋体" w:eastAsiaTheme="minorEastAsia"/>
      <w:kern w:val="0"/>
      <w:sz w:val="24"/>
    </w:rPr>
  </w:style>
  <w:style w:type="paragraph" w:styleId="14">
    <w:name w:val="annotation subject"/>
    <w:basedOn w:val="7"/>
    <w:next w:val="7"/>
    <w:link w:val="25"/>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semiHidden/>
    <w:unhideWhenUsed/>
    <w:qFormat/>
    <w:uiPriority w:val="99"/>
    <w:rPr>
      <w:sz w:val="21"/>
      <w:szCs w:val="21"/>
    </w:rPr>
  </w:style>
  <w:style w:type="paragraph" w:customStyle="1" w:styleId="19">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character" w:customStyle="1" w:styleId="20">
    <w:name w:val="页眉 Char"/>
    <w:basedOn w:val="17"/>
    <w:link w:val="11"/>
    <w:qFormat/>
    <w:uiPriority w:val="99"/>
    <w:rPr>
      <w:rFonts w:ascii="Times New Roman" w:hAnsi="Times New Roman" w:eastAsia="宋体" w:cs="Times New Roman"/>
      <w:sz w:val="18"/>
      <w:szCs w:val="18"/>
    </w:rPr>
  </w:style>
  <w:style w:type="character" w:customStyle="1" w:styleId="21">
    <w:name w:val="页脚 Char"/>
    <w:basedOn w:val="17"/>
    <w:link w:val="10"/>
    <w:qFormat/>
    <w:uiPriority w:val="99"/>
    <w:rPr>
      <w:rFonts w:ascii="Times New Roman" w:hAnsi="Times New Roman" w:eastAsia="宋体" w:cs="Times New Roman"/>
      <w:sz w:val="18"/>
      <w:szCs w:val="18"/>
    </w:rPr>
  </w:style>
  <w:style w:type="character" w:customStyle="1" w:styleId="22">
    <w:name w:val="批注框文本 Char"/>
    <w:basedOn w:val="17"/>
    <w:link w:val="9"/>
    <w:semiHidden/>
    <w:qFormat/>
    <w:uiPriority w:val="99"/>
    <w:rPr>
      <w:rFonts w:ascii="Times New Roman" w:hAnsi="Times New Roman" w:eastAsia="宋体" w:cs="Times New Roman"/>
      <w:sz w:val="18"/>
      <w:szCs w:val="18"/>
    </w:rPr>
  </w:style>
  <w:style w:type="paragraph" w:styleId="2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4">
    <w:name w:val="批注文字 Char"/>
    <w:basedOn w:val="17"/>
    <w:link w:val="7"/>
    <w:semiHidden/>
    <w:qFormat/>
    <w:uiPriority w:val="99"/>
    <w:rPr>
      <w:rFonts w:ascii="Times New Roman" w:hAnsi="Times New Roman" w:eastAsia="宋体" w:cs="Times New Roman"/>
      <w:szCs w:val="24"/>
    </w:rPr>
  </w:style>
  <w:style w:type="character" w:customStyle="1" w:styleId="25">
    <w:name w:val="批注主题 Char"/>
    <w:basedOn w:val="24"/>
    <w:link w:val="14"/>
    <w:semiHidden/>
    <w:qFormat/>
    <w:uiPriority w:val="99"/>
    <w:rPr>
      <w:rFonts w:ascii="Times New Roman" w:hAnsi="Times New Roman" w:eastAsia="宋体" w:cs="Times New Roman"/>
      <w:b/>
      <w:bCs/>
      <w:szCs w:val="24"/>
    </w:rPr>
  </w:style>
  <w:style w:type="character" w:customStyle="1" w:styleId="26">
    <w:name w:val="标题 1 Char"/>
    <w:basedOn w:val="17"/>
    <w:link w:val="3"/>
    <w:qFormat/>
    <w:uiPriority w:val="9"/>
    <w:rPr>
      <w:rFonts w:eastAsia="黑体"/>
      <w:b/>
      <w:bCs/>
      <w:kern w:val="44"/>
      <w:sz w:val="28"/>
      <w:szCs w:val="44"/>
    </w:rPr>
  </w:style>
  <w:style w:type="character" w:customStyle="1" w:styleId="27">
    <w:name w:val="标题 2 Char"/>
    <w:basedOn w:val="17"/>
    <w:link w:val="4"/>
    <w:qFormat/>
    <w:uiPriority w:val="9"/>
    <w:rPr>
      <w:rFonts w:eastAsia="宋体" w:asciiTheme="majorHAnsi" w:hAnsiTheme="majorHAnsi" w:cstheme="majorBidi"/>
      <w:bCs/>
      <w:sz w:val="24"/>
      <w:szCs w:val="32"/>
    </w:rPr>
  </w:style>
  <w:style w:type="character" w:customStyle="1" w:styleId="28">
    <w:name w:val="标题 3 Char"/>
    <w:basedOn w:val="17"/>
    <w:link w:val="5"/>
    <w:qFormat/>
    <w:uiPriority w:val="9"/>
    <w:rPr>
      <w:b/>
      <w:bCs/>
      <w:sz w:val="32"/>
      <w:szCs w:val="32"/>
    </w:rPr>
  </w:style>
  <w:style w:type="character" w:customStyle="1" w:styleId="29">
    <w:name w:val="纯文本 Char"/>
    <w:link w:val="8"/>
    <w:qFormat/>
    <w:uiPriority w:val="0"/>
    <w:rPr>
      <w:rFonts w:ascii="宋体" w:hAnsi="Courier New" w:cs="Courier New"/>
      <w:szCs w:val="21"/>
    </w:rPr>
  </w:style>
  <w:style w:type="character" w:customStyle="1" w:styleId="30">
    <w:name w:val="纯文本 Char1"/>
    <w:basedOn w:val="17"/>
    <w:semiHidden/>
    <w:qFormat/>
    <w:uiPriority w:val="99"/>
    <w:rPr>
      <w:rFonts w:ascii="宋体" w:hAnsi="Courier New" w:eastAsia="宋体" w:cs="Courier New"/>
      <w:szCs w:val="21"/>
    </w:rPr>
  </w:style>
  <w:style w:type="paragraph" w:customStyle="1" w:styleId="31">
    <w:name w:val="正文首行缩进 21"/>
    <w:basedOn w:val="32"/>
    <w:qFormat/>
    <w:uiPriority w:val="99"/>
    <w:pPr>
      <w:spacing w:line="360" w:lineRule="auto"/>
    </w:pPr>
    <w:rPr>
      <w:sz w:val="24"/>
    </w:rPr>
  </w:style>
  <w:style w:type="paragraph" w:customStyle="1" w:styleId="32">
    <w:name w:val="正文文本缩进1"/>
    <w:basedOn w:val="1"/>
    <w:qFormat/>
    <w:uiPriority w:val="99"/>
    <w:pPr>
      <w:spacing w:line="150" w:lineRule="atLeast"/>
      <w:ind w:firstLine="420" w:firstLineChars="200"/>
      <w:textAlignment w:val="baseline"/>
    </w:pPr>
  </w:style>
  <w:style w:type="table" w:customStyle="1" w:styleId="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838CB-1FE5-4DE6-8D43-D470C9F1A2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8747</Words>
  <Characters>9570</Characters>
  <Lines>1</Lines>
  <Paragraphs>1</Paragraphs>
  <TotalTime>0</TotalTime>
  <ScaleCrop>false</ScaleCrop>
  <LinksUpToDate>false</LinksUpToDate>
  <CharactersWithSpaces>9633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2021-10-26T03:51:00Z</dcterms:created>
  <dc:creator>Windows 用户</dc:creator>
  <cp:lastModifiedBy>小木头</cp:lastModifiedBy>
  <cp:lastPrinted>2021-12-08T03:24:00Z</cp:lastPrinted>
  <dcterms:modified xsi:type="dcterms:W3CDTF">2023-01-05T07:16:05Z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A1373A595C8F449BA2A19FA31BAE7FF4</vt:lpwstr>
  </property>
</Properties>
</file>