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rPr>
          <w:rFonts w:ascii="Times New Roman" w:hAnsi="Times New Roman" w:eastAsia="宋体" w:cs="Times New Roman"/>
          <w:b/>
          <w:bCs/>
          <w:sz w:val="44"/>
          <w:szCs w:val="44"/>
        </w:rPr>
      </w:pPr>
      <w:bookmarkStart w:id="0" w:name="_Toc22524"/>
    </w:p>
    <w:p>
      <w:pPr>
        <w:spacing w:line="360" w:lineRule="auto"/>
        <w:ind w:firstLine="0" w:firstLineChars="0"/>
        <w:rPr>
          <w:rFonts w:ascii="Times New Roman" w:hAnsi="Times New Roman" w:eastAsia="宋体" w:cs="Times New Roman"/>
          <w:b/>
          <w:bCs/>
          <w:sz w:val="44"/>
          <w:szCs w:val="44"/>
        </w:rPr>
      </w:pPr>
    </w:p>
    <w:p>
      <w:pPr>
        <w:spacing w:line="360" w:lineRule="auto"/>
        <w:ind w:firstLine="0" w:firstLineChars="0"/>
        <w:rPr>
          <w:rFonts w:ascii="Times New Roman" w:hAnsi="Times New Roman" w:cs="Times New Roman"/>
          <w:b/>
          <w:bCs/>
          <w:sz w:val="44"/>
          <w:szCs w:val="44"/>
        </w:rPr>
      </w:pPr>
    </w:p>
    <w:p>
      <w:pPr>
        <w:spacing w:line="360" w:lineRule="auto"/>
        <w:ind w:firstLine="0" w:firstLineChars="0"/>
        <w:rPr>
          <w:rFonts w:ascii="Times New Roman" w:hAnsi="Times New Roman" w:cs="Times New Roman"/>
          <w:b/>
          <w:bCs/>
          <w:sz w:val="44"/>
          <w:szCs w:val="44"/>
        </w:rPr>
      </w:pPr>
    </w:p>
    <w:bookmarkEnd w:id="0"/>
    <w:p>
      <w:pPr>
        <w:spacing w:line="240" w:lineRule="auto"/>
        <w:ind w:firstLine="0" w:firstLineChars="0"/>
        <w:jc w:val="center"/>
        <w:rPr>
          <w:rFonts w:hint="eastAsia" w:ascii="黑体" w:hAnsi="黑体" w:eastAsia="黑体" w:cs="黑体"/>
          <w:b/>
          <w:bCs w:val="0"/>
          <w:sz w:val="48"/>
          <w:szCs w:val="52"/>
        </w:rPr>
      </w:pPr>
      <w:r>
        <w:rPr>
          <w:rFonts w:hint="eastAsia" w:ascii="黑体" w:hAnsi="黑体" w:eastAsia="黑体" w:cs="黑体"/>
          <w:b/>
          <w:bCs w:val="0"/>
          <w:sz w:val="48"/>
          <w:szCs w:val="52"/>
        </w:rPr>
        <w:t>梅州市2021年度市十件民生实事</w:t>
      </w:r>
    </w:p>
    <w:p>
      <w:pPr>
        <w:spacing w:line="240" w:lineRule="auto"/>
        <w:ind w:firstLine="0" w:firstLineChars="0"/>
        <w:jc w:val="center"/>
        <w:rPr>
          <w:rFonts w:hint="eastAsia" w:ascii="黑体" w:hAnsi="黑体" w:eastAsia="黑体" w:cs="黑体"/>
          <w:b/>
          <w:bCs w:val="0"/>
          <w:sz w:val="48"/>
          <w:szCs w:val="52"/>
        </w:rPr>
      </w:pPr>
      <w:r>
        <w:rPr>
          <w:rFonts w:hint="eastAsia" w:ascii="黑体" w:hAnsi="黑体" w:eastAsia="黑体" w:cs="黑体"/>
          <w:b/>
          <w:bCs w:val="0"/>
          <w:sz w:val="48"/>
          <w:szCs w:val="52"/>
        </w:rPr>
        <w:t>推进城镇老旧小区改造项目</w:t>
      </w:r>
    </w:p>
    <w:p>
      <w:pPr>
        <w:spacing w:line="240" w:lineRule="auto"/>
        <w:ind w:firstLine="0" w:firstLineChars="0"/>
        <w:jc w:val="center"/>
        <w:rPr>
          <w:rFonts w:hint="eastAsia" w:ascii="黑体" w:hAnsi="黑体" w:eastAsia="黑体" w:cs="黑体"/>
          <w:b/>
          <w:bCs w:val="0"/>
          <w:sz w:val="48"/>
          <w:szCs w:val="52"/>
        </w:rPr>
      </w:pPr>
      <w:r>
        <w:rPr>
          <w:rFonts w:hint="eastAsia" w:ascii="黑体" w:hAnsi="黑体" w:eastAsia="黑体" w:cs="黑体"/>
          <w:b/>
          <w:bCs w:val="0"/>
          <w:sz w:val="48"/>
          <w:szCs w:val="52"/>
        </w:rPr>
        <w:t>绩效评价报告</w:t>
      </w:r>
    </w:p>
    <w:p>
      <w:pPr>
        <w:spacing w:line="360" w:lineRule="auto"/>
        <w:ind w:firstLine="1041"/>
        <w:jc w:val="center"/>
        <w:rPr>
          <w:rFonts w:ascii="Times New Roman" w:hAnsi="Times New Roman" w:cs="Times New Roman"/>
          <w:b/>
          <w:sz w:val="52"/>
          <w:szCs w:val="52"/>
        </w:rPr>
      </w:pPr>
    </w:p>
    <w:p>
      <w:pPr>
        <w:spacing w:line="360" w:lineRule="auto"/>
        <w:ind w:firstLine="880"/>
        <w:rPr>
          <w:rFonts w:ascii="Times New Roman" w:hAnsi="Times New Roman" w:cs="Times New Roman"/>
          <w:sz w:val="44"/>
          <w:szCs w:val="44"/>
        </w:rPr>
      </w:pPr>
    </w:p>
    <w:p>
      <w:pPr>
        <w:spacing w:line="360" w:lineRule="auto"/>
        <w:ind w:firstLine="880"/>
        <w:rPr>
          <w:rFonts w:ascii="Times New Roman" w:hAnsi="Times New Roman" w:cs="Times New Roman"/>
          <w:sz w:val="44"/>
          <w:szCs w:val="44"/>
        </w:rPr>
      </w:pPr>
    </w:p>
    <w:p>
      <w:pPr>
        <w:spacing w:line="360" w:lineRule="auto"/>
        <w:ind w:firstLine="880"/>
        <w:rPr>
          <w:rFonts w:ascii="Times New Roman" w:hAnsi="Times New Roman" w:cs="Times New Roman"/>
          <w:sz w:val="44"/>
          <w:szCs w:val="44"/>
        </w:rPr>
      </w:pPr>
    </w:p>
    <w:p>
      <w:pPr>
        <w:spacing w:line="360" w:lineRule="auto"/>
        <w:ind w:firstLine="880"/>
        <w:rPr>
          <w:rFonts w:ascii="Times New Roman" w:hAnsi="Times New Roman" w:cs="Times New Roman"/>
          <w:sz w:val="44"/>
          <w:szCs w:val="44"/>
        </w:rPr>
      </w:pPr>
    </w:p>
    <w:p>
      <w:pPr>
        <w:spacing w:line="360" w:lineRule="auto"/>
        <w:ind w:firstLine="0" w:firstLineChars="0"/>
        <w:rPr>
          <w:rFonts w:ascii="Times New Roman" w:hAnsi="Times New Roman" w:cs="Times New Roman"/>
          <w:sz w:val="44"/>
          <w:szCs w:val="44"/>
        </w:rPr>
      </w:pPr>
    </w:p>
    <w:p>
      <w:pPr>
        <w:spacing w:line="360" w:lineRule="auto"/>
        <w:ind w:firstLine="880"/>
        <w:rPr>
          <w:rFonts w:ascii="Times New Roman" w:hAnsi="Times New Roman" w:cs="Times New Roman"/>
          <w:sz w:val="44"/>
          <w:szCs w:val="44"/>
        </w:rPr>
      </w:pPr>
    </w:p>
    <w:p>
      <w:pPr>
        <w:spacing w:line="360" w:lineRule="auto"/>
        <w:ind w:firstLine="0" w:firstLineChars="0"/>
        <w:jc w:val="center"/>
        <w:rPr>
          <w:rFonts w:ascii="Times New Roman" w:hAnsi="Times New Roman" w:cs="Times New Roman"/>
          <w:b/>
          <w:szCs w:val="32"/>
        </w:rPr>
      </w:pPr>
      <w:r>
        <w:rPr>
          <w:rFonts w:hint="eastAsia" w:ascii="Times New Roman" w:hAnsi="Times New Roman" w:cs="Times New Roman"/>
          <w:b/>
          <w:szCs w:val="32"/>
        </w:rPr>
        <w:t>梅州同政会计师事务所（普通合伙）</w:t>
      </w:r>
    </w:p>
    <w:p>
      <w:pPr>
        <w:pStyle w:val="11"/>
        <w:spacing w:line="360" w:lineRule="auto"/>
        <w:ind w:firstLine="640"/>
        <w:rPr>
          <w:rFonts w:ascii="Times New Roman" w:hAnsi="Times New Roman" w:eastAsia="仿宋_GB2312" w:cs="Times New Roman"/>
          <w:b/>
          <w:szCs w:val="32"/>
        </w:rPr>
      </w:pPr>
      <w:r>
        <w:rPr>
          <w:rFonts w:hint="eastAsia" w:ascii="Times New Roman" w:hAnsi="Times New Roman" w:eastAsia="仿宋_GB2312" w:cs="Times New Roman"/>
          <w:b/>
          <w:szCs w:val="32"/>
        </w:rPr>
        <w:t>二O二二年十一月</w:t>
      </w:r>
    </w:p>
    <w:p>
      <w:pPr>
        <w:ind w:firstLine="640"/>
        <w:rPr>
          <w:rFonts w:ascii="Times New Roman" w:hAnsi="Times New Roman"/>
        </w:rPr>
      </w:pPr>
    </w:p>
    <w:p>
      <w:pPr>
        <w:ind w:firstLine="640"/>
        <w:rPr>
          <w:rFonts w:ascii="Times New Roman" w:hAnsi="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11"/>
        <w:spacing w:line="360" w:lineRule="auto"/>
        <w:ind w:firstLine="640"/>
        <w:rPr>
          <w:rFonts w:ascii="Times New Roman" w:hAnsi="Times New Roman" w:eastAsia="Arial Unicode MS"/>
          <w:b/>
          <w:sz w:val="36"/>
          <w:szCs w:val="40"/>
        </w:rPr>
      </w:pPr>
      <w:r>
        <w:rPr>
          <w:rFonts w:hint="eastAsia" w:ascii="Times New Roman" w:hAnsi="Times New Roman" w:eastAsia="Arial Unicode MS"/>
          <w:b/>
          <w:sz w:val="36"/>
          <w:szCs w:val="40"/>
        </w:rPr>
        <w:t>目  录</w:t>
      </w:r>
    </w:p>
    <w:sdt>
      <w:sdtPr>
        <w:rPr>
          <w:rFonts w:ascii="Times New Roman" w:hAnsi="Times New Roman" w:eastAsia="宋体"/>
          <w:sz w:val="21"/>
        </w:rPr>
        <w:id w:val="147461414"/>
        <w:docPartObj>
          <w:docPartGallery w:val="Table of Contents"/>
          <w:docPartUnique/>
        </w:docPartObj>
      </w:sdtPr>
      <w:sdtEndPr>
        <w:rPr>
          <w:rFonts w:ascii="Times New Roman" w:hAnsi="Times New Roman" w:eastAsia="仿宋_GB2312"/>
          <w:b/>
          <w:sz w:val="28"/>
          <w:szCs w:val="32"/>
        </w:rPr>
      </w:sdtEndPr>
      <w:sdtContent>
        <w:p>
          <w:pPr>
            <w:spacing w:line="240" w:lineRule="auto"/>
            <w:ind w:firstLine="0" w:firstLineChars="0"/>
            <w:jc w:val="left"/>
            <w:rPr>
              <w:rFonts w:ascii="Times New Roman" w:hAnsi="Times New Roman" w:eastAsia="仿宋_GB2312" w:cstheme="minorBidi"/>
              <w:kern w:val="2"/>
              <w:sz w:val="28"/>
              <w:szCs w:val="32"/>
              <w:lang w:val="en-US" w:eastAsia="zh-CN" w:bidi="ar-SA"/>
            </w:rPr>
          </w:pPr>
          <w:r>
            <w:rPr>
              <w:rFonts w:ascii="Times New Roman" w:hAnsi="Times New Roman"/>
              <w:sz w:val="28"/>
              <w:szCs w:val="32"/>
            </w:rPr>
            <w:fldChar w:fldCharType="begin"/>
          </w:r>
          <w:r>
            <w:rPr>
              <w:rFonts w:ascii="Times New Roman" w:hAnsi="Times New Roman"/>
              <w:sz w:val="28"/>
              <w:szCs w:val="32"/>
            </w:rPr>
            <w:instrText xml:space="preserve">TOC \o "1-2" \h \u </w:instrText>
          </w:r>
          <w:r>
            <w:rPr>
              <w:rFonts w:ascii="Times New Roman" w:hAnsi="Times New Roman"/>
              <w:sz w:val="28"/>
              <w:szCs w:val="32"/>
            </w:rPr>
            <w:fldChar w:fldCharType="separate"/>
          </w:r>
        </w:p>
        <w:p>
          <w:pPr>
            <w:pStyle w:val="11"/>
            <w:tabs>
              <w:tab w:val="right" w:leader="dot" w:pos="8306"/>
              <w:tab w:val="clear" w:pos="8296"/>
            </w:tabs>
          </w:pPr>
          <w:r>
            <w:rPr>
              <w:rFonts w:ascii="Times New Roman" w:hAnsi="Times New Roman"/>
              <w:szCs w:val="32"/>
            </w:rPr>
            <w:fldChar w:fldCharType="begin"/>
          </w:r>
          <w:r>
            <w:rPr>
              <w:rFonts w:ascii="Times New Roman" w:hAnsi="Times New Roman"/>
              <w:szCs w:val="32"/>
            </w:rPr>
            <w:instrText xml:space="preserve"> HYPERLINK \l _Toc11467 </w:instrText>
          </w:r>
          <w:r>
            <w:rPr>
              <w:rFonts w:ascii="Times New Roman" w:hAnsi="Times New Roman"/>
              <w:szCs w:val="32"/>
            </w:rPr>
            <w:fldChar w:fldCharType="separate"/>
          </w:r>
          <w:r>
            <w:rPr>
              <w:rFonts w:hint="eastAsia" w:ascii="Times New Roman" w:hAnsi="Times New Roman" w:eastAsia="Arial Unicode MS"/>
            </w:rPr>
            <w:t>摘  要</w:t>
          </w:r>
          <w:r>
            <w:tab/>
          </w:r>
          <w:r>
            <w:fldChar w:fldCharType="begin"/>
          </w:r>
          <w:r>
            <w:instrText xml:space="preserve"> PAGEREF _Toc11467 \h </w:instrText>
          </w:r>
          <w:r>
            <w:fldChar w:fldCharType="separate"/>
          </w:r>
          <w:r>
            <w:t>I</w:t>
          </w:r>
          <w:r>
            <w:fldChar w:fldCharType="end"/>
          </w:r>
          <w:r>
            <w:rPr>
              <w:rFonts w:ascii="Times New Roman" w:hAnsi="Times New Roman"/>
              <w:szCs w:val="32"/>
            </w:rPr>
            <w:fldChar w:fldCharType="end"/>
          </w:r>
        </w:p>
        <w:p>
          <w:pPr>
            <w:pStyle w:val="11"/>
            <w:tabs>
              <w:tab w:val="right" w:leader="dot" w:pos="8306"/>
              <w:tab w:val="clear" w:pos="8296"/>
            </w:tabs>
          </w:pPr>
          <w:r>
            <w:rPr>
              <w:rFonts w:ascii="Times New Roman" w:hAnsi="Times New Roman"/>
              <w:szCs w:val="32"/>
            </w:rPr>
            <w:fldChar w:fldCharType="begin"/>
          </w:r>
          <w:r>
            <w:rPr>
              <w:rFonts w:ascii="Times New Roman" w:hAnsi="Times New Roman"/>
              <w:szCs w:val="32"/>
            </w:rPr>
            <w:instrText xml:space="preserve"> HYPERLINK \l _Toc13088 </w:instrText>
          </w:r>
          <w:r>
            <w:rPr>
              <w:rFonts w:ascii="Times New Roman" w:hAnsi="Times New Roman"/>
              <w:szCs w:val="32"/>
            </w:rPr>
            <w:fldChar w:fldCharType="separate"/>
          </w:r>
          <w:r>
            <w:rPr>
              <w:rFonts w:hint="eastAsia" w:ascii="Times New Roman" w:hAnsi="黑体" w:eastAsia="黑体"/>
            </w:rPr>
            <w:t>一、项目概况</w:t>
          </w:r>
          <w:r>
            <w:tab/>
          </w:r>
          <w:r>
            <w:fldChar w:fldCharType="begin"/>
          </w:r>
          <w:r>
            <w:instrText xml:space="preserve"> PAGEREF _Toc13088 \h </w:instrText>
          </w:r>
          <w:r>
            <w:fldChar w:fldCharType="separate"/>
          </w:r>
          <w:r>
            <w:t>1</w:t>
          </w:r>
          <w:r>
            <w:fldChar w:fldCharType="end"/>
          </w:r>
          <w:r>
            <w:rPr>
              <w:rFonts w:ascii="Times New Roman" w:hAnsi="Times New Roman"/>
              <w:szCs w:val="32"/>
            </w:rPr>
            <w:fldChar w:fldCharType="end"/>
          </w:r>
        </w:p>
        <w:p>
          <w:pPr>
            <w:pStyle w:val="14"/>
            <w:tabs>
              <w:tab w:val="right" w:leader="dot" w:pos="8306"/>
            </w:tabs>
            <w:ind w:left="0" w:leftChars="0" w:firstLine="0" w:firstLineChars="0"/>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_Toc13354 </w:instrText>
          </w:r>
          <w:r>
            <w:rPr>
              <w:rFonts w:ascii="Times New Roman" w:hAnsi="Times New Roman"/>
              <w:sz w:val="28"/>
              <w:szCs w:val="28"/>
            </w:rPr>
            <w:fldChar w:fldCharType="separate"/>
          </w:r>
          <w:r>
            <w:rPr>
              <w:rFonts w:hint="eastAsia" w:ascii="Times New Roman" w:hAnsi="Times New Roman" w:eastAsia="楷体_GB2312"/>
              <w:sz w:val="28"/>
              <w:szCs w:val="28"/>
            </w:rPr>
            <w:t>（一）项目基本情况</w:t>
          </w:r>
          <w:r>
            <w:rPr>
              <w:sz w:val="28"/>
              <w:szCs w:val="28"/>
            </w:rPr>
            <w:tab/>
          </w:r>
          <w:r>
            <w:rPr>
              <w:sz w:val="28"/>
              <w:szCs w:val="28"/>
            </w:rPr>
            <w:fldChar w:fldCharType="begin"/>
          </w:r>
          <w:r>
            <w:rPr>
              <w:sz w:val="28"/>
              <w:szCs w:val="28"/>
            </w:rPr>
            <w:instrText xml:space="preserve"> PAGEREF _Toc13354 \h </w:instrText>
          </w:r>
          <w:r>
            <w:rPr>
              <w:sz w:val="28"/>
              <w:szCs w:val="28"/>
            </w:rPr>
            <w:fldChar w:fldCharType="separate"/>
          </w:r>
          <w:r>
            <w:rPr>
              <w:sz w:val="28"/>
              <w:szCs w:val="28"/>
            </w:rPr>
            <w:t>1</w:t>
          </w:r>
          <w:r>
            <w:rPr>
              <w:sz w:val="28"/>
              <w:szCs w:val="28"/>
            </w:rPr>
            <w:fldChar w:fldCharType="end"/>
          </w:r>
          <w:r>
            <w:rPr>
              <w:rFonts w:ascii="Times New Roman" w:hAnsi="Times New Roman"/>
              <w:sz w:val="28"/>
              <w:szCs w:val="28"/>
            </w:rPr>
            <w:fldChar w:fldCharType="end"/>
          </w:r>
        </w:p>
        <w:p>
          <w:pPr>
            <w:pStyle w:val="14"/>
            <w:tabs>
              <w:tab w:val="right" w:leader="dot" w:pos="8306"/>
            </w:tabs>
            <w:ind w:left="0" w:leftChars="0" w:firstLine="0" w:firstLineChars="0"/>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_Toc29469 </w:instrText>
          </w:r>
          <w:r>
            <w:rPr>
              <w:rFonts w:ascii="Times New Roman" w:hAnsi="Times New Roman"/>
              <w:sz w:val="28"/>
              <w:szCs w:val="28"/>
            </w:rPr>
            <w:fldChar w:fldCharType="separate"/>
          </w:r>
          <w:r>
            <w:rPr>
              <w:rFonts w:hint="eastAsia" w:ascii="Times New Roman" w:hAnsi="Times New Roman" w:eastAsia="楷体_GB2312"/>
              <w:sz w:val="28"/>
              <w:szCs w:val="28"/>
            </w:rPr>
            <w:t>（二）项目决策情况</w:t>
          </w:r>
          <w:r>
            <w:rPr>
              <w:sz w:val="28"/>
              <w:szCs w:val="28"/>
            </w:rPr>
            <w:tab/>
          </w:r>
          <w:r>
            <w:rPr>
              <w:sz w:val="28"/>
              <w:szCs w:val="28"/>
            </w:rPr>
            <w:fldChar w:fldCharType="begin"/>
          </w:r>
          <w:r>
            <w:rPr>
              <w:sz w:val="28"/>
              <w:szCs w:val="28"/>
            </w:rPr>
            <w:instrText xml:space="preserve"> PAGEREF _Toc29469 \h </w:instrText>
          </w:r>
          <w:r>
            <w:rPr>
              <w:sz w:val="28"/>
              <w:szCs w:val="28"/>
            </w:rPr>
            <w:fldChar w:fldCharType="separate"/>
          </w:r>
          <w:r>
            <w:rPr>
              <w:sz w:val="28"/>
              <w:szCs w:val="28"/>
            </w:rPr>
            <w:t>6</w:t>
          </w:r>
          <w:r>
            <w:rPr>
              <w:sz w:val="28"/>
              <w:szCs w:val="28"/>
            </w:rPr>
            <w:fldChar w:fldCharType="end"/>
          </w:r>
          <w:r>
            <w:rPr>
              <w:rFonts w:ascii="Times New Roman" w:hAnsi="Times New Roman"/>
              <w:sz w:val="28"/>
              <w:szCs w:val="28"/>
            </w:rPr>
            <w:fldChar w:fldCharType="end"/>
          </w:r>
        </w:p>
        <w:p>
          <w:pPr>
            <w:pStyle w:val="14"/>
            <w:tabs>
              <w:tab w:val="right" w:leader="dot" w:pos="8306"/>
            </w:tabs>
            <w:ind w:left="0" w:leftChars="0" w:firstLine="0" w:firstLineChars="0"/>
          </w:pPr>
          <w:r>
            <w:rPr>
              <w:rFonts w:ascii="Times New Roman" w:hAnsi="Times New Roman"/>
              <w:sz w:val="28"/>
              <w:szCs w:val="28"/>
            </w:rPr>
            <w:fldChar w:fldCharType="begin"/>
          </w:r>
          <w:r>
            <w:rPr>
              <w:rFonts w:ascii="Times New Roman" w:hAnsi="Times New Roman"/>
              <w:sz w:val="28"/>
              <w:szCs w:val="28"/>
            </w:rPr>
            <w:instrText xml:space="preserve"> HYPERLINK \l _Toc13694 </w:instrText>
          </w:r>
          <w:r>
            <w:rPr>
              <w:rFonts w:ascii="Times New Roman" w:hAnsi="Times New Roman"/>
              <w:sz w:val="28"/>
              <w:szCs w:val="28"/>
            </w:rPr>
            <w:fldChar w:fldCharType="separate"/>
          </w:r>
          <w:r>
            <w:rPr>
              <w:rFonts w:hint="eastAsia" w:ascii="Times New Roman" w:hAnsi="Times New Roman" w:eastAsia="楷体_GB2312"/>
              <w:sz w:val="28"/>
              <w:szCs w:val="28"/>
            </w:rPr>
            <w:t>（三）项目绩效目标情况</w:t>
          </w:r>
          <w:r>
            <w:rPr>
              <w:sz w:val="28"/>
              <w:szCs w:val="28"/>
            </w:rPr>
            <w:tab/>
          </w:r>
          <w:r>
            <w:rPr>
              <w:sz w:val="28"/>
              <w:szCs w:val="28"/>
            </w:rPr>
            <w:fldChar w:fldCharType="begin"/>
          </w:r>
          <w:r>
            <w:rPr>
              <w:sz w:val="28"/>
              <w:szCs w:val="28"/>
            </w:rPr>
            <w:instrText xml:space="preserve"> PAGEREF _Toc13694 \h </w:instrText>
          </w:r>
          <w:r>
            <w:rPr>
              <w:sz w:val="28"/>
              <w:szCs w:val="28"/>
            </w:rPr>
            <w:fldChar w:fldCharType="separate"/>
          </w:r>
          <w:r>
            <w:rPr>
              <w:sz w:val="28"/>
              <w:szCs w:val="28"/>
            </w:rPr>
            <w:t>7</w:t>
          </w:r>
          <w:r>
            <w:rPr>
              <w:sz w:val="28"/>
              <w:szCs w:val="28"/>
            </w:rPr>
            <w:fldChar w:fldCharType="end"/>
          </w:r>
          <w:r>
            <w:rPr>
              <w:rFonts w:ascii="Times New Roman" w:hAnsi="Times New Roman"/>
              <w:sz w:val="28"/>
              <w:szCs w:val="28"/>
            </w:rPr>
            <w:fldChar w:fldCharType="end"/>
          </w:r>
        </w:p>
        <w:p>
          <w:pPr>
            <w:pStyle w:val="11"/>
            <w:tabs>
              <w:tab w:val="right" w:leader="dot" w:pos="8306"/>
              <w:tab w:val="clear" w:pos="8296"/>
            </w:tabs>
          </w:pPr>
          <w:r>
            <w:rPr>
              <w:rFonts w:ascii="Times New Roman" w:hAnsi="Times New Roman"/>
              <w:szCs w:val="32"/>
            </w:rPr>
            <w:fldChar w:fldCharType="begin"/>
          </w:r>
          <w:r>
            <w:rPr>
              <w:rFonts w:ascii="Times New Roman" w:hAnsi="Times New Roman"/>
              <w:szCs w:val="32"/>
            </w:rPr>
            <w:instrText xml:space="preserve"> HYPERLINK \l _Toc24673 </w:instrText>
          </w:r>
          <w:r>
            <w:rPr>
              <w:rFonts w:ascii="Times New Roman" w:hAnsi="Times New Roman"/>
              <w:szCs w:val="32"/>
            </w:rPr>
            <w:fldChar w:fldCharType="separate"/>
          </w:r>
          <w:r>
            <w:rPr>
              <w:rFonts w:hint="eastAsia" w:ascii="Times New Roman" w:hAnsi="Times New Roman" w:eastAsia="黑体"/>
            </w:rPr>
            <w:t>二、评价结论</w:t>
          </w:r>
          <w:r>
            <w:tab/>
          </w:r>
          <w:r>
            <w:fldChar w:fldCharType="begin"/>
          </w:r>
          <w:r>
            <w:instrText xml:space="preserve"> PAGEREF _Toc24673 \h </w:instrText>
          </w:r>
          <w:r>
            <w:fldChar w:fldCharType="separate"/>
          </w:r>
          <w:r>
            <w:t>7</w:t>
          </w:r>
          <w:r>
            <w:fldChar w:fldCharType="end"/>
          </w:r>
          <w:r>
            <w:rPr>
              <w:rFonts w:ascii="Times New Roman" w:hAnsi="Times New Roman"/>
              <w:szCs w:val="32"/>
            </w:rPr>
            <w:fldChar w:fldCharType="end"/>
          </w:r>
        </w:p>
        <w:p>
          <w:pPr>
            <w:pStyle w:val="11"/>
            <w:tabs>
              <w:tab w:val="right" w:leader="dot" w:pos="8306"/>
              <w:tab w:val="clear" w:pos="8296"/>
            </w:tabs>
          </w:pPr>
          <w:r>
            <w:rPr>
              <w:rFonts w:ascii="Times New Roman" w:hAnsi="Times New Roman"/>
              <w:szCs w:val="32"/>
            </w:rPr>
            <w:fldChar w:fldCharType="begin"/>
          </w:r>
          <w:r>
            <w:rPr>
              <w:rFonts w:ascii="Times New Roman" w:hAnsi="Times New Roman"/>
              <w:szCs w:val="32"/>
            </w:rPr>
            <w:instrText xml:space="preserve"> HYPERLINK \l _Toc31378 </w:instrText>
          </w:r>
          <w:r>
            <w:rPr>
              <w:rFonts w:ascii="Times New Roman" w:hAnsi="Times New Roman"/>
              <w:szCs w:val="32"/>
            </w:rPr>
            <w:fldChar w:fldCharType="separate"/>
          </w:r>
          <w:r>
            <w:rPr>
              <w:rFonts w:hint="eastAsia" w:ascii="Times New Roman" w:hAnsi="Times New Roman" w:eastAsia="黑体"/>
            </w:rPr>
            <w:t>三、绩效指标分析</w:t>
          </w:r>
          <w:r>
            <w:tab/>
          </w:r>
          <w:r>
            <w:fldChar w:fldCharType="begin"/>
          </w:r>
          <w:r>
            <w:instrText xml:space="preserve"> PAGEREF _Toc31378 \h </w:instrText>
          </w:r>
          <w:r>
            <w:fldChar w:fldCharType="separate"/>
          </w:r>
          <w:r>
            <w:t>8</w:t>
          </w:r>
          <w:r>
            <w:fldChar w:fldCharType="end"/>
          </w:r>
          <w:r>
            <w:rPr>
              <w:rFonts w:ascii="Times New Roman" w:hAnsi="Times New Roman"/>
              <w:szCs w:val="32"/>
            </w:rPr>
            <w:fldChar w:fldCharType="end"/>
          </w:r>
        </w:p>
        <w:p>
          <w:pPr>
            <w:pStyle w:val="14"/>
            <w:tabs>
              <w:tab w:val="right" w:leader="dot" w:pos="8306"/>
            </w:tabs>
            <w:ind w:left="0" w:leftChars="0" w:firstLine="0" w:firstLineChars="0"/>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_Toc18595 </w:instrText>
          </w:r>
          <w:r>
            <w:rPr>
              <w:rFonts w:ascii="Times New Roman" w:hAnsi="Times New Roman"/>
              <w:sz w:val="28"/>
              <w:szCs w:val="28"/>
            </w:rPr>
            <w:fldChar w:fldCharType="separate"/>
          </w:r>
          <w:r>
            <w:rPr>
              <w:rFonts w:hint="eastAsia" w:ascii="Times New Roman" w:hAnsi="Times New Roman" w:eastAsia="楷体" w:cs="楷体"/>
              <w:sz w:val="28"/>
              <w:szCs w:val="28"/>
            </w:rPr>
            <w:t>（一）决策分析</w:t>
          </w:r>
          <w:r>
            <w:rPr>
              <w:sz w:val="28"/>
              <w:szCs w:val="28"/>
            </w:rPr>
            <w:tab/>
          </w:r>
          <w:r>
            <w:rPr>
              <w:sz w:val="28"/>
              <w:szCs w:val="28"/>
            </w:rPr>
            <w:fldChar w:fldCharType="begin"/>
          </w:r>
          <w:r>
            <w:rPr>
              <w:sz w:val="28"/>
              <w:szCs w:val="28"/>
            </w:rPr>
            <w:instrText xml:space="preserve"> PAGEREF _Toc18595 \h </w:instrText>
          </w:r>
          <w:r>
            <w:rPr>
              <w:sz w:val="28"/>
              <w:szCs w:val="28"/>
            </w:rPr>
            <w:fldChar w:fldCharType="separate"/>
          </w:r>
          <w:r>
            <w:rPr>
              <w:sz w:val="28"/>
              <w:szCs w:val="28"/>
            </w:rPr>
            <w:t>9</w:t>
          </w:r>
          <w:r>
            <w:rPr>
              <w:sz w:val="28"/>
              <w:szCs w:val="28"/>
            </w:rPr>
            <w:fldChar w:fldCharType="end"/>
          </w:r>
          <w:r>
            <w:rPr>
              <w:rFonts w:ascii="Times New Roman" w:hAnsi="Times New Roman"/>
              <w:sz w:val="28"/>
              <w:szCs w:val="28"/>
            </w:rPr>
            <w:fldChar w:fldCharType="end"/>
          </w:r>
        </w:p>
        <w:p>
          <w:pPr>
            <w:pStyle w:val="14"/>
            <w:tabs>
              <w:tab w:val="right" w:leader="dot" w:pos="8306"/>
            </w:tabs>
            <w:ind w:left="0" w:leftChars="0" w:firstLine="0" w:firstLineChars="0"/>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_Toc245 </w:instrText>
          </w:r>
          <w:r>
            <w:rPr>
              <w:rFonts w:ascii="Times New Roman" w:hAnsi="Times New Roman"/>
              <w:sz w:val="28"/>
              <w:szCs w:val="28"/>
            </w:rPr>
            <w:fldChar w:fldCharType="separate"/>
          </w:r>
          <w:r>
            <w:rPr>
              <w:rFonts w:hint="eastAsia" w:ascii="Times New Roman" w:hAnsi="Times New Roman" w:eastAsia="楷体" w:cs="楷体"/>
              <w:sz w:val="28"/>
              <w:szCs w:val="28"/>
            </w:rPr>
            <w:t>（二）管理分析</w:t>
          </w:r>
          <w:r>
            <w:rPr>
              <w:sz w:val="28"/>
              <w:szCs w:val="28"/>
            </w:rPr>
            <w:tab/>
          </w:r>
          <w:r>
            <w:rPr>
              <w:sz w:val="28"/>
              <w:szCs w:val="28"/>
            </w:rPr>
            <w:fldChar w:fldCharType="begin"/>
          </w:r>
          <w:r>
            <w:rPr>
              <w:sz w:val="28"/>
              <w:szCs w:val="28"/>
            </w:rPr>
            <w:instrText xml:space="preserve"> PAGEREF _Toc245 \h </w:instrText>
          </w:r>
          <w:r>
            <w:rPr>
              <w:sz w:val="28"/>
              <w:szCs w:val="28"/>
            </w:rPr>
            <w:fldChar w:fldCharType="separate"/>
          </w:r>
          <w:r>
            <w:rPr>
              <w:sz w:val="28"/>
              <w:szCs w:val="28"/>
            </w:rPr>
            <w:t>11</w:t>
          </w:r>
          <w:r>
            <w:rPr>
              <w:sz w:val="28"/>
              <w:szCs w:val="28"/>
            </w:rPr>
            <w:fldChar w:fldCharType="end"/>
          </w:r>
          <w:r>
            <w:rPr>
              <w:rFonts w:ascii="Times New Roman" w:hAnsi="Times New Roman"/>
              <w:sz w:val="28"/>
              <w:szCs w:val="28"/>
            </w:rPr>
            <w:fldChar w:fldCharType="end"/>
          </w:r>
        </w:p>
        <w:p>
          <w:pPr>
            <w:pStyle w:val="14"/>
            <w:tabs>
              <w:tab w:val="right" w:leader="dot" w:pos="8306"/>
            </w:tabs>
            <w:ind w:left="0" w:leftChars="0" w:firstLine="0" w:firstLineChars="0"/>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_Toc18205 </w:instrText>
          </w:r>
          <w:r>
            <w:rPr>
              <w:rFonts w:ascii="Times New Roman" w:hAnsi="Times New Roman"/>
              <w:sz w:val="28"/>
              <w:szCs w:val="28"/>
            </w:rPr>
            <w:fldChar w:fldCharType="separate"/>
          </w:r>
          <w:r>
            <w:rPr>
              <w:rFonts w:hint="eastAsia" w:ascii="Times New Roman" w:hAnsi="Times New Roman" w:eastAsia="楷体" w:cs="楷体"/>
              <w:sz w:val="28"/>
              <w:szCs w:val="28"/>
            </w:rPr>
            <w:t>（三）产出分析</w:t>
          </w:r>
          <w:r>
            <w:rPr>
              <w:sz w:val="28"/>
              <w:szCs w:val="28"/>
            </w:rPr>
            <w:tab/>
          </w:r>
          <w:r>
            <w:rPr>
              <w:sz w:val="28"/>
              <w:szCs w:val="28"/>
            </w:rPr>
            <w:fldChar w:fldCharType="begin"/>
          </w:r>
          <w:r>
            <w:rPr>
              <w:sz w:val="28"/>
              <w:szCs w:val="28"/>
            </w:rPr>
            <w:instrText xml:space="preserve"> PAGEREF _Toc18205 \h </w:instrText>
          </w:r>
          <w:r>
            <w:rPr>
              <w:sz w:val="28"/>
              <w:szCs w:val="28"/>
            </w:rPr>
            <w:fldChar w:fldCharType="separate"/>
          </w:r>
          <w:r>
            <w:rPr>
              <w:sz w:val="28"/>
              <w:szCs w:val="28"/>
            </w:rPr>
            <w:t>13</w:t>
          </w:r>
          <w:r>
            <w:rPr>
              <w:sz w:val="28"/>
              <w:szCs w:val="28"/>
            </w:rPr>
            <w:fldChar w:fldCharType="end"/>
          </w:r>
          <w:r>
            <w:rPr>
              <w:rFonts w:ascii="Times New Roman" w:hAnsi="Times New Roman"/>
              <w:sz w:val="28"/>
              <w:szCs w:val="28"/>
            </w:rPr>
            <w:fldChar w:fldCharType="end"/>
          </w:r>
        </w:p>
        <w:p>
          <w:pPr>
            <w:pStyle w:val="14"/>
            <w:tabs>
              <w:tab w:val="right" w:leader="dot" w:pos="8306"/>
            </w:tabs>
            <w:ind w:left="0" w:leftChars="0" w:firstLine="0" w:firstLineChars="0"/>
          </w:pPr>
          <w:r>
            <w:rPr>
              <w:rFonts w:ascii="Times New Roman" w:hAnsi="Times New Roman"/>
              <w:sz w:val="28"/>
              <w:szCs w:val="28"/>
            </w:rPr>
            <w:fldChar w:fldCharType="begin"/>
          </w:r>
          <w:r>
            <w:rPr>
              <w:rFonts w:ascii="Times New Roman" w:hAnsi="Times New Roman"/>
              <w:sz w:val="28"/>
              <w:szCs w:val="28"/>
            </w:rPr>
            <w:instrText xml:space="preserve"> HYPERLINK \l _Toc25404 </w:instrText>
          </w:r>
          <w:r>
            <w:rPr>
              <w:rFonts w:ascii="Times New Roman" w:hAnsi="Times New Roman"/>
              <w:sz w:val="28"/>
              <w:szCs w:val="28"/>
            </w:rPr>
            <w:fldChar w:fldCharType="separate"/>
          </w:r>
          <w:r>
            <w:rPr>
              <w:rFonts w:hint="eastAsia" w:ascii="Times New Roman" w:hAnsi="Times New Roman" w:eastAsia="楷体" w:cs="楷体"/>
              <w:sz w:val="28"/>
              <w:szCs w:val="28"/>
            </w:rPr>
            <w:t>（四）效益分析</w:t>
          </w:r>
          <w:r>
            <w:rPr>
              <w:sz w:val="28"/>
              <w:szCs w:val="28"/>
            </w:rPr>
            <w:tab/>
          </w:r>
          <w:r>
            <w:rPr>
              <w:sz w:val="28"/>
              <w:szCs w:val="28"/>
            </w:rPr>
            <w:fldChar w:fldCharType="begin"/>
          </w:r>
          <w:r>
            <w:rPr>
              <w:sz w:val="28"/>
              <w:szCs w:val="28"/>
            </w:rPr>
            <w:instrText xml:space="preserve"> PAGEREF _Toc25404 \h </w:instrText>
          </w:r>
          <w:r>
            <w:rPr>
              <w:sz w:val="28"/>
              <w:szCs w:val="28"/>
            </w:rPr>
            <w:fldChar w:fldCharType="separate"/>
          </w:r>
          <w:r>
            <w:rPr>
              <w:sz w:val="28"/>
              <w:szCs w:val="28"/>
            </w:rPr>
            <w:t>15</w:t>
          </w:r>
          <w:r>
            <w:rPr>
              <w:sz w:val="28"/>
              <w:szCs w:val="28"/>
            </w:rPr>
            <w:fldChar w:fldCharType="end"/>
          </w:r>
          <w:r>
            <w:rPr>
              <w:rFonts w:ascii="Times New Roman" w:hAnsi="Times New Roman"/>
              <w:sz w:val="28"/>
              <w:szCs w:val="28"/>
            </w:rPr>
            <w:fldChar w:fldCharType="end"/>
          </w:r>
        </w:p>
        <w:p>
          <w:pPr>
            <w:pStyle w:val="11"/>
            <w:tabs>
              <w:tab w:val="right" w:leader="dot" w:pos="8306"/>
              <w:tab w:val="clear" w:pos="8296"/>
            </w:tabs>
          </w:pPr>
          <w:r>
            <w:rPr>
              <w:rFonts w:ascii="Times New Roman" w:hAnsi="Times New Roman"/>
              <w:szCs w:val="32"/>
            </w:rPr>
            <w:fldChar w:fldCharType="begin"/>
          </w:r>
          <w:r>
            <w:rPr>
              <w:rFonts w:ascii="Times New Roman" w:hAnsi="Times New Roman"/>
              <w:szCs w:val="32"/>
            </w:rPr>
            <w:instrText xml:space="preserve"> HYPERLINK \l _Toc20301 </w:instrText>
          </w:r>
          <w:r>
            <w:rPr>
              <w:rFonts w:ascii="Times New Roman" w:hAnsi="Times New Roman"/>
              <w:szCs w:val="32"/>
            </w:rPr>
            <w:fldChar w:fldCharType="separate"/>
          </w:r>
          <w:r>
            <w:rPr>
              <w:rFonts w:hint="eastAsia" w:ascii="Times New Roman" w:hAnsi="Times New Roman" w:eastAsia="黑体"/>
            </w:rPr>
            <w:t>四、主要绩效</w:t>
          </w:r>
          <w:r>
            <w:tab/>
          </w:r>
          <w:r>
            <w:fldChar w:fldCharType="begin"/>
          </w:r>
          <w:r>
            <w:instrText xml:space="preserve"> PAGEREF _Toc20301 \h </w:instrText>
          </w:r>
          <w:r>
            <w:fldChar w:fldCharType="separate"/>
          </w:r>
          <w:r>
            <w:t>17</w:t>
          </w:r>
          <w:r>
            <w:fldChar w:fldCharType="end"/>
          </w:r>
          <w:r>
            <w:rPr>
              <w:rFonts w:ascii="Times New Roman" w:hAnsi="Times New Roman"/>
              <w:szCs w:val="32"/>
            </w:rPr>
            <w:fldChar w:fldCharType="end"/>
          </w:r>
        </w:p>
        <w:p>
          <w:pPr>
            <w:pStyle w:val="11"/>
            <w:tabs>
              <w:tab w:val="right" w:leader="dot" w:pos="8306"/>
              <w:tab w:val="clear" w:pos="8296"/>
            </w:tabs>
          </w:pPr>
          <w:r>
            <w:rPr>
              <w:rFonts w:ascii="Times New Roman" w:hAnsi="Times New Roman"/>
              <w:szCs w:val="32"/>
            </w:rPr>
            <w:fldChar w:fldCharType="begin"/>
          </w:r>
          <w:r>
            <w:rPr>
              <w:rFonts w:ascii="Times New Roman" w:hAnsi="Times New Roman"/>
              <w:szCs w:val="32"/>
            </w:rPr>
            <w:instrText xml:space="preserve"> HYPERLINK \l _Toc25914 </w:instrText>
          </w:r>
          <w:r>
            <w:rPr>
              <w:rFonts w:ascii="Times New Roman" w:hAnsi="Times New Roman"/>
              <w:szCs w:val="32"/>
            </w:rPr>
            <w:fldChar w:fldCharType="separate"/>
          </w:r>
          <w:r>
            <w:rPr>
              <w:rFonts w:hint="eastAsia" w:ascii="Times New Roman" w:hAnsi="Times New Roman" w:eastAsia="黑体"/>
            </w:rPr>
            <w:t>五、存在主要问题</w:t>
          </w:r>
          <w:r>
            <w:tab/>
          </w:r>
          <w:r>
            <w:fldChar w:fldCharType="begin"/>
          </w:r>
          <w:r>
            <w:instrText xml:space="preserve"> PAGEREF _Toc25914 \h </w:instrText>
          </w:r>
          <w:r>
            <w:fldChar w:fldCharType="separate"/>
          </w:r>
          <w:r>
            <w:t>18</w:t>
          </w:r>
          <w:r>
            <w:fldChar w:fldCharType="end"/>
          </w:r>
          <w:r>
            <w:rPr>
              <w:rFonts w:ascii="Times New Roman" w:hAnsi="Times New Roman"/>
              <w:szCs w:val="32"/>
            </w:rPr>
            <w:fldChar w:fldCharType="end"/>
          </w:r>
        </w:p>
        <w:p>
          <w:pPr>
            <w:pStyle w:val="14"/>
            <w:tabs>
              <w:tab w:val="right" w:leader="dot" w:pos="8306"/>
            </w:tabs>
            <w:ind w:left="0" w:leftChars="0" w:firstLine="0" w:firstLineChars="0"/>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_Toc707 </w:instrText>
          </w:r>
          <w:r>
            <w:rPr>
              <w:rFonts w:ascii="Times New Roman" w:hAnsi="Times New Roman"/>
              <w:sz w:val="28"/>
              <w:szCs w:val="28"/>
            </w:rPr>
            <w:fldChar w:fldCharType="separate"/>
          </w:r>
          <w:r>
            <w:rPr>
              <w:rFonts w:hint="eastAsia" w:ascii="Times New Roman" w:hAnsi="Times New Roman"/>
              <w:sz w:val="28"/>
              <w:szCs w:val="28"/>
            </w:rPr>
            <w:t>（一）项目保障措施欠完善。</w:t>
          </w:r>
          <w:r>
            <w:rPr>
              <w:sz w:val="28"/>
              <w:szCs w:val="28"/>
            </w:rPr>
            <w:tab/>
          </w:r>
          <w:r>
            <w:rPr>
              <w:sz w:val="28"/>
              <w:szCs w:val="28"/>
            </w:rPr>
            <w:fldChar w:fldCharType="begin"/>
          </w:r>
          <w:r>
            <w:rPr>
              <w:sz w:val="28"/>
              <w:szCs w:val="28"/>
            </w:rPr>
            <w:instrText xml:space="preserve"> PAGEREF _Toc707 \h </w:instrText>
          </w:r>
          <w:r>
            <w:rPr>
              <w:sz w:val="28"/>
              <w:szCs w:val="28"/>
            </w:rPr>
            <w:fldChar w:fldCharType="separate"/>
          </w:r>
          <w:r>
            <w:rPr>
              <w:sz w:val="28"/>
              <w:szCs w:val="28"/>
            </w:rPr>
            <w:t>18</w:t>
          </w:r>
          <w:r>
            <w:rPr>
              <w:sz w:val="28"/>
              <w:szCs w:val="28"/>
            </w:rPr>
            <w:fldChar w:fldCharType="end"/>
          </w:r>
          <w:r>
            <w:rPr>
              <w:rFonts w:ascii="Times New Roman" w:hAnsi="Times New Roman"/>
              <w:sz w:val="28"/>
              <w:szCs w:val="28"/>
            </w:rPr>
            <w:fldChar w:fldCharType="end"/>
          </w:r>
        </w:p>
        <w:p>
          <w:pPr>
            <w:pStyle w:val="14"/>
            <w:tabs>
              <w:tab w:val="right" w:leader="dot" w:pos="8306"/>
            </w:tabs>
            <w:ind w:left="0" w:leftChars="0" w:firstLine="0" w:firstLineChars="0"/>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_Toc805 </w:instrText>
          </w:r>
          <w:r>
            <w:rPr>
              <w:rFonts w:ascii="Times New Roman" w:hAnsi="Times New Roman"/>
              <w:sz w:val="28"/>
              <w:szCs w:val="28"/>
            </w:rPr>
            <w:fldChar w:fldCharType="separate"/>
          </w:r>
          <w:r>
            <w:rPr>
              <w:rFonts w:hint="eastAsia" w:ascii="Times New Roman" w:hAnsi="Times New Roman"/>
              <w:sz w:val="28"/>
              <w:szCs w:val="28"/>
            </w:rPr>
            <w:t>（二）项目资金支出进度滞后，</w:t>
          </w:r>
          <w:r>
            <w:rPr>
              <w:rFonts w:hint="eastAsia" w:ascii="Times New Roman" w:hAnsi="Times New Roman"/>
              <w:sz w:val="28"/>
              <w:szCs w:val="28"/>
              <w:lang w:val="en-US" w:eastAsia="zh-CN"/>
            </w:rPr>
            <w:t>资金支出及会计核算</w:t>
          </w:r>
          <w:r>
            <w:rPr>
              <w:rFonts w:hint="eastAsia" w:ascii="Times New Roman" w:hAnsi="Times New Roman"/>
              <w:sz w:val="28"/>
              <w:szCs w:val="28"/>
            </w:rPr>
            <w:t>规范性不足。</w:t>
          </w:r>
          <w:r>
            <w:rPr>
              <w:sz w:val="28"/>
              <w:szCs w:val="28"/>
            </w:rPr>
            <w:tab/>
          </w:r>
          <w:r>
            <w:rPr>
              <w:sz w:val="28"/>
              <w:szCs w:val="28"/>
            </w:rPr>
            <w:fldChar w:fldCharType="begin"/>
          </w:r>
          <w:r>
            <w:rPr>
              <w:sz w:val="28"/>
              <w:szCs w:val="28"/>
            </w:rPr>
            <w:instrText xml:space="preserve"> PAGEREF _Toc805 \h </w:instrText>
          </w:r>
          <w:r>
            <w:rPr>
              <w:sz w:val="28"/>
              <w:szCs w:val="28"/>
            </w:rPr>
            <w:fldChar w:fldCharType="separate"/>
          </w:r>
          <w:r>
            <w:rPr>
              <w:sz w:val="28"/>
              <w:szCs w:val="28"/>
            </w:rPr>
            <w:t>18</w:t>
          </w:r>
          <w:r>
            <w:rPr>
              <w:sz w:val="28"/>
              <w:szCs w:val="28"/>
            </w:rPr>
            <w:fldChar w:fldCharType="end"/>
          </w:r>
          <w:r>
            <w:rPr>
              <w:rFonts w:ascii="Times New Roman" w:hAnsi="Times New Roman"/>
              <w:sz w:val="28"/>
              <w:szCs w:val="28"/>
            </w:rPr>
            <w:fldChar w:fldCharType="end"/>
          </w:r>
        </w:p>
        <w:p>
          <w:pPr>
            <w:pStyle w:val="14"/>
            <w:tabs>
              <w:tab w:val="right" w:leader="dot" w:pos="8306"/>
            </w:tabs>
            <w:ind w:left="0" w:leftChars="0" w:firstLine="0" w:firstLineChars="0"/>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_Toc21049 </w:instrText>
          </w:r>
          <w:r>
            <w:rPr>
              <w:rFonts w:ascii="Times New Roman" w:hAnsi="Times New Roman"/>
              <w:sz w:val="28"/>
              <w:szCs w:val="28"/>
            </w:rPr>
            <w:fldChar w:fldCharType="separate"/>
          </w:r>
          <w:r>
            <w:rPr>
              <w:rFonts w:hint="eastAsia" w:ascii="Times New Roman" w:hAnsi="Times New Roman"/>
              <w:sz w:val="28"/>
              <w:szCs w:val="28"/>
            </w:rPr>
            <w:t>（三）项目实施规范性有待提高。</w:t>
          </w:r>
          <w:r>
            <w:rPr>
              <w:sz w:val="28"/>
              <w:szCs w:val="28"/>
            </w:rPr>
            <w:tab/>
          </w:r>
          <w:r>
            <w:rPr>
              <w:sz w:val="28"/>
              <w:szCs w:val="28"/>
            </w:rPr>
            <w:fldChar w:fldCharType="begin"/>
          </w:r>
          <w:r>
            <w:rPr>
              <w:sz w:val="28"/>
              <w:szCs w:val="28"/>
            </w:rPr>
            <w:instrText xml:space="preserve"> PAGEREF _Toc21049 \h </w:instrText>
          </w:r>
          <w:r>
            <w:rPr>
              <w:sz w:val="28"/>
              <w:szCs w:val="28"/>
            </w:rPr>
            <w:fldChar w:fldCharType="separate"/>
          </w:r>
          <w:r>
            <w:rPr>
              <w:sz w:val="28"/>
              <w:szCs w:val="28"/>
            </w:rPr>
            <w:t>19</w:t>
          </w:r>
          <w:r>
            <w:rPr>
              <w:sz w:val="28"/>
              <w:szCs w:val="28"/>
            </w:rPr>
            <w:fldChar w:fldCharType="end"/>
          </w:r>
          <w:r>
            <w:rPr>
              <w:rFonts w:ascii="Times New Roman" w:hAnsi="Times New Roman"/>
              <w:sz w:val="28"/>
              <w:szCs w:val="28"/>
            </w:rPr>
            <w:fldChar w:fldCharType="end"/>
          </w:r>
        </w:p>
        <w:p>
          <w:pPr>
            <w:pStyle w:val="14"/>
            <w:tabs>
              <w:tab w:val="right" w:leader="dot" w:pos="8306"/>
            </w:tabs>
            <w:ind w:left="0" w:leftChars="0" w:firstLine="0" w:firstLineChars="0"/>
          </w:pPr>
          <w:r>
            <w:rPr>
              <w:rFonts w:ascii="Times New Roman" w:hAnsi="Times New Roman"/>
              <w:sz w:val="28"/>
              <w:szCs w:val="28"/>
            </w:rPr>
            <w:fldChar w:fldCharType="begin"/>
          </w:r>
          <w:r>
            <w:rPr>
              <w:rFonts w:ascii="Times New Roman" w:hAnsi="Times New Roman"/>
              <w:sz w:val="28"/>
              <w:szCs w:val="28"/>
            </w:rPr>
            <w:instrText xml:space="preserve"> HYPERLINK \l _Toc8899 </w:instrText>
          </w:r>
          <w:r>
            <w:rPr>
              <w:rFonts w:ascii="Times New Roman" w:hAnsi="Times New Roman"/>
              <w:sz w:val="28"/>
              <w:szCs w:val="28"/>
            </w:rPr>
            <w:fldChar w:fldCharType="separate"/>
          </w:r>
          <w:r>
            <w:rPr>
              <w:rFonts w:hint="eastAsia" w:ascii="Times New Roman" w:hAnsi="Times New Roman"/>
              <w:sz w:val="28"/>
              <w:szCs w:val="28"/>
            </w:rPr>
            <w:t>（四）老旧小区改造后长效作用与后续维护管理机制待加强。</w:t>
          </w:r>
          <w:r>
            <w:rPr>
              <w:sz w:val="28"/>
              <w:szCs w:val="28"/>
            </w:rPr>
            <w:tab/>
          </w:r>
          <w:r>
            <w:rPr>
              <w:sz w:val="28"/>
              <w:szCs w:val="28"/>
            </w:rPr>
            <w:fldChar w:fldCharType="begin"/>
          </w:r>
          <w:r>
            <w:rPr>
              <w:sz w:val="28"/>
              <w:szCs w:val="28"/>
            </w:rPr>
            <w:instrText xml:space="preserve"> PAGEREF _Toc8899 \h </w:instrText>
          </w:r>
          <w:r>
            <w:rPr>
              <w:sz w:val="28"/>
              <w:szCs w:val="28"/>
            </w:rPr>
            <w:fldChar w:fldCharType="separate"/>
          </w:r>
          <w:r>
            <w:rPr>
              <w:sz w:val="28"/>
              <w:szCs w:val="28"/>
            </w:rPr>
            <w:t>20</w:t>
          </w:r>
          <w:r>
            <w:rPr>
              <w:sz w:val="28"/>
              <w:szCs w:val="28"/>
            </w:rPr>
            <w:fldChar w:fldCharType="end"/>
          </w:r>
          <w:r>
            <w:rPr>
              <w:rFonts w:ascii="Times New Roman" w:hAnsi="Times New Roman"/>
              <w:sz w:val="28"/>
              <w:szCs w:val="28"/>
            </w:rPr>
            <w:fldChar w:fldCharType="end"/>
          </w:r>
        </w:p>
        <w:p>
          <w:pPr>
            <w:pStyle w:val="11"/>
            <w:tabs>
              <w:tab w:val="right" w:leader="dot" w:pos="8306"/>
              <w:tab w:val="clear" w:pos="8296"/>
            </w:tabs>
          </w:pPr>
          <w:r>
            <w:rPr>
              <w:rFonts w:ascii="Times New Roman" w:hAnsi="Times New Roman"/>
              <w:szCs w:val="32"/>
            </w:rPr>
            <w:fldChar w:fldCharType="begin"/>
          </w:r>
          <w:r>
            <w:rPr>
              <w:rFonts w:ascii="Times New Roman" w:hAnsi="Times New Roman"/>
              <w:szCs w:val="32"/>
            </w:rPr>
            <w:instrText xml:space="preserve"> HYPERLINK \l _Toc11398 </w:instrText>
          </w:r>
          <w:r>
            <w:rPr>
              <w:rFonts w:ascii="Times New Roman" w:hAnsi="Times New Roman"/>
              <w:szCs w:val="32"/>
            </w:rPr>
            <w:fldChar w:fldCharType="separate"/>
          </w:r>
          <w:r>
            <w:rPr>
              <w:rFonts w:hint="eastAsia" w:ascii="Times New Roman" w:hAnsi="Times New Roman" w:eastAsia="黑体"/>
            </w:rPr>
            <w:t>六、相关建议</w:t>
          </w:r>
          <w:r>
            <w:tab/>
          </w:r>
          <w:r>
            <w:fldChar w:fldCharType="begin"/>
          </w:r>
          <w:r>
            <w:instrText xml:space="preserve"> PAGEREF _Toc11398 \h </w:instrText>
          </w:r>
          <w:r>
            <w:fldChar w:fldCharType="separate"/>
          </w:r>
          <w:r>
            <w:t>21</w:t>
          </w:r>
          <w:r>
            <w:fldChar w:fldCharType="end"/>
          </w:r>
          <w:r>
            <w:rPr>
              <w:rFonts w:ascii="Times New Roman" w:hAnsi="Times New Roman"/>
              <w:szCs w:val="32"/>
            </w:rPr>
            <w:fldChar w:fldCharType="end"/>
          </w:r>
        </w:p>
        <w:p>
          <w:pPr>
            <w:pStyle w:val="14"/>
            <w:tabs>
              <w:tab w:val="right" w:leader="dot" w:pos="8306"/>
            </w:tabs>
            <w:ind w:left="0" w:leftChars="0" w:firstLine="0" w:firstLineChars="0"/>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_Toc16141 </w:instrText>
          </w:r>
          <w:r>
            <w:rPr>
              <w:rFonts w:ascii="Times New Roman" w:hAnsi="Times New Roman"/>
              <w:sz w:val="28"/>
              <w:szCs w:val="28"/>
            </w:rPr>
            <w:fldChar w:fldCharType="separate"/>
          </w:r>
          <w:r>
            <w:rPr>
              <w:rFonts w:hint="eastAsia" w:ascii="Times New Roman" w:hAnsi="Times New Roman"/>
              <w:sz w:val="28"/>
              <w:szCs w:val="28"/>
            </w:rPr>
            <w:t>（一）完善项目相关管理制度，加强改造项目实施保障。</w:t>
          </w:r>
          <w:r>
            <w:rPr>
              <w:sz w:val="28"/>
              <w:szCs w:val="28"/>
            </w:rPr>
            <w:tab/>
          </w:r>
          <w:r>
            <w:rPr>
              <w:sz w:val="28"/>
              <w:szCs w:val="28"/>
            </w:rPr>
            <w:fldChar w:fldCharType="begin"/>
          </w:r>
          <w:r>
            <w:rPr>
              <w:sz w:val="28"/>
              <w:szCs w:val="28"/>
            </w:rPr>
            <w:instrText xml:space="preserve"> PAGEREF _Toc16141 \h </w:instrText>
          </w:r>
          <w:r>
            <w:rPr>
              <w:sz w:val="28"/>
              <w:szCs w:val="28"/>
            </w:rPr>
            <w:fldChar w:fldCharType="separate"/>
          </w:r>
          <w:r>
            <w:rPr>
              <w:sz w:val="28"/>
              <w:szCs w:val="28"/>
            </w:rPr>
            <w:t>21</w:t>
          </w:r>
          <w:r>
            <w:rPr>
              <w:sz w:val="28"/>
              <w:szCs w:val="28"/>
            </w:rPr>
            <w:fldChar w:fldCharType="end"/>
          </w:r>
          <w:r>
            <w:rPr>
              <w:rFonts w:ascii="Times New Roman" w:hAnsi="Times New Roman"/>
              <w:sz w:val="28"/>
              <w:szCs w:val="28"/>
            </w:rPr>
            <w:fldChar w:fldCharType="end"/>
          </w:r>
        </w:p>
        <w:p>
          <w:pPr>
            <w:pStyle w:val="14"/>
            <w:tabs>
              <w:tab w:val="right" w:leader="dot" w:pos="8306"/>
            </w:tabs>
            <w:ind w:left="0" w:leftChars="0" w:firstLine="0" w:firstLineChars="0"/>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_Toc21046 </w:instrText>
          </w:r>
          <w:r>
            <w:rPr>
              <w:rFonts w:ascii="Times New Roman" w:hAnsi="Times New Roman"/>
              <w:sz w:val="28"/>
              <w:szCs w:val="28"/>
            </w:rPr>
            <w:fldChar w:fldCharType="separate"/>
          </w:r>
          <w:r>
            <w:rPr>
              <w:rFonts w:hint="eastAsia" w:ascii="Times New Roman" w:hAnsi="Times New Roman"/>
              <w:sz w:val="28"/>
              <w:szCs w:val="28"/>
            </w:rPr>
            <w:t>（二）规范资金支出管理，加强</w:t>
          </w:r>
          <w:r>
            <w:rPr>
              <w:rFonts w:hint="eastAsia" w:ascii="Times New Roman" w:hAnsi="Times New Roman"/>
              <w:sz w:val="28"/>
              <w:szCs w:val="28"/>
              <w:lang w:val="en-US" w:eastAsia="zh-CN"/>
            </w:rPr>
            <w:t>改造过程</w:t>
          </w:r>
          <w:r>
            <w:rPr>
              <w:rFonts w:hint="eastAsia" w:ascii="Times New Roman" w:hAnsi="Times New Roman"/>
              <w:sz w:val="28"/>
              <w:szCs w:val="28"/>
            </w:rPr>
            <w:t>的有效监管。</w:t>
          </w:r>
          <w:r>
            <w:rPr>
              <w:sz w:val="28"/>
              <w:szCs w:val="28"/>
            </w:rPr>
            <w:tab/>
          </w:r>
          <w:r>
            <w:rPr>
              <w:sz w:val="28"/>
              <w:szCs w:val="28"/>
            </w:rPr>
            <w:fldChar w:fldCharType="begin"/>
          </w:r>
          <w:r>
            <w:rPr>
              <w:sz w:val="28"/>
              <w:szCs w:val="28"/>
            </w:rPr>
            <w:instrText xml:space="preserve"> PAGEREF _Toc21046 \h </w:instrText>
          </w:r>
          <w:r>
            <w:rPr>
              <w:sz w:val="28"/>
              <w:szCs w:val="28"/>
            </w:rPr>
            <w:fldChar w:fldCharType="separate"/>
          </w:r>
          <w:r>
            <w:rPr>
              <w:sz w:val="28"/>
              <w:szCs w:val="28"/>
            </w:rPr>
            <w:t>21</w:t>
          </w:r>
          <w:r>
            <w:rPr>
              <w:sz w:val="28"/>
              <w:szCs w:val="28"/>
            </w:rPr>
            <w:fldChar w:fldCharType="end"/>
          </w:r>
          <w:r>
            <w:rPr>
              <w:rFonts w:ascii="Times New Roman" w:hAnsi="Times New Roman"/>
              <w:sz w:val="28"/>
              <w:szCs w:val="28"/>
            </w:rPr>
            <w:fldChar w:fldCharType="end"/>
          </w:r>
        </w:p>
        <w:p>
          <w:pPr>
            <w:pStyle w:val="14"/>
            <w:tabs>
              <w:tab w:val="right" w:leader="dot" w:pos="8306"/>
            </w:tabs>
            <w:ind w:left="0" w:leftChars="0" w:firstLine="0" w:firstLineChars="0"/>
          </w:pPr>
          <w:r>
            <w:rPr>
              <w:rFonts w:ascii="Times New Roman" w:hAnsi="Times New Roman"/>
              <w:sz w:val="28"/>
              <w:szCs w:val="28"/>
            </w:rPr>
            <w:fldChar w:fldCharType="begin"/>
          </w:r>
          <w:r>
            <w:rPr>
              <w:rFonts w:ascii="Times New Roman" w:hAnsi="Times New Roman"/>
              <w:sz w:val="28"/>
              <w:szCs w:val="28"/>
            </w:rPr>
            <w:instrText xml:space="preserve"> HYPERLINK \l _Toc27123 </w:instrText>
          </w:r>
          <w:r>
            <w:rPr>
              <w:rFonts w:ascii="Times New Roman" w:hAnsi="Times New Roman"/>
              <w:sz w:val="28"/>
              <w:szCs w:val="28"/>
            </w:rPr>
            <w:fldChar w:fldCharType="separate"/>
          </w:r>
          <w:r>
            <w:rPr>
              <w:rFonts w:hint="eastAsia" w:ascii="Times New Roman" w:hAnsi="Times New Roman"/>
              <w:sz w:val="28"/>
              <w:szCs w:val="28"/>
            </w:rPr>
            <w:t>（三）建立改造项目长效作用发挥与后续维护管理机制。</w:t>
          </w:r>
          <w:r>
            <w:rPr>
              <w:sz w:val="28"/>
              <w:szCs w:val="28"/>
            </w:rPr>
            <w:tab/>
          </w:r>
          <w:r>
            <w:rPr>
              <w:sz w:val="28"/>
              <w:szCs w:val="28"/>
            </w:rPr>
            <w:fldChar w:fldCharType="begin"/>
          </w:r>
          <w:r>
            <w:rPr>
              <w:sz w:val="28"/>
              <w:szCs w:val="28"/>
            </w:rPr>
            <w:instrText xml:space="preserve"> PAGEREF _Toc27123 \h </w:instrText>
          </w:r>
          <w:r>
            <w:rPr>
              <w:sz w:val="28"/>
              <w:szCs w:val="28"/>
            </w:rPr>
            <w:fldChar w:fldCharType="separate"/>
          </w:r>
          <w:r>
            <w:rPr>
              <w:sz w:val="28"/>
              <w:szCs w:val="28"/>
            </w:rPr>
            <w:t>22</w:t>
          </w:r>
          <w:r>
            <w:rPr>
              <w:sz w:val="28"/>
              <w:szCs w:val="28"/>
            </w:rPr>
            <w:fldChar w:fldCharType="end"/>
          </w:r>
          <w:r>
            <w:rPr>
              <w:rFonts w:ascii="Times New Roman" w:hAnsi="Times New Roman"/>
              <w:sz w:val="28"/>
              <w:szCs w:val="28"/>
            </w:rPr>
            <w:fldChar w:fldCharType="end"/>
          </w:r>
        </w:p>
        <w:p>
          <w:pPr>
            <w:pStyle w:val="11"/>
            <w:tabs>
              <w:tab w:val="right" w:leader="dot" w:pos="8306"/>
              <w:tab w:val="clear" w:pos="8296"/>
            </w:tabs>
            <w:rPr>
              <w:rFonts w:ascii="Times New Roman" w:hAnsi="Times New Roman"/>
              <w:szCs w:val="32"/>
            </w:rPr>
          </w:pPr>
        </w:p>
        <w:p>
          <w:pPr>
            <w:pStyle w:val="11"/>
            <w:tabs>
              <w:tab w:val="right" w:leader="dot" w:pos="8306"/>
              <w:tab w:val="clear" w:pos="8296"/>
            </w:tabs>
            <w:rPr>
              <w:rFonts w:hint="eastAsia" w:ascii="Times New Roman" w:hAnsi="Times New Roman" w:eastAsia="仿宋_GB2312" w:cstheme="minorBidi"/>
              <w:kern w:val="2"/>
              <w:sz w:val="28"/>
              <w:szCs w:val="28"/>
              <w:lang w:val="en-US" w:eastAsia="zh-CN" w:bidi="ar-SA"/>
            </w:rPr>
          </w:pPr>
          <w:r>
            <w:rPr>
              <w:rFonts w:hint="eastAsia" w:ascii="Times New Roman" w:hAnsi="Times New Roman" w:eastAsia="仿宋_GB2312" w:cstheme="minorBidi"/>
              <w:kern w:val="2"/>
              <w:sz w:val="28"/>
              <w:szCs w:val="28"/>
              <w:lang w:val="en-US" w:eastAsia="zh-CN" w:bidi="ar-SA"/>
            </w:rPr>
            <w:fldChar w:fldCharType="begin"/>
          </w:r>
          <w:r>
            <w:rPr>
              <w:rFonts w:hint="eastAsia" w:ascii="Times New Roman" w:hAnsi="Times New Roman" w:eastAsia="仿宋_GB2312" w:cstheme="minorBidi"/>
              <w:kern w:val="2"/>
              <w:sz w:val="28"/>
              <w:szCs w:val="28"/>
              <w:lang w:val="en-US" w:eastAsia="zh-CN" w:bidi="ar-SA"/>
            </w:rPr>
            <w:instrText xml:space="preserve"> HYPERLINK \l _Toc23238 </w:instrText>
          </w:r>
          <w:r>
            <w:rPr>
              <w:rFonts w:hint="eastAsia" w:ascii="Times New Roman" w:hAnsi="Times New Roman" w:eastAsia="仿宋_GB2312" w:cstheme="minorBidi"/>
              <w:kern w:val="2"/>
              <w:sz w:val="28"/>
              <w:szCs w:val="28"/>
              <w:lang w:val="en-US" w:eastAsia="zh-CN" w:bidi="ar-SA"/>
            </w:rPr>
            <w:fldChar w:fldCharType="separate"/>
          </w:r>
          <w:r>
            <w:rPr>
              <w:rFonts w:hint="eastAsia" w:ascii="Times New Roman" w:hAnsi="Times New Roman" w:eastAsia="仿宋_GB2312" w:cstheme="minorBidi"/>
              <w:kern w:val="2"/>
              <w:sz w:val="28"/>
              <w:szCs w:val="28"/>
              <w:lang w:val="en-US" w:eastAsia="zh-CN" w:bidi="ar-SA"/>
            </w:rPr>
            <w:t>附件1：绩效评价工作开展情况</w:t>
          </w:r>
          <w:r>
            <w:rPr>
              <w:rFonts w:hint="eastAsia" w:ascii="Times New Roman" w:hAnsi="Times New Roman" w:eastAsia="仿宋_GB2312" w:cstheme="minorBidi"/>
              <w:kern w:val="2"/>
              <w:sz w:val="28"/>
              <w:szCs w:val="28"/>
              <w:lang w:val="en-US" w:eastAsia="zh-CN" w:bidi="ar-SA"/>
            </w:rPr>
            <w:tab/>
          </w:r>
          <w:r>
            <w:rPr>
              <w:rFonts w:hint="eastAsia" w:ascii="Times New Roman" w:hAnsi="Times New Roman" w:eastAsia="仿宋_GB2312" w:cstheme="minorBidi"/>
              <w:kern w:val="2"/>
              <w:sz w:val="28"/>
              <w:szCs w:val="28"/>
              <w:lang w:val="en-US" w:eastAsia="zh-CN" w:bidi="ar-SA"/>
            </w:rPr>
            <w:fldChar w:fldCharType="begin"/>
          </w:r>
          <w:r>
            <w:rPr>
              <w:rFonts w:hint="eastAsia" w:ascii="Times New Roman" w:hAnsi="Times New Roman" w:eastAsia="仿宋_GB2312" w:cstheme="minorBidi"/>
              <w:kern w:val="2"/>
              <w:sz w:val="28"/>
              <w:szCs w:val="28"/>
              <w:lang w:val="en-US" w:eastAsia="zh-CN" w:bidi="ar-SA"/>
            </w:rPr>
            <w:instrText xml:space="preserve"> PAGEREF _Toc23238 \h </w:instrText>
          </w:r>
          <w:r>
            <w:rPr>
              <w:rFonts w:hint="eastAsia" w:ascii="Times New Roman" w:hAnsi="Times New Roman" w:eastAsia="仿宋_GB2312" w:cstheme="minorBidi"/>
              <w:kern w:val="2"/>
              <w:sz w:val="28"/>
              <w:szCs w:val="28"/>
              <w:lang w:val="en-US" w:eastAsia="zh-CN" w:bidi="ar-SA"/>
            </w:rPr>
            <w:fldChar w:fldCharType="separate"/>
          </w:r>
          <w:r>
            <w:rPr>
              <w:rFonts w:hint="eastAsia" w:ascii="Times New Roman" w:hAnsi="Times New Roman" w:eastAsia="仿宋_GB2312" w:cstheme="minorBidi"/>
              <w:kern w:val="2"/>
              <w:sz w:val="28"/>
              <w:szCs w:val="28"/>
              <w:lang w:val="en-US" w:eastAsia="zh-CN" w:bidi="ar-SA"/>
            </w:rPr>
            <w:t>24</w:t>
          </w:r>
          <w:r>
            <w:rPr>
              <w:rFonts w:hint="eastAsia" w:ascii="Times New Roman" w:hAnsi="Times New Roman" w:eastAsia="仿宋_GB2312" w:cstheme="minorBidi"/>
              <w:kern w:val="2"/>
              <w:sz w:val="28"/>
              <w:szCs w:val="28"/>
              <w:lang w:val="en-US" w:eastAsia="zh-CN" w:bidi="ar-SA"/>
            </w:rPr>
            <w:fldChar w:fldCharType="end"/>
          </w:r>
          <w:r>
            <w:rPr>
              <w:rFonts w:hint="eastAsia" w:ascii="Times New Roman" w:hAnsi="Times New Roman" w:eastAsia="仿宋_GB2312" w:cstheme="minorBidi"/>
              <w:kern w:val="2"/>
              <w:sz w:val="28"/>
              <w:szCs w:val="28"/>
              <w:lang w:val="en-US" w:eastAsia="zh-CN" w:bidi="ar-SA"/>
            </w:rPr>
            <w:fldChar w:fldCharType="end"/>
          </w:r>
        </w:p>
        <w:p>
          <w:pPr>
            <w:pStyle w:val="11"/>
            <w:tabs>
              <w:tab w:val="right" w:leader="dot" w:pos="8306"/>
              <w:tab w:val="clear" w:pos="8296"/>
            </w:tabs>
            <w:rPr>
              <w:rFonts w:hint="eastAsia" w:ascii="Times New Roman" w:hAnsi="Times New Roman" w:eastAsia="仿宋_GB2312" w:cstheme="minorBidi"/>
              <w:kern w:val="2"/>
              <w:sz w:val="28"/>
              <w:szCs w:val="28"/>
              <w:lang w:val="en-US" w:eastAsia="zh-CN" w:bidi="ar-SA"/>
            </w:rPr>
          </w:pPr>
          <w:r>
            <w:rPr>
              <w:rFonts w:hint="eastAsia" w:ascii="Times New Roman" w:hAnsi="Times New Roman" w:eastAsia="仿宋_GB2312" w:cstheme="minorBidi"/>
              <w:kern w:val="2"/>
              <w:sz w:val="28"/>
              <w:szCs w:val="28"/>
              <w:lang w:val="en-US" w:eastAsia="zh-CN" w:bidi="ar-SA"/>
            </w:rPr>
            <w:fldChar w:fldCharType="begin"/>
          </w:r>
          <w:r>
            <w:rPr>
              <w:rFonts w:hint="eastAsia" w:ascii="Times New Roman" w:hAnsi="Times New Roman" w:eastAsia="仿宋_GB2312" w:cstheme="minorBidi"/>
              <w:kern w:val="2"/>
              <w:sz w:val="28"/>
              <w:szCs w:val="28"/>
              <w:lang w:val="en-US" w:eastAsia="zh-CN" w:bidi="ar-SA"/>
            </w:rPr>
            <w:instrText xml:space="preserve"> HYPERLINK \l _Toc7453 </w:instrText>
          </w:r>
          <w:r>
            <w:rPr>
              <w:rFonts w:hint="eastAsia" w:ascii="Times New Roman" w:hAnsi="Times New Roman" w:eastAsia="仿宋_GB2312" w:cstheme="minorBidi"/>
              <w:kern w:val="2"/>
              <w:sz w:val="28"/>
              <w:szCs w:val="28"/>
              <w:lang w:val="en-US" w:eastAsia="zh-CN" w:bidi="ar-SA"/>
            </w:rPr>
            <w:fldChar w:fldCharType="separate"/>
          </w:r>
          <w:r>
            <w:rPr>
              <w:rFonts w:hint="eastAsia" w:ascii="Times New Roman" w:hAnsi="Times New Roman" w:eastAsia="仿宋_GB2312" w:cstheme="minorBidi"/>
              <w:kern w:val="2"/>
              <w:sz w:val="28"/>
              <w:szCs w:val="28"/>
              <w:lang w:val="en-US" w:eastAsia="zh-CN" w:bidi="ar-SA"/>
            </w:rPr>
            <w:t>附件2：梅州市财政支出项目重点绩效评价指标评分表</w:t>
          </w:r>
          <w:r>
            <w:rPr>
              <w:rFonts w:hint="eastAsia" w:ascii="Times New Roman" w:hAnsi="Times New Roman" w:eastAsia="仿宋_GB2312" w:cstheme="minorBidi"/>
              <w:kern w:val="2"/>
              <w:sz w:val="28"/>
              <w:szCs w:val="28"/>
              <w:lang w:val="en-US" w:eastAsia="zh-CN" w:bidi="ar-SA"/>
            </w:rPr>
            <w:tab/>
          </w:r>
          <w:r>
            <w:rPr>
              <w:rFonts w:hint="eastAsia" w:ascii="Times New Roman" w:hAnsi="Times New Roman" w:eastAsia="仿宋_GB2312" w:cstheme="minorBidi"/>
              <w:kern w:val="2"/>
              <w:sz w:val="28"/>
              <w:szCs w:val="28"/>
              <w:lang w:val="en-US" w:eastAsia="zh-CN" w:bidi="ar-SA"/>
            </w:rPr>
            <w:fldChar w:fldCharType="begin"/>
          </w:r>
          <w:r>
            <w:rPr>
              <w:rFonts w:hint="eastAsia" w:ascii="Times New Roman" w:hAnsi="Times New Roman" w:eastAsia="仿宋_GB2312" w:cstheme="minorBidi"/>
              <w:kern w:val="2"/>
              <w:sz w:val="28"/>
              <w:szCs w:val="28"/>
              <w:lang w:val="en-US" w:eastAsia="zh-CN" w:bidi="ar-SA"/>
            </w:rPr>
            <w:instrText xml:space="preserve"> PAGEREF _Toc7453 \h </w:instrText>
          </w:r>
          <w:r>
            <w:rPr>
              <w:rFonts w:hint="eastAsia" w:ascii="Times New Roman" w:hAnsi="Times New Roman" w:eastAsia="仿宋_GB2312" w:cstheme="minorBidi"/>
              <w:kern w:val="2"/>
              <w:sz w:val="28"/>
              <w:szCs w:val="28"/>
              <w:lang w:val="en-US" w:eastAsia="zh-CN" w:bidi="ar-SA"/>
            </w:rPr>
            <w:fldChar w:fldCharType="separate"/>
          </w:r>
          <w:r>
            <w:rPr>
              <w:rFonts w:hint="eastAsia" w:ascii="Times New Roman" w:hAnsi="Times New Roman" w:eastAsia="仿宋_GB2312" w:cstheme="minorBidi"/>
              <w:kern w:val="2"/>
              <w:sz w:val="28"/>
              <w:szCs w:val="28"/>
              <w:lang w:val="en-US" w:eastAsia="zh-CN" w:bidi="ar-SA"/>
            </w:rPr>
            <w:t>32</w:t>
          </w:r>
          <w:r>
            <w:rPr>
              <w:rFonts w:hint="eastAsia" w:ascii="Times New Roman" w:hAnsi="Times New Roman" w:eastAsia="仿宋_GB2312" w:cstheme="minorBidi"/>
              <w:kern w:val="2"/>
              <w:sz w:val="28"/>
              <w:szCs w:val="28"/>
              <w:lang w:val="en-US" w:eastAsia="zh-CN" w:bidi="ar-SA"/>
            </w:rPr>
            <w:fldChar w:fldCharType="end"/>
          </w:r>
          <w:r>
            <w:rPr>
              <w:rFonts w:hint="eastAsia" w:ascii="Times New Roman" w:hAnsi="Times New Roman" w:eastAsia="仿宋_GB2312" w:cstheme="minorBidi"/>
              <w:kern w:val="2"/>
              <w:sz w:val="28"/>
              <w:szCs w:val="28"/>
              <w:lang w:val="en-US" w:eastAsia="zh-CN" w:bidi="ar-SA"/>
            </w:rPr>
            <w:fldChar w:fldCharType="end"/>
          </w:r>
        </w:p>
        <w:p>
          <w:pPr>
            <w:pStyle w:val="11"/>
            <w:tabs>
              <w:tab w:val="right" w:leader="dot" w:pos="8306"/>
              <w:tab w:val="clear" w:pos="8296"/>
            </w:tabs>
            <w:rPr>
              <w:sz w:val="30"/>
              <w:szCs w:val="30"/>
            </w:rPr>
          </w:pPr>
          <w:r>
            <w:rPr>
              <w:rFonts w:hint="eastAsia" w:ascii="Times New Roman" w:hAnsi="Times New Roman" w:eastAsia="仿宋_GB2312" w:cstheme="minorBidi"/>
              <w:kern w:val="2"/>
              <w:sz w:val="28"/>
              <w:szCs w:val="28"/>
              <w:lang w:val="en-US" w:eastAsia="zh-CN" w:bidi="ar-SA"/>
            </w:rPr>
            <w:fldChar w:fldCharType="begin"/>
          </w:r>
          <w:r>
            <w:rPr>
              <w:rFonts w:hint="eastAsia" w:ascii="Times New Roman" w:hAnsi="Times New Roman" w:eastAsia="仿宋_GB2312" w:cstheme="minorBidi"/>
              <w:kern w:val="2"/>
              <w:sz w:val="28"/>
              <w:szCs w:val="28"/>
              <w:lang w:val="en-US" w:eastAsia="zh-CN" w:bidi="ar-SA"/>
            </w:rPr>
            <w:instrText xml:space="preserve"> HYPERLINK \l _Toc8405 </w:instrText>
          </w:r>
          <w:r>
            <w:rPr>
              <w:rFonts w:hint="eastAsia" w:ascii="Times New Roman" w:hAnsi="Times New Roman" w:eastAsia="仿宋_GB2312" w:cstheme="minorBidi"/>
              <w:kern w:val="2"/>
              <w:sz w:val="28"/>
              <w:szCs w:val="28"/>
              <w:lang w:val="en-US" w:eastAsia="zh-CN" w:bidi="ar-SA"/>
            </w:rPr>
            <w:fldChar w:fldCharType="separate"/>
          </w:r>
          <w:r>
            <w:rPr>
              <w:rFonts w:hint="eastAsia" w:ascii="Times New Roman" w:hAnsi="Times New Roman" w:eastAsia="仿宋_GB2312" w:cstheme="minorBidi"/>
              <w:kern w:val="2"/>
              <w:sz w:val="28"/>
              <w:szCs w:val="28"/>
              <w:lang w:val="en-US" w:eastAsia="zh-CN" w:bidi="ar-SA"/>
            </w:rPr>
            <w:t>附件3：公众或服务对象满意度调查结果</w:t>
          </w:r>
          <w:r>
            <w:rPr>
              <w:rFonts w:hint="eastAsia" w:ascii="Times New Roman" w:hAnsi="Times New Roman" w:eastAsia="仿宋_GB2312" w:cstheme="minorBidi"/>
              <w:kern w:val="2"/>
              <w:sz w:val="28"/>
              <w:szCs w:val="28"/>
              <w:lang w:val="en-US" w:eastAsia="zh-CN" w:bidi="ar-SA"/>
            </w:rPr>
            <w:tab/>
          </w:r>
          <w:r>
            <w:rPr>
              <w:rFonts w:hint="eastAsia" w:ascii="Times New Roman" w:hAnsi="Times New Roman" w:eastAsia="仿宋_GB2312" w:cstheme="minorBidi"/>
              <w:kern w:val="2"/>
              <w:sz w:val="28"/>
              <w:szCs w:val="28"/>
              <w:lang w:val="en-US" w:eastAsia="zh-CN" w:bidi="ar-SA"/>
            </w:rPr>
            <w:fldChar w:fldCharType="begin"/>
          </w:r>
          <w:r>
            <w:rPr>
              <w:rFonts w:hint="eastAsia" w:ascii="Times New Roman" w:hAnsi="Times New Roman" w:eastAsia="仿宋_GB2312" w:cstheme="minorBidi"/>
              <w:kern w:val="2"/>
              <w:sz w:val="28"/>
              <w:szCs w:val="28"/>
              <w:lang w:val="en-US" w:eastAsia="zh-CN" w:bidi="ar-SA"/>
            </w:rPr>
            <w:instrText xml:space="preserve"> PAGEREF _Toc8405 \h </w:instrText>
          </w:r>
          <w:r>
            <w:rPr>
              <w:rFonts w:hint="eastAsia" w:ascii="Times New Roman" w:hAnsi="Times New Roman" w:eastAsia="仿宋_GB2312" w:cstheme="minorBidi"/>
              <w:kern w:val="2"/>
              <w:sz w:val="28"/>
              <w:szCs w:val="28"/>
              <w:lang w:val="en-US" w:eastAsia="zh-CN" w:bidi="ar-SA"/>
            </w:rPr>
            <w:fldChar w:fldCharType="separate"/>
          </w:r>
          <w:r>
            <w:rPr>
              <w:rFonts w:hint="eastAsia" w:ascii="Times New Roman" w:hAnsi="Times New Roman" w:eastAsia="仿宋_GB2312" w:cstheme="minorBidi"/>
              <w:kern w:val="2"/>
              <w:sz w:val="28"/>
              <w:szCs w:val="28"/>
              <w:lang w:val="en-US" w:eastAsia="zh-CN" w:bidi="ar-SA"/>
            </w:rPr>
            <w:t>36</w:t>
          </w:r>
          <w:r>
            <w:rPr>
              <w:rFonts w:hint="eastAsia" w:ascii="Times New Roman" w:hAnsi="Times New Roman" w:eastAsia="仿宋_GB2312" w:cstheme="minorBidi"/>
              <w:kern w:val="2"/>
              <w:sz w:val="28"/>
              <w:szCs w:val="28"/>
              <w:lang w:val="en-US" w:eastAsia="zh-CN" w:bidi="ar-SA"/>
            </w:rPr>
            <w:fldChar w:fldCharType="end"/>
          </w:r>
          <w:r>
            <w:rPr>
              <w:rFonts w:hint="eastAsia" w:ascii="Times New Roman" w:hAnsi="Times New Roman" w:eastAsia="仿宋_GB2312" w:cstheme="minorBidi"/>
              <w:kern w:val="2"/>
              <w:sz w:val="28"/>
              <w:szCs w:val="28"/>
              <w:lang w:val="en-US" w:eastAsia="zh-CN" w:bidi="ar-SA"/>
            </w:rPr>
            <w:fldChar w:fldCharType="end"/>
          </w:r>
        </w:p>
        <w:p>
          <w:pPr>
            <w:spacing w:line="276" w:lineRule="auto"/>
            <w:ind w:firstLine="0" w:firstLineChars="0"/>
            <w:jc w:val="left"/>
            <w:rPr>
              <w:rFonts w:ascii="Times New Roman" w:hAnsi="Times New Roman"/>
              <w:sz w:val="28"/>
              <w:szCs w:val="32"/>
            </w:rPr>
          </w:pPr>
          <w:r>
            <w:rPr>
              <w:rFonts w:ascii="Times New Roman" w:hAnsi="Times New Roman"/>
              <w:sz w:val="28"/>
              <w:szCs w:val="32"/>
            </w:rPr>
            <w:fldChar w:fldCharType="end"/>
          </w:r>
        </w:p>
      </w:sdtContent>
    </w:sdt>
    <w:p>
      <w:pPr>
        <w:spacing w:line="360" w:lineRule="auto"/>
        <w:ind w:firstLine="0" w:firstLineChars="0"/>
        <w:jc w:val="center"/>
        <w:outlineLvl w:val="0"/>
        <w:rPr>
          <w:rFonts w:ascii="Times New Roman" w:hAnsi="Times New Roman" w:eastAsia="Arial Unicode MS"/>
          <w:b/>
          <w:sz w:val="40"/>
        </w:rPr>
        <w:sectPr>
          <w:footerReference r:id="rId11" w:type="default"/>
          <w:pgSz w:w="11906" w:h="16838"/>
          <w:pgMar w:top="1440" w:right="1800" w:bottom="1440" w:left="1800" w:header="851" w:footer="992" w:gutter="0"/>
          <w:pgNumType w:fmt="upperRoman" w:start="1"/>
          <w:cols w:space="425" w:num="1"/>
          <w:docGrid w:type="lines" w:linePitch="312" w:charSpace="0"/>
        </w:sectPr>
      </w:pPr>
    </w:p>
    <w:p>
      <w:pPr>
        <w:spacing w:line="360" w:lineRule="auto"/>
        <w:ind w:firstLine="0" w:firstLineChars="0"/>
        <w:jc w:val="center"/>
        <w:outlineLvl w:val="0"/>
        <w:rPr>
          <w:rFonts w:ascii="Times New Roman" w:hAnsi="Times New Roman"/>
          <w:b/>
          <w:szCs w:val="32"/>
        </w:rPr>
      </w:pPr>
      <w:bookmarkStart w:id="1" w:name="_Toc11467"/>
      <w:r>
        <w:rPr>
          <w:rFonts w:hint="eastAsia" w:ascii="Times New Roman" w:hAnsi="Times New Roman" w:eastAsia="Arial Unicode MS"/>
          <w:b/>
          <w:sz w:val="40"/>
        </w:rPr>
        <w:t>摘  要</w:t>
      </w:r>
      <w:bookmarkEnd w:id="1"/>
    </w:p>
    <w:p>
      <w:pPr>
        <w:widowControl/>
        <w:spacing w:line="360" w:lineRule="auto"/>
        <w:ind w:firstLine="640"/>
        <w:rPr>
          <w:rFonts w:ascii="Times New Roman" w:hAnsi="Times New Roman" w:cs="仿宋_GB2312"/>
          <w:szCs w:val="32"/>
        </w:rPr>
      </w:pPr>
      <w:r>
        <w:rPr>
          <w:rFonts w:hint="eastAsia" w:ascii="Times New Roman" w:hAnsi="仿宋_GB2312" w:cs="仿宋_GB2312"/>
          <w:szCs w:val="32"/>
        </w:rPr>
        <w:t>为贯彻落实党的十九大关于全面实施绩效管理的精神</w:t>
      </w:r>
      <w:r>
        <w:rPr>
          <w:rFonts w:hint="eastAsia" w:ascii="Times New Roman" w:hAnsi="Times New Roman" w:cs="仿宋_GB2312"/>
          <w:szCs w:val="32"/>
        </w:rPr>
        <w:t>,</w:t>
      </w:r>
      <w:r>
        <w:rPr>
          <w:rFonts w:hint="eastAsia" w:ascii="Times New Roman" w:hAnsi="仿宋_GB2312" w:cs="仿宋_GB2312"/>
          <w:szCs w:val="32"/>
        </w:rPr>
        <w:t>根据《梅州市财政局关于做好</w:t>
      </w:r>
      <w:r>
        <w:rPr>
          <w:rFonts w:hint="eastAsia" w:ascii="Times New Roman" w:hAnsi="Times New Roman" w:cs="仿宋_GB2312"/>
          <w:szCs w:val="32"/>
        </w:rPr>
        <w:t>2022</w:t>
      </w:r>
      <w:r>
        <w:rPr>
          <w:rFonts w:hint="eastAsia" w:ascii="Times New Roman" w:hAnsi="仿宋_GB2312" w:cs="仿宋_GB2312"/>
          <w:szCs w:val="32"/>
        </w:rPr>
        <w:t>年市级财政重点绩效评价工作的通知》（</w:t>
      </w:r>
      <w:bookmarkStart w:id="2" w:name="_Hlk54172886"/>
      <w:r>
        <w:rPr>
          <w:rFonts w:hint="eastAsia" w:ascii="Times New Roman" w:hAnsi="仿宋_GB2312" w:cs="仿宋_GB2312"/>
          <w:szCs w:val="32"/>
        </w:rPr>
        <w:t>梅市财评〔</w:t>
      </w:r>
      <w:r>
        <w:rPr>
          <w:rFonts w:hint="eastAsia" w:ascii="Times New Roman" w:hAnsi="Times New Roman" w:cs="仿宋_GB2312"/>
          <w:szCs w:val="32"/>
        </w:rPr>
        <w:t>2022</w:t>
      </w:r>
      <w:r>
        <w:rPr>
          <w:rFonts w:hint="eastAsia" w:ascii="Times New Roman" w:hAnsi="仿宋_GB2312" w:cs="仿宋_GB2312"/>
          <w:szCs w:val="32"/>
        </w:rPr>
        <w:t>〕</w:t>
      </w:r>
      <w:r>
        <w:rPr>
          <w:rFonts w:hint="eastAsia" w:ascii="Times New Roman" w:hAnsi="Times New Roman" w:cs="仿宋_GB2312"/>
          <w:szCs w:val="32"/>
        </w:rPr>
        <w:t>5</w:t>
      </w:r>
      <w:r>
        <w:rPr>
          <w:rFonts w:hint="eastAsia" w:ascii="Times New Roman" w:hAnsi="仿宋_GB2312" w:cs="仿宋_GB2312"/>
          <w:szCs w:val="32"/>
        </w:rPr>
        <w:t>号</w:t>
      </w:r>
      <w:bookmarkEnd w:id="2"/>
      <w:r>
        <w:rPr>
          <w:rFonts w:hint="eastAsia" w:ascii="Times New Roman" w:hAnsi="仿宋_GB2312" w:cs="仿宋_GB2312"/>
          <w:szCs w:val="32"/>
        </w:rPr>
        <w:t>）的要求，梅州市财政局（以下简称为</w:t>
      </w:r>
      <w:r>
        <w:rPr>
          <w:rFonts w:hint="eastAsia" w:ascii="Times New Roman" w:hAnsi="Times New Roman" w:cs="仿宋_GB2312"/>
          <w:szCs w:val="32"/>
        </w:rPr>
        <w:t>“</w:t>
      </w:r>
      <w:r>
        <w:rPr>
          <w:rFonts w:hint="eastAsia" w:ascii="Times New Roman" w:hAnsi="仿宋_GB2312" w:cs="仿宋_GB2312"/>
          <w:szCs w:val="32"/>
        </w:rPr>
        <w:t>市财政局</w:t>
      </w:r>
      <w:r>
        <w:rPr>
          <w:rFonts w:hint="eastAsia" w:ascii="Times New Roman" w:hAnsi="Times New Roman" w:cs="仿宋_GB2312"/>
          <w:szCs w:val="32"/>
        </w:rPr>
        <w:t>”</w:t>
      </w:r>
      <w:r>
        <w:rPr>
          <w:rFonts w:hint="eastAsia" w:ascii="Times New Roman" w:hAnsi="仿宋_GB2312" w:cs="仿宋_GB2312"/>
          <w:szCs w:val="32"/>
        </w:rPr>
        <w:t>）委托梅州同政会计师事务所（普通合伙）（以下简称</w:t>
      </w:r>
      <w:r>
        <w:rPr>
          <w:rFonts w:hint="eastAsia" w:ascii="Times New Roman" w:hAnsi="Times New Roman" w:cs="仿宋_GB2312"/>
          <w:szCs w:val="32"/>
        </w:rPr>
        <w:t>“</w:t>
      </w:r>
      <w:r>
        <w:rPr>
          <w:rFonts w:hint="eastAsia" w:ascii="Times New Roman" w:hAnsi="仿宋_GB2312" w:cs="仿宋_GB2312"/>
          <w:szCs w:val="32"/>
        </w:rPr>
        <w:t>我所</w:t>
      </w:r>
      <w:r>
        <w:rPr>
          <w:rFonts w:hint="eastAsia" w:ascii="Times New Roman" w:hAnsi="Times New Roman" w:cs="仿宋_GB2312"/>
          <w:szCs w:val="32"/>
        </w:rPr>
        <w:t>”</w:t>
      </w:r>
      <w:r>
        <w:rPr>
          <w:rFonts w:hint="eastAsia" w:ascii="Times New Roman" w:hAnsi="仿宋_GB2312" w:cs="仿宋_GB2312"/>
          <w:szCs w:val="32"/>
        </w:rPr>
        <w:t>）开展</w:t>
      </w:r>
      <w:r>
        <w:rPr>
          <w:rFonts w:hint="eastAsia" w:ascii="Times New Roman" w:hAnsi="Times New Roman" w:cs="仿宋_GB2312"/>
          <w:szCs w:val="32"/>
        </w:rPr>
        <w:t>2021</w:t>
      </w:r>
      <w:r>
        <w:rPr>
          <w:rFonts w:hint="eastAsia" w:ascii="Times New Roman" w:hAnsi="仿宋_GB2312" w:cs="仿宋_GB2312"/>
          <w:szCs w:val="32"/>
        </w:rPr>
        <w:t>年度市十件民生实事重点项目绩效评价工作。</w:t>
      </w:r>
    </w:p>
    <w:p>
      <w:pPr>
        <w:widowControl/>
        <w:spacing w:line="360" w:lineRule="auto"/>
        <w:ind w:firstLine="640"/>
        <w:rPr>
          <w:rFonts w:ascii="Times New Roman" w:hAnsi="Times New Roman" w:cs="仿宋_GB2312"/>
          <w:szCs w:val="32"/>
          <w:highlight w:val="yellow"/>
        </w:rPr>
      </w:pPr>
      <w:r>
        <w:rPr>
          <w:rFonts w:hint="eastAsia" w:ascii="Times New Roman" w:hAnsi="仿宋_GB2312" w:cs="仿宋_GB2312"/>
          <w:szCs w:val="32"/>
        </w:rPr>
        <w:t>本次对梅州市住房和城乡建设局</w:t>
      </w:r>
      <w:r>
        <w:rPr>
          <w:rFonts w:hint="eastAsia" w:ascii="Times New Roman" w:hAnsi="Times New Roman" w:cs="仿宋_GB2312"/>
          <w:szCs w:val="32"/>
        </w:rPr>
        <w:t>2021</w:t>
      </w:r>
      <w:r>
        <w:rPr>
          <w:rFonts w:hint="eastAsia" w:ascii="Times New Roman" w:hAnsi="仿宋_GB2312" w:cs="仿宋_GB2312"/>
          <w:szCs w:val="32"/>
        </w:rPr>
        <w:t>年度市十件民生实事项目</w:t>
      </w:r>
      <w:r>
        <w:rPr>
          <w:rFonts w:hint="eastAsia" w:ascii="Times New Roman" w:hAnsi="Times New Roman" w:cs="仿宋_GB2312"/>
          <w:szCs w:val="32"/>
        </w:rPr>
        <w:t>“</w:t>
      </w:r>
      <w:r>
        <w:rPr>
          <w:rFonts w:hint="eastAsia" w:ascii="Times New Roman" w:hAnsi="仿宋_GB2312" w:cs="仿宋_GB2312"/>
          <w:szCs w:val="32"/>
        </w:rPr>
        <w:t>推进城镇老旧小区改造</w:t>
      </w:r>
      <w:r>
        <w:rPr>
          <w:rFonts w:hint="eastAsia" w:ascii="Times New Roman" w:hAnsi="Times New Roman" w:cs="仿宋_GB2312"/>
          <w:szCs w:val="32"/>
        </w:rPr>
        <w:t>”</w:t>
      </w:r>
      <w:r>
        <w:rPr>
          <w:rFonts w:hint="eastAsia" w:ascii="Times New Roman" w:hAnsi="仿宋_GB2312" w:cs="仿宋_GB2312"/>
          <w:szCs w:val="32"/>
        </w:rPr>
        <w:t>进行重点绩效评价，涉及中央、省级财政统筹资金总额为</w:t>
      </w:r>
      <w:r>
        <w:rPr>
          <w:rFonts w:ascii="Times New Roman" w:hAnsi="Times New Roman" w:cs="仿宋_GB2312"/>
          <w:szCs w:val="32"/>
        </w:rPr>
        <w:t>24,762.30</w:t>
      </w:r>
      <w:r>
        <w:rPr>
          <w:rFonts w:hint="eastAsia" w:ascii="Times New Roman" w:hAnsi="仿宋_GB2312" w:cs="仿宋_GB2312"/>
          <w:szCs w:val="32"/>
        </w:rPr>
        <w:t>万元</w:t>
      </w:r>
      <w:r>
        <w:rPr>
          <w:rStyle w:val="23"/>
          <w:rFonts w:ascii="Times New Roman" w:hAnsi="Times New Roman" w:cs="仿宋_GB2312"/>
          <w:szCs w:val="32"/>
        </w:rPr>
        <w:footnoteReference w:id="0"/>
      </w:r>
      <w:r>
        <w:rPr>
          <w:rFonts w:hint="eastAsia" w:ascii="Times New Roman" w:hAnsi="仿宋_GB2312" w:cs="仿宋_GB2312"/>
          <w:szCs w:val="32"/>
        </w:rPr>
        <w:t>。本项目评价基准日为</w:t>
      </w:r>
      <w:r>
        <w:rPr>
          <w:rFonts w:hint="eastAsia" w:ascii="Times New Roman" w:hAnsi="Times New Roman" w:cs="仿宋_GB2312"/>
          <w:szCs w:val="32"/>
        </w:rPr>
        <w:t>2021</w:t>
      </w:r>
      <w:r>
        <w:rPr>
          <w:rFonts w:hint="eastAsia" w:ascii="Times New Roman" w:hAnsi="仿宋_GB2312" w:cs="仿宋_GB2312"/>
          <w:szCs w:val="32"/>
        </w:rPr>
        <w:t>年</w:t>
      </w:r>
      <w:r>
        <w:rPr>
          <w:rFonts w:hint="eastAsia" w:ascii="Times New Roman" w:hAnsi="Times New Roman" w:cs="仿宋_GB2312"/>
          <w:szCs w:val="32"/>
        </w:rPr>
        <w:t>12</w:t>
      </w:r>
      <w:r>
        <w:rPr>
          <w:rFonts w:hint="eastAsia" w:ascii="Times New Roman" w:hAnsi="仿宋_GB2312" w:cs="仿宋_GB2312"/>
          <w:szCs w:val="32"/>
        </w:rPr>
        <w:t>月</w:t>
      </w:r>
      <w:r>
        <w:rPr>
          <w:rFonts w:hint="eastAsia" w:ascii="Times New Roman" w:hAnsi="Times New Roman" w:cs="仿宋_GB2312"/>
          <w:szCs w:val="32"/>
        </w:rPr>
        <w:t>31</w:t>
      </w:r>
      <w:r>
        <w:rPr>
          <w:rFonts w:hint="eastAsia" w:ascii="Times New Roman" w:hAnsi="仿宋_GB2312" w:cs="仿宋_GB2312"/>
          <w:szCs w:val="32"/>
        </w:rPr>
        <w:t>日。</w:t>
      </w:r>
    </w:p>
    <w:p>
      <w:pPr>
        <w:spacing w:line="360" w:lineRule="auto"/>
        <w:ind w:firstLine="640"/>
        <w:rPr>
          <w:rFonts w:ascii="Times New Roman" w:hAnsi="Times New Roman" w:cs="仿宋_GB2312"/>
          <w:szCs w:val="32"/>
        </w:rPr>
      </w:pPr>
      <w:r>
        <w:rPr>
          <w:rFonts w:hint="eastAsia" w:ascii="Times New Roman" w:hAnsi="仿宋_GB2312" w:cs="仿宋_GB2312"/>
          <w:szCs w:val="32"/>
        </w:rPr>
        <w:t>根据市财政局要求以及合同约定，我所遵循</w:t>
      </w:r>
      <w:r>
        <w:rPr>
          <w:rFonts w:hint="eastAsia" w:ascii="Times New Roman" w:hAnsi="Times New Roman" w:cs="仿宋_GB2312"/>
          <w:szCs w:val="32"/>
        </w:rPr>
        <w:t>“</w:t>
      </w:r>
      <w:r>
        <w:rPr>
          <w:rFonts w:hint="eastAsia" w:ascii="Times New Roman" w:hAnsi="仿宋_GB2312" w:cs="仿宋_GB2312"/>
          <w:szCs w:val="32"/>
        </w:rPr>
        <w:t>客观、公正、科学、规范</w:t>
      </w:r>
      <w:r>
        <w:rPr>
          <w:rFonts w:hint="eastAsia" w:ascii="Times New Roman" w:hAnsi="Times New Roman" w:cs="仿宋_GB2312"/>
          <w:szCs w:val="32"/>
        </w:rPr>
        <w:t>”</w:t>
      </w:r>
      <w:r>
        <w:rPr>
          <w:rFonts w:hint="eastAsia" w:ascii="Times New Roman" w:hAnsi="仿宋_GB2312" w:cs="仿宋_GB2312"/>
          <w:szCs w:val="32"/>
        </w:rPr>
        <w:t>的原则，组织行业技术、财务会计、绩效评价等领域的</w:t>
      </w:r>
      <w:r>
        <w:rPr>
          <w:rFonts w:hint="eastAsia" w:ascii="Times New Roman" w:hAnsi="Times New Roman" w:cs="仿宋_GB2312"/>
          <w:szCs w:val="32"/>
        </w:rPr>
        <w:t>6</w:t>
      </w:r>
      <w:r>
        <w:rPr>
          <w:rFonts w:hint="eastAsia" w:ascii="Times New Roman" w:hAnsi="仿宋_GB2312" w:cs="仿宋_GB2312"/>
          <w:szCs w:val="32"/>
        </w:rPr>
        <w:t>名专家成立专家组，对项目的决策、管理、产出、效益等方面进行综合评价。我所对项目单位报送的自评资料及相关佐证材料进行整理后，通过书面评价、现场评价等程序形成专家组意见和绩效评价报告。项目单位对所报送的自评资料及相关佐证材料的合法性、真实性、完整性负责。</w:t>
      </w:r>
    </w:p>
    <w:p>
      <w:pPr>
        <w:spacing w:line="360" w:lineRule="auto"/>
        <w:ind w:firstLine="640"/>
        <w:rPr>
          <w:rFonts w:ascii="Times New Roman" w:hAnsi="仿宋_GB2312" w:cs="仿宋_GB2312"/>
          <w:bCs/>
          <w:szCs w:val="32"/>
        </w:rPr>
      </w:pPr>
      <w:r>
        <w:rPr>
          <w:rFonts w:hint="eastAsia" w:ascii="Times New Roman" w:hAnsi="仿宋_GB2312" w:cs="仿宋_GB2312"/>
          <w:szCs w:val="32"/>
        </w:rPr>
        <w:t>本次财政资金支出项目绩效评价等级分为优、良、中、差四个等级，结合专家组书面评价意见与现场评价情况，本项目绩效评价综合得分为8</w:t>
      </w:r>
      <w:r>
        <w:rPr>
          <w:rFonts w:hint="eastAsia" w:ascii="Times New Roman" w:hAnsi="仿宋_GB2312" w:cs="仿宋_GB2312"/>
          <w:szCs w:val="32"/>
          <w:lang w:val="en-US" w:eastAsia="zh-CN"/>
        </w:rPr>
        <w:t>8.18</w:t>
      </w:r>
      <w:r>
        <w:rPr>
          <w:rFonts w:hint="eastAsia" w:ascii="Times New Roman" w:hAnsi="仿宋_GB2312" w:cs="仿宋_GB2312"/>
          <w:szCs w:val="32"/>
        </w:rPr>
        <w:t>分，等级为良。本项目在实施的过程中存在如下问题：</w:t>
      </w:r>
      <w:bookmarkStart w:id="3" w:name="_Hlk88852805"/>
      <w:r>
        <w:rPr>
          <w:rFonts w:hint="eastAsia" w:ascii="Times New Roman" w:hAnsi="仿宋_GB2312" w:cs="仿宋_GB2312"/>
          <w:bCs/>
          <w:szCs w:val="32"/>
        </w:rPr>
        <w:t>一是项目保障措施欠完善；二是项目资金支出进度滞后；三是项目实施规范性有待提高；四</w:t>
      </w:r>
      <w:r>
        <w:rPr>
          <w:rFonts w:hint="eastAsia" w:ascii="Times New Roman" w:hAnsi="仿宋_GB2312" w:cs="仿宋_GB2312"/>
          <w:bCs/>
          <w:szCs w:val="32"/>
          <w:lang w:val="en-US" w:eastAsia="zh-CN"/>
        </w:rPr>
        <w:t>是</w:t>
      </w:r>
      <w:r>
        <w:rPr>
          <w:rFonts w:hint="eastAsia" w:ascii="Times New Roman" w:hAnsi="仿宋_GB2312" w:cs="仿宋_GB2312"/>
          <w:bCs/>
          <w:szCs w:val="32"/>
        </w:rPr>
        <w:t>老旧小区改造后长效作用与后续维护管理机制待加强。</w:t>
      </w:r>
    </w:p>
    <w:p>
      <w:pPr>
        <w:spacing w:line="360" w:lineRule="auto"/>
        <w:ind w:firstLine="640"/>
        <w:rPr>
          <w:rFonts w:ascii="Times New Roman" w:hAnsi="仿宋_GB2312" w:cs="仿宋_GB2312"/>
          <w:bCs/>
          <w:szCs w:val="32"/>
        </w:rPr>
      </w:pPr>
      <w:r>
        <w:rPr>
          <w:rFonts w:hint="eastAsia" w:ascii="Times New Roman" w:hAnsi="仿宋_GB2312" w:cs="仿宋_GB2312"/>
          <w:szCs w:val="32"/>
        </w:rPr>
        <w:t>针对问题，我所建议：</w:t>
      </w:r>
      <w:r>
        <w:rPr>
          <w:rFonts w:hint="eastAsia" w:ascii="Times New Roman" w:hAnsi="仿宋_GB2312" w:cs="仿宋_GB2312"/>
          <w:bCs/>
          <w:szCs w:val="32"/>
          <w:lang w:val="en-US" w:eastAsia="zh-CN"/>
        </w:rPr>
        <w:t>完善</w:t>
      </w:r>
      <w:r>
        <w:rPr>
          <w:rFonts w:hint="eastAsia" w:ascii="Times New Roman" w:hAnsi="仿宋_GB2312" w:cs="仿宋_GB2312"/>
          <w:bCs/>
          <w:szCs w:val="32"/>
        </w:rPr>
        <w:t>老旧小区改造项目保障</w:t>
      </w:r>
      <w:r>
        <w:rPr>
          <w:rFonts w:hint="eastAsia" w:ascii="Times New Roman" w:hAnsi="仿宋_GB2312" w:cs="仿宋_GB2312"/>
          <w:bCs/>
          <w:szCs w:val="32"/>
          <w:lang w:val="en-US" w:eastAsia="zh-CN"/>
        </w:rPr>
        <w:t>措施</w:t>
      </w:r>
      <w:r>
        <w:rPr>
          <w:rFonts w:hint="eastAsia" w:ascii="Times New Roman" w:hAnsi="仿宋_GB2312" w:cs="仿宋_GB2312"/>
          <w:bCs/>
          <w:szCs w:val="32"/>
        </w:rPr>
        <w:t>；规范</w:t>
      </w:r>
      <w:r>
        <w:rPr>
          <w:rFonts w:hint="eastAsia" w:ascii="Times New Roman" w:hAnsi="仿宋_GB2312" w:cs="仿宋_GB2312"/>
          <w:bCs/>
          <w:szCs w:val="32"/>
          <w:lang w:val="en-US" w:eastAsia="zh-CN"/>
        </w:rPr>
        <w:t>会计核算管理</w:t>
      </w:r>
      <w:r>
        <w:rPr>
          <w:rFonts w:hint="eastAsia" w:ascii="Times New Roman" w:hAnsi="仿宋_GB2312" w:cs="仿宋_GB2312"/>
          <w:bCs/>
          <w:szCs w:val="32"/>
        </w:rPr>
        <w:t>，加强</w:t>
      </w:r>
      <w:r>
        <w:rPr>
          <w:rFonts w:hint="eastAsia" w:ascii="Times New Roman" w:hAnsi="仿宋_GB2312" w:cs="仿宋_GB2312"/>
          <w:bCs/>
          <w:szCs w:val="32"/>
          <w:lang w:val="en-US" w:eastAsia="zh-CN"/>
        </w:rPr>
        <w:t>资金支出</w:t>
      </w:r>
      <w:r>
        <w:rPr>
          <w:rFonts w:hint="eastAsia" w:ascii="Times New Roman" w:hAnsi="仿宋_GB2312" w:cs="仿宋_GB2312"/>
          <w:bCs/>
          <w:szCs w:val="32"/>
        </w:rPr>
        <w:t>进度的有效监管；建立改造项目长效作用发挥与后续维护管理机制。</w:t>
      </w:r>
      <w:bookmarkEnd w:id="3"/>
    </w:p>
    <w:p>
      <w:pPr>
        <w:spacing w:line="360" w:lineRule="auto"/>
        <w:ind w:firstLine="0" w:firstLineChars="0"/>
        <w:jc w:val="center"/>
        <w:rPr>
          <w:rFonts w:ascii="Times New Roman" w:hAnsi="Times New Roman"/>
        </w:rPr>
      </w:pPr>
    </w:p>
    <w:p>
      <w:pPr>
        <w:spacing w:line="360" w:lineRule="auto"/>
        <w:ind w:firstLine="0" w:firstLineChars="0"/>
        <w:jc w:val="center"/>
        <w:rPr>
          <w:rFonts w:ascii="Times New Roman" w:hAnsi="Times New Roman"/>
        </w:rPr>
        <w:sectPr>
          <w:footerReference r:id="rId12" w:type="default"/>
          <w:pgSz w:w="11906" w:h="16838"/>
          <w:pgMar w:top="1440" w:right="1800" w:bottom="1440" w:left="1800" w:header="851" w:footer="992" w:gutter="0"/>
          <w:pgNumType w:fmt="upperRoman" w:start="1"/>
          <w:cols w:space="425" w:num="1"/>
          <w:docGrid w:type="lines" w:linePitch="312" w:charSpace="0"/>
        </w:sectPr>
      </w:pPr>
    </w:p>
    <w:p>
      <w:pPr>
        <w:spacing w:line="240" w:lineRule="auto"/>
        <w:ind w:firstLine="0" w:firstLineChars="0"/>
        <w:jc w:val="center"/>
        <w:rPr>
          <w:rFonts w:ascii="Times New Roman" w:hAnsi="Times New Roman" w:eastAsia="Arial Unicode MS" w:cs="Times New Roman"/>
          <w:b/>
          <w:sz w:val="44"/>
          <w:szCs w:val="44"/>
        </w:rPr>
      </w:pPr>
      <w:r>
        <w:rPr>
          <w:rFonts w:hint="eastAsia" w:ascii="Times New Roman" w:hAnsi="Times New Roman" w:eastAsia="Arial Unicode MS" w:cs="Times New Roman"/>
          <w:b/>
          <w:sz w:val="44"/>
          <w:szCs w:val="44"/>
        </w:rPr>
        <w:t>梅州市2021年度市十件民生实事</w:t>
      </w:r>
    </w:p>
    <w:p>
      <w:pPr>
        <w:spacing w:line="240" w:lineRule="auto"/>
        <w:ind w:firstLine="0" w:firstLineChars="0"/>
        <w:jc w:val="center"/>
        <w:rPr>
          <w:rFonts w:hint="eastAsia" w:ascii="Times New Roman" w:hAnsi="Times New Roman" w:eastAsia="Arial Unicode MS" w:cs="Times New Roman"/>
          <w:b/>
          <w:sz w:val="44"/>
          <w:szCs w:val="44"/>
        </w:rPr>
      </w:pPr>
      <w:r>
        <w:rPr>
          <w:rFonts w:ascii="Times New Roman" w:hAnsi="Times New Roman" w:eastAsia="Arial Unicode MS" w:cs="Times New Roman"/>
          <w:b/>
          <w:sz w:val="44"/>
          <w:szCs w:val="44"/>
        </w:rPr>
        <w:t>推</w:t>
      </w:r>
      <w:r>
        <w:rPr>
          <w:rFonts w:hint="eastAsia" w:ascii="Times New Roman" w:hAnsi="Times New Roman" w:eastAsia="Arial Unicode MS" w:cs="Times New Roman"/>
          <w:b/>
          <w:sz w:val="44"/>
          <w:szCs w:val="44"/>
        </w:rPr>
        <w:t>进城镇老旧小区改造项目</w:t>
      </w:r>
    </w:p>
    <w:p>
      <w:pPr>
        <w:spacing w:line="240" w:lineRule="auto"/>
        <w:ind w:firstLine="0" w:firstLineChars="0"/>
        <w:jc w:val="center"/>
        <w:rPr>
          <w:rFonts w:hint="eastAsia" w:ascii="Times New Roman" w:hAnsi="Times New Roman" w:eastAsia="Arial Unicode MS" w:cs="Times New Roman"/>
          <w:b/>
          <w:sz w:val="44"/>
          <w:szCs w:val="44"/>
        </w:rPr>
      </w:pPr>
      <w:r>
        <w:rPr>
          <w:rFonts w:hint="eastAsia" w:ascii="Times New Roman" w:hAnsi="Times New Roman" w:eastAsia="Arial Unicode MS" w:cs="Times New Roman"/>
          <w:b/>
          <w:sz w:val="44"/>
          <w:szCs w:val="44"/>
        </w:rPr>
        <w:t>绩效评价报告</w:t>
      </w:r>
    </w:p>
    <w:p>
      <w:pPr>
        <w:spacing w:line="360" w:lineRule="auto"/>
        <w:ind w:firstLine="640"/>
        <w:rPr>
          <w:rFonts w:ascii="Times New Roman" w:hAnsi="Times New Roman"/>
        </w:rPr>
      </w:pPr>
    </w:p>
    <w:p>
      <w:pPr>
        <w:spacing w:line="360" w:lineRule="auto"/>
        <w:ind w:firstLine="640"/>
        <w:rPr>
          <w:rFonts w:ascii="Times New Roman" w:hAnsi="Times New Roman"/>
        </w:rPr>
      </w:pPr>
      <w:r>
        <w:rPr>
          <w:rFonts w:hint="eastAsia" w:ascii="Times New Roman" w:hAnsi="Times New Roman"/>
        </w:rPr>
        <w:t>为全面检验财政资金使用绩效，考核资金预期绩效目标的实现程度、资金支出效率和使用效果，进一步提高财政支出的管理水平，根据《中共梅州市委梅州市人民政府关于全面实施预算绩效管理的实施意见》（梅市明电〔2019〕229号）、《关于印发&lt;预算绩效管理委托第三方实施工作规程（试行）&gt;的通知》（粤财绩〔2016〕4号）、《梅州市财政支出绩效评价实施办法》（梅市财评〔2015〕9号）等有关规定，梅州市财政局委托梅州同政会计师事务所（普通合伙）（以下简称“我</w:t>
      </w:r>
      <w:r>
        <w:rPr>
          <w:rFonts w:hint="eastAsia" w:ascii="Times New Roman" w:hAnsi="仿宋_GB2312" w:cs="仿宋_GB2312"/>
          <w:szCs w:val="32"/>
        </w:rPr>
        <w:t>所</w:t>
      </w:r>
      <w:r>
        <w:rPr>
          <w:rFonts w:hint="eastAsia" w:ascii="Times New Roman" w:hAnsi="Times New Roman"/>
        </w:rPr>
        <w:t>”）组织形成评价组，对梅州市住房和城乡建设局牵头实施的2021年度市十件民生实事项目“推进城镇老旧小区改造”开展重点绩效评价。</w:t>
      </w:r>
      <w:r>
        <w:rPr>
          <w:rFonts w:hint="eastAsia" w:ascii="Times New Roman" w:hAnsi="仿宋_GB2312" w:cs="仿宋_GB2312"/>
        </w:rPr>
        <w:t>本评价报告是在审阅梅州市住房和城乡建设局提交的相关佐证材料，组织专家组进行书面评审、现场评价等相关工作，以及与梅州市住房和城乡建设局反复沟通基础上形成的。梅州市住房和城乡建设局对所提供的相关佐证材料的真实性、完整性、准确性和合法性负责。</w:t>
      </w:r>
    </w:p>
    <w:p>
      <w:pPr>
        <w:spacing w:line="360" w:lineRule="auto"/>
        <w:ind w:firstLine="0" w:firstLineChars="0"/>
        <w:outlineLvl w:val="0"/>
        <w:rPr>
          <w:rFonts w:ascii="Times New Roman" w:hAnsi="Times New Roman" w:eastAsia="黑体"/>
        </w:rPr>
      </w:pPr>
      <w:bookmarkStart w:id="4" w:name="_Toc13088"/>
      <w:r>
        <w:rPr>
          <w:rFonts w:hint="eastAsia" w:ascii="Times New Roman" w:hAnsi="黑体" w:eastAsia="黑体"/>
        </w:rPr>
        <w:t>一、项目概况</w:t>
      </w:r>
      <w:bookmarkEnd w:id="4"/>
    </w:p>
    <w:p>
      <w:pPr>
        <w:spacing w:line="360" w:lineRule="auto"/>
        <w:ind w:firstLine="0" w:firstLineChars="0"/>
        <w:outlineLvl w:val="1"/>
        <w:rPr>
          <w:rFonts w:ascii="Times New Roman" w:hAnsi="Times New Roman" w:eastAsia="楷体_GB2312"/>
          <w:b/>
        </w:rPr>
      </w:pPr>
      <w:bookmarkStart w:id="5" w:name="_Toc13354"/>
      <w:r>
        <w:rPr>
          <w:rFonts w:hint="eastAsia" w:ascii="Times New Roman" w:hAnsi="Times New Roman" w:eastAsia="楷体_GB2312"/>
          <w:b/>
        </w:rPr>
        <w:t>（一）项目基本情况</w:t>
      </w:r>
      <w:bookmarkEnd w:id="5"/>
    </w:p>
    <w:p>
      <w:pPr>
        <w:spacing w:line="360" w:lineRule="auto"/>
        <w:ind w:firstLine="640"/>
        <w:rPr>
          <w:rFonts w:ascii="Times New Roman" w:hAnsi="Times New Roman"/>
        </w:rPr>
      </w:pPr>
      <w:r>
        <w:rPr>
          <w:rFonts w:hint="eastAsia" w:ascii="Times New Roman" w:hAnsi="Times New Roman"/>
        </w:rPr>
        <w:t>1.项目背景</w:t>
      </w:r>
    </w:p>
    <w:p>
      <w:pPr>
        <w:spacing w:line="360" w:lineRule="auto"/>
        <w:ind w:firstLine="640"/>
        <w:rPr>
          <w:rFonts w:ascii="Times New Roman" w:hAnsi="Times New Roman" w:cs="Times New Roman"/>
          <w:szCs w:val="32"/>
        </w:rPr>
      </w:pPr>
      <w:r>
        <w:rPr>
          <w:rFonts w:hint="eastAsia" w:ascii="Times New Roman" w:hAnsi="Times New Roman" w:cs="Times New Roman"/>
          <w:szCs w:val="32"/>
        </w:rPr>
        <w:t>2020年4月，国务院常务会议上确定加大城镇老旧小区改造力度，会议指出，推进城镇老旧小区改造，是改善居民居住条件、扩大内需的重要举措。重点改造2000年底前建成的住宅区，将城镇老旧小区改造纳入保障性安居工程，安排中央补助资金支持。2020年7月国务院办公厅发布《国务院办公厅关于全面推进城镇老旧小区改造工作的指导意见》（国办发〔2020〕23号）。2020年5月，广东省住房和城乡建设厅印发《广东省城镇老旧小区改造试点工作方案》，提出通过以广州、佛山、梅州和江门市作为试点，以六个机制方面形成较为成熟的工作成果，建立一套行之有效的政策制度和工作机制，为全省提供城镇老旧小区改造可复制可推广的经验。</w:t>
      </w:r>
    </w:p>
    <w:p>
      <w:pPr>
        <w:spacing w:line="360" w:lineRule="auto"/>
        <w:ind w:firstLine="640"/>
        <w:rPr>
          <w:rFonts w:ascii="Times New Roman" w:hAnsi="Times New Roman" w:cs="Times New Roman"/>
          <w:szCs w:val="32"/>
        </w:rPr>
      </w:pPr>
      <w:r>
        <w:rPr>
          <w:rFonts w:hint="eastAsia" w:ascii="Times New Roman" w:hAnsi="Times New Roman" w:cs="Times New Roman"/>
          <w:szCs w:val="32"/>
        </w:rPr>
        <w:t>为深入贯彻落实习近平新时代中国特色社会主义思想和党的十九大精神，着力改善老旧小区居住环境，提升老旧小区居民的生活品质，扩大城镇老旧小区改造范围，造福人民群众、满足人民群众对美好生活需要，梅州市人民政府（以下简称“市政府”）在2021年政府工作报告中将推进城镇老旧小区改造确定为市十件民生实事项目之一。</w:t>
      </w:r>
    </w:p>
    <w:p>
      <w:pPr>
        <w:spacing w:line="360" w:lineRule="auto"/>
        <w:ind w:firstLine="640"/>
        <w:rPr>
          <w:rFonts w:ascii="Times New Roman" w:hAnsi="Times New Roman"/>
        </w:rPr>
      </w:pPr>
      <w:r>
        <w:rPr>
          <w:rFonts w:hint="eastAsia" w:ascii="Times New Roman" w:hAnsi="Times New Roman"/>
        </w:rPr>
        <w:t>2.项目实施内容</w:t>
      </w:r>
    </w:p>
    <w:p>
      <w:pPr>
        <w:spacing w:line="360" w:lineRule="auto"/>
        <w:ind w:firstLine="640"/>
        <w:rPr>
          <w:rFonts w:ascii="Times New Roman" w:hAnsi="Times New Roman" w:cs="Times New Roman"/>
          <w:szCs w:val="32"/>
        </w:rPr>
      </w:pPr>
      <w:r>
        <w:rPr>
          <w:rFonts w:hint="eastAsia" w:ascii="Times New Roman" w:hAnsi="Times New Roman" w:cs="Times New Roman"/>
          <w:szCs w:val="32"/>
        </w:rPr>
        <w:t>依据《2021年市十件民生实事责任分工方案》，项目主要实施内容为“</w:t>
      </w:r>
      <w:r>
        <w:rPr>
          <w:rFonts w:ascii="Times New Roman" w:hAnsi="Times New Roman" w:cs="Times New Roman"/>
          <w:szCs w:val="32"/>
        </w:rPr>
        <w:t>着力改善老旧小区居住环境，提升老旧小区居民的生活品质。全市新开工改造58个小区，惠及8731户居民。因地制宜确定改造内容，重点改造老旧小区配套基础设施、公共服务设施、建筑公共部位等</w:t>
      </w:r>
      <w:r>
        <w:rPr>
          <w:rFonts w:hint="eastAsia" w:ascii="Times New Roman" w:hAnsi="Times New Roman" w:cs="Times New Roman"/>
          <w:szCs w:val="32"/>
        </w:rPr>
        <w:t>”</w:t>
      </w:r>
      <w:r>
        <w:rPr>
          <w:rFonts w:ascii="Times New Roman" w:hAnsi="Times New Roman" w:cs="Times New Roman"/>
          <w:szCs w:val="32"/>
        </w:rPr>
        <w:t xml:space="preserve"> 。</w:t>
      </w:r>
      <w:r>
        <w:rPr>
          <w:rFonts w:hint="eastAsia" w:ascii="Times New Roman" w:hAnsi="仿宋_GB2312" w:cs="仿宋_GB2312"/>
          <w:szCs w:val="32"/>
        </w:rPr>
        <w:t>项目牵头单位为梅州市住房和城乡建设局（以下简称</w:t>
      </w:r>
      <w:r>
        <w:rPr>
          <w:rFonts w:hint="eastAsia" w:ascii="Times New Roman" w:hAnsi="Times New Roman" w:cs="仿宋_GB2312"/>
          <w:szCs w:val="32"/>
        </w:rPr>
        <w:t>“</w:t>
      </w:r>
      <w:r>
        <w:rPr>
          <w:rFonts w:hint="eastAsia" w:ascii="Times New Roman" w:hAnsi="仿宋_GB2312" w:cs="仿宋_GB2312"/>
          <w:szCs w:val="32"/>
        </w:rPr>
        <w:t>市住建局</w:t>
      </w:r>
      <w:r>
        <w:rPr>
          <w:rFonts w:hint="eastAsia" w:ascii="Times New Roman" w:hAnsi="Times New Roman" w:cs="仿宋_GB2312"/>
          <w:szCs w:val="32"/>
        </w:rPr>
        <w:t>”</w:t>
      </w:r>
      <w:r>
        <w:rPr>
          <w:rFonts w:hint="eastAsia" w:ascii="Times New Roman" w:hAnsi="仿宋_GB2312" w:cs="仿宋_GB2312"/>
          <w:szCs w:val="32"/>
        </w:rPr>
        <w:t>）、各县（市、区</w:t>
      </w:r>
      <w:r>
        <w:rPr>
          <w:rFonts w:hint="eastAsia" w:ascii="Times New Roman" w:hAnsi="Times New Roman" w:cs="仿宋_GB2312"/>
          <w:szCs w:val="32"/>
        </w:rPr>
        <w:t>)</w:t>
      </w:r>
      <w:r>
        <w:rPr>
          <w:rFonts w:hint="eastAsia" w:ascii="Times New Roman" w:hAnsi="仿宋_GB2312" w:cs="仿宋_GB2312"/>
          <w:szCs w:val="32"/>
        </w:rPr>
        <w:t>人民政府共为责任配合单位协助项目实施，项目具体实施内容详见下表。</w:t>
      </w:r>
    </w:p>
    <w:p>
      <w:pPr>
        <w:widowControl/>
        <w:spacing w:line="360" w:lineRule="auto"/>
        <w:ind w:firstLine="0" w:firstLineChars="0"/>
        <w:jc w:val="center"/>
        <w:rPr>
          <w:rFonts w:hint="eastAsia" w:ascii="Times New Roman" w:hAnsi="Times New Roman" w:eastAsia="黑体" w:cs="仿宋_GB2312"/>
          <w:sz w:val="28"/>
          <w:szCs w:val="32"/>
        </w:rPr>
      </w:pPr>
    </w:p>
    <w:p>
      <w:pPr>
        <w:widowControl/>
        <w:spacing w:line="360" w:lineRule="auto"/>
        <w:ind w:firstLine="0" w:firstLineChars="0"/>
        <w:jc w:val="center"/>
        <w:rPr>
          <w:rFonts w:ascii="Times New Roman" w:hAnsi="Times New Roman" w:eastAsia="黑体" w:cs="仿宋_GB2312"/>
          <w:sz w:val="28"/>
          <w:szCs w:val="32"/>
        </w:rPr>
      </w:pPr>
      <w:r>
        <w:rPr>
          <w:rFonts w:hint="eastAsia" w:ascii="Times New Roman" w:hAnsi="Times New Roman" w:eastAsia="黑体" w:cs="仿宋_GB2312"/>
          <w:sz w:val="28"/>
          <w:szCs w:val="32"/>
        </w:rPr>
        <w:t xml:space="preserve"> </w:t>
      </w:r>
      <w:r>
        <w:rPr>
          <w:rFonts w:hint="eastAsia" w:ascii="Times New Roman" w:hAnsi="黑体" w:eastAsia="黑体" w:cs="仿宋_GB2312"/>
          <w:sz w:val="28"/>
          <w:szCs w:val="32"/>
        </w:rPr>
        <w:t>梅州市</w:t>
      </w:r>
      <w:r>
        <w:rPr>
          <w:rFonts w:hint="eastAsia" w:ascii="Times New Roman" w:hAnsi="Times New Roman" w:eastAsia="黑体" w:cs="仿宋_GB2312"/>
          <w:sz w:val="28"/>
          <w:szCs w:val="32"/>
        </w:rPr>
        <w:t>2021</w:t>
      </w:r>
      <w:r>
        <w:rPr>
          <w:rFonts w:hint="eastAsia" w:ascii="Times New Roman" w:hAnsi="黑体" w:eastAsia="黑体" w:cs="仿宋_GB2312"/>
          <w:sz w:val="28"/>
          <w:szCs w:val="32"/>
        </w:rPr>
        <w:t>年度城镇老旧小区改造项目实施清单</w:t>
      </w:r>
    </w:p>
    <w:tbl>
      <w:tblPr>
        <w:tblStyle w:val="18"/>
        <w:tblW w:w="10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941"/>
        <w:gridCol w:w="4770"/>
        <w:gridCol w:w="2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79" w:type="dxa"/>
            <w:vAlign w:val="center"/>
          </w:tcPr>
          <w:p>
            <w:pPr>
              <w:widowControl/>
              <w:spacing w:line="240" w:lineRule="auto"/>
              <w:ind w:firstLine="0" w:firstLineChars="0"/>
              <w:jc w:val="center"/>
              <w:rPr>
                <w:rFonts w:ascii="仿宋" w:hAnsi="仿宋" w:eastAsia="仿宋" w:cs="仿宋"/>
                <w:b/>
                <w:bCs/>
                <w:sz w:val="24"/>
                <w:szCs w:val="20"/>
              </w:rPr>
            </w:pPr>
            <w:r>
              <w:rPr>
                <w:rFonts w:hint="eastAsia" w:ascii="仿宋" w:hAnsi="仿宋" w:eastAsia="仿宋" w:cs="仿宋"/>
                <w:b/>
                <w:bCs/>
                <w:sz w:val="24"/>
                <w:szCs w:val="20"/>
              </w:rPr>
              <w:t>序号</w:t>
            </w:r>
          </w:p>
        </w:tc>
        <w:tc>
          <w:tcPr>
            <w:tcW w:w="1941" w:type="dxa"/>
            <w:vAlign w:val="center"/>
          </w:tcPr>
          <w:p>
            <w:pPr>
              <w:widowControl/>
              <w:spacing w:line="240" w:lineRule="auto"/>
              <w:ind w:firstLine="0" w:firstLineChars="0"/>
              <w:jc w:val="center"/>
              <w:rPr>
                <w:rFonts w:ascii="仿宋" w:hAnsi="仿宋" w:eastAsia="仿宋" w:cs="仿宋"/>
                <w:b/>
                <w:bCs/>
                <w:sz w:val="24"/>
                <w:szCs w:val="20"/>
              </w:rPr>
            </w:pPr>
            <w:r>
              <w:rPr>
                <w:rFonts w:hint="eastAsia" w:ascii="仿宋" w:hAnsi="仿宋" w:eastAsia="仿宋" w:cs="仿宋"/>
                <w:b/>
                <w:bCs/>
                <w:sz w:val="24"/>
                <w:szCs w:val="20"/>
              </w:rPr>
              <w:t>具体实施单位</w:t>
            </w:r>
          </w:p>
        </w:tc>
        <w:tc>
          <w:tcPr>
            <w:tcW w:w="4770" w:type="dxa"/>
            <w:vAlign w:val="center"/>
          </w:tcPr>
          <w:p>
            <w:pPr>
              <w:widowControl/>
              <w:spacing w:line="240" w:lineRule="auto"/>
              <w:ind w:firstLine="0" w:firstLineChars="0"/>
              <w:jc w:val="center"/>
              <w:rPr>
                <w:rFonts w:ascii="仿宋" w:hAnsi="仿宋" w:eastAsia="仿宋" w:cs="仿宋"/>
                <w:b/>
                <w:bCs/>
                <w:sz w:val="24"/>
                <w:szCs w:val="20"/>
              </w:rPr>
            </w:pPr>
            <w:r>
              <w:rPr>
                <w:rFonts w:hint="eastAsia" w:ascii="仿宋" w:hAnsi="仿宋" w:eastAsia="仿宋" w:cs="仿宋"/>
                <w:b/>
                <w:bCs/>
                <w:sz w:val="24"/>
                <w:szCs w:val="20"/>
              </w:rPr>
              <w:t>改造项目名称</w:t>
            </w:r>
          </w:p>
        </w:tc>
        <w:tc>
          <w:tcPr>
            <w:tcW w:w="2783" w:type="dxa"/>
            <w:vAlign w:val="center"/>
          </w:tcPr>
          <w:p>
            <w:pPr>
              <w:widowControl/>
              <w:spacing w:line="240" w:lineRule="auto"/>
              <w:ind w:firstLine="0" w:firstLineChars="0"/>
              <w:jc w:val="center"/>
              <w:rPr>
                <w:rFonts w:ascii="仿宋" w:hAnsi="仿宋" w:eastAsia="仿宋" w:cs="仿宋"/>
                <w:b/>
                <w:bCs/>
                <w:sz w:val="24"/>
                <w:szCs w:val="20"/>
              </w:rPr>
            </w:pPr>
            <w:r>
              <w:rPr>
                <w:rFonts w:hint="eastAsia" w:ascii="仿宋" w:hAnsi="仿宋" w:eastAsia="仿宋" w:cs="仿宋"/>
                <w:b/>
                <w:bCs/>
                <w:sz w:val="24"/>
                <w:szCs w:val="20"/>
              </w:rPr>
              <w:t>改造内容</w:t>
            </w:r>
            <w:r>
              <w:rPr>
                <w:rStyle w:val="23"/>
                <w:rFonts w:hint="eastAsia" w:ascii="仿宋" w:hAnsi="仿宋" w:eastAsia="仿宋" w:cs="仿宋"/>
                <w:b/>
                <w:bCs/>
                <w:sz w:val="24"/>
                <w:szCs w:val="21"/>
              </w:rPr>
              <w:footnoteReference w:id="1"/>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79" w:type="dxa"/>
            <w:vMerge w:val="restart"/>
            <w:vAlign w:val="center"/>
          </w:tcPr>
          <w:p>
            <w:pPr>
              <w:widowControl/>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1</w:t>
            </w:r>
          </w:p>
        </w:tc>
        <w:tc>
          <w:tcPr>
            <w:tcW w:w="1941" w:type="dxa"/>
            <w:vMerge w:val="restart"/>
            <w:vAlign w:val="center"/>
          </w:tcPr>
          <w:p>
            <w:pPr>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梅州市城市供排水中心</w:t>
            </w:r>
          </w:p>
        </w:tc>
        <w:tc>
          <w:tcPr>
            <w:tcW w:w="4770" w:type="dxa"/>
            <w:vAlign w:val="center"/>
          </w:tcPr>
          <w:p>
            <w:pPr>
              <w:spacing w:line="240" w:lineRule="auto"/>
              <w:ind w:firstLine="0" w:firstLineChars="0"/>
              <w:rPr>
                <w:rFonts w:ascii="仿宋" w:hAnsi="仿宋" w:eastAsia="仿宋" w:cs="Times New Roman"/>
                <w:sz w:val="24"/>
                <w:szCs w:val="24"/>
              </w:rPr>
            </w:pPr>
            <w:r>
              <w:rPr>
                <w:rFonts w:hint="eastAsia" w:ascii="仿宋" w:hAnsi="仿宋" w:eastAsia="仿宋" w:cs="Times New Roman"/>
                <w:sz w:val="24"/>
                <w:szCs w:val="24"/>
              </w:rPr>
              <w:t>梅州城区老旧小区供排水改造项目（一期）</w:t>
            </w:r>
          </w:p>
        </w:tc>
        <w:tc>
          <w:tcPr>
            <w:tcW w:w="2783" w:type="dxa"/>
            <w:vMerge w:val="restart"/>
            <w:vAlign w:val="center"/>
          </w:tcPr>
          <w:p>
            <w:pPr>
              <w:widowControl/>
              <w:spacing w:line="240" w:lineRule="auto"/>
              <w:ind w:firstLine="0" w:firstLineChars="0"/>
              <w:jc w:val="left"/>
              <w:rPr>
                <w:rFonts w:ascii="仿宋" w:hAnsi="仿宋" w:eastAsia="仿宋" w:cs="Times New Roman"/>
                <w:sz w:val="24"/>
                <w:szCs w:val="24"/>
              </w:rPr>
            </w:pPr>
            <w:r>
              <w:rPr>
                <w:rFonts w:ascii="仿宋" w:hAnsi="仿宋" w:eastAsia="仿宋" w:cs="Times New Roman"/>
                <w:sz w:val="24"/>
                <w:szCs w:val="24"/>
              </w:rPr>
              <w:t>基础类（供排水）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spacing w:line="240" w:lineRule="auto"/>
              <w:ind w:firstLine="480"/>
              <w:jc w:val="center"/>
              <w:rPr>
                <w:rFonts w:ascii="仿宋" w:hAnsi="仿宋" w:eastAsia="仿宋" w:cs="Times New Roman"/>
                <w:sz w:val="24"/>
                <w:szCs w:val="24"/>
              </w:rPr>
            </w:pPr>
          </w:p>
        </w:tc>
        <w:tc>
          <w:tcPr>
            <w:tcW w:w="4770" w:type="dxa"/>
            <w:vAlign w:val="center"/>
          </w:tcPr>
          <w:p>
            <w:pPr>
              <w:spacing w:line="240" w:lineRule="auto"/>
              <w:ind w:firstLine="0" w:firstLineChars="0"/>
              <w:rPr>
                <w:rFonts w:ascii="仿宋" w:hAnsi="仿宋" w:eastAsia="仿宋"/>
                <w:sz w:val="24"/>
                <w:szCs w:val="24"/>
              </w:rPr>
            </w:pPr>
            <w:r>
              <w:rPr>
                <w:rFonts w:hint="eastAsia" w:ascii="仿宋" w:hAnsi="仿宋" w:eastAsia="仿宋" w:cs="Times New Roman"/>
                <w:sz w:val="24"/>
                <w:szCs w:val="24"/>
              </w:rPr>
              <w:t>梅江区白马社区（五巷，六巷）老旧排水管渠修复项目</w:t>
            </w:r>
          </w:p>
        </w:tc>
        <w:tc>
          <w:tcPr>
            <w:tcW w:w="2783" w:type="dxa"/>
            <w:vMerge w:val="continue"/>
            <w:vAlign w:val="center"/>
          </w:tcPr>
          <w:p>
            <w:pPr>
              <w:widowControl/>
              <w:spacing w:line="240" w:lineRule="auto"/>
              <w:ind w:firstLine="0" w:firstLineChars="0"/>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9" w:type="dxa"/>
            <w:vAlign w:val="center"/>
          </w:tcPr>
          <w:p>
            <w:pPr>
              <w:widowControl/>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2</w:t>
            </w:r>
          </w:p>
        </w:tc>
        <w:tc>
          <w:tcPr>
            <w:tcW w:w="1941" w:type="dxa"/>
            <w:vAlign w:val="center"/>
          </w:tcPr>
          <w:p>
            <w:pPr>
              <w:widowControl/>
              <w:spacing w:line="240"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梅江区住房和城乡建设局</w:t>
            </w: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梅江区西阳镇西氮福利区</w:t>
            </w:r>
            <w:r>
              <w:rPr>
                <w:rFonts w:hint="eastAsia" w:ascii="仿宋" w:hAnsi="仿宋" w:eastAsia="仿宋" w:cs="Times New Roman"/>
                <w:sz w:val="24"/>
                <w:szCs w:val="24"/>
                <w:lang w:val="en-US" w:eastAsia="zh-CN"/>
              </w:rPr>
              <w:t>等</w:t>
            </w:r>
            <w:r>
              <w:rPr>
                <w:rFonts w:hint="eastAsia" w:ascii="仿宋" w:hAnsi="仿宋" w:eastAsia="仿宋" w:cs="Times New Roman"/>
                <w:sz w:val="24"/>
                <w:szCs w:val="24"/>
              </w:rPr>
              <w:t>老旧小区改造项目</w:t>
            </w:r>
          </w:p>
        </w:tc>
        <w:tc>
          <w:tcPr>
            <w:tcW w:w="2783" w:type="dxa"/>
            <w:vAlign w:val="center"/>
          </w:tcPr>
          <w:p>
            <w:pPr>
              <w:widowControl/>
              <w:spacing w:line="240" w:lineRule="auto"/>
              <w:ind w:firstLine="0" w:firstLineChars="0"/>
              <w:jc w:val="left"/>
              <w:rPr>
                <w:rFonts w:ascii="仿宋" w:hAnsi="仿宋" w:eastAsia="仿宋" w:cs="Times New Roman"/>
                <w:sz w:val="24"/>
                <w:szCs w:val="24"/>
              </w:rPr>
            </w:pPr>
            <w:r>
              <w:rPr>
                <w:rFonts w:ascii="仿宋" w:hAnsi="仿宋" w:eastAsia="仿宋" w:cs="Times New Roman"/>
                <w:sz w:val="24"/>
                <w:szCs w:val="24"/>
              </w:rPr>
              <w:t>基础类（</w:t>
            </w:r>
            <w:r>
              <w:rPr>
                <w:rFonts w:hint="eastAsia" w:ascii="仿宋" w:hAnsi="仿宋" w:eastAsia="仿宋" w:cs="Times New Roman"/>
                <w:sz w:val="24"/>
                <w:szCs w:val="24"/>
              </w:rPr>
              <w:t>道路、排水、供电、等）</w:t>
            </w:r>
          </w:p>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完善类（绿化等）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9" w:type="dxa"/>
            <w:vMerge w:val="restart"/>
            <w:vAlign w:val="center"/>
          </w:tcPr>
          <w:p>
            <w:pPr>
              <w:widowControl/>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3</w:t>
            </w:r>
          </w:p>
        </w:tc>
        <w:tc>
          <w:tcPr>
            <w:tcW w:w="1941" w:type="dxa"/>
            <w:vMerge w:val="restart"/>
            <w:vAlign w:val="center"/>
          </w:tcPr>
          <w:p>
            <w:pPr>
              <w:widowControl/>
              <w:spacing w:line="240"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梅县区住房和城乡建设局</w:t>
            </w:r>
          </w:p>
        </w:tc>
        <w:tc>
          <w:tcPr>
            <w:tcW w:w="4770" w:type="dxa"/>
            <w:vAlign w:val="center"/>
          </w:tcPr>
          <w:p>
            <w:pPr>
              <w:widowControl/>
              <w:spacing w:line="240" w:lineRule="auto"/>
              <w:ind w:firstLine="0" w:firstLineChars="0"/>
              <w:rPr>
                <w:rFonts w:ascii="仿宋" w:hAnsi="仿宋" w:eastAsia="仿宋" w:cs="Times New Roman"/>
                <w:sz w:val="24"/>
                <w:szCs w:val="24"/>
              </w:rPr>
            </w:pPr>
            <w:r>
              <w:rPr>
                <w:rFonts w:hint="eastAsia" w:ascii="仿宋" w:hAnsi="仿宋" w:eastAsia="仿宋" w:cs="Times New Roman"/>
                <w:sz w:val="24"/>
                <w:szCs w:val="24"/>
              </w:rPr>
              <w:t>新城办事处西桥社区宏业小区（A1）改造工程项目</w:t>
            </w:r>
          </w:p>
        </w:tc>
        <w:tc>
          <w:tcPr>
            <w:tcW w:w="2783" w:type="dxa"/>
            <w:vMerge w:val="restart"/>
            <w:vAlign w:val="center"/>
          </w:tcPr>
          <w:p>
            <w:pPr>
              <w:widowControl/>
              <w:spacing w:line="240" w:lineRule="auto"/>
              <w:ind w:firstLine="0" w:firstLineChars="0"/>
              <w:jc w:val="left"/>
              <w:rPr>
                <w:rFonts w:ascii="仿宋" w:hAnsi="仿宋" w:eastAsia="仿宋" w:cs="Times New Roman"/>
                <w:sz w:val="24"/>
                <w:szCs w:val="24"/>
              </w:rPr>
            </w:pPr>
            <w:r>
              <w:rPr>
                <w:rFonts w:ascii="仿宋" w:hAnsi="仿宋" w:eastAsia="仿宋" w:cs="Times New Roman"/>
                <w:sz w:val="24"/>
                <w:szCs w:val="24"/>
              </w:rPr>
              <w:t>基础类（</w:t>
            </w:r>
            <w:r>
              <w:rPr>
                <w:rFonts w:hint="eastAsia" w:ascii="仿宋" w:hAnsi="仿宋" w:eastAsia="仿宋" w:cs="Times New Roman"/>
                <w:sz w:val="24"/>
                <w:szCs w:val="24"/>
              </w:rPr>
              <w:t>道路、排水、供电、路面停车线划分等）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spacing w:line="240" w:lineRule="auto"/>
              <w:ind w:firstLine="480"/>
              <w:jc w:val="center"/>
              <w:rPr>
                <w:rFonts w:ascii="仿宋" w:hAnsi="仿宋" w:eastAsia="仿宋" w:cs="Times New Roman"/>
                <w:sz w:val="24"/>
                <w:szCs w:val="24"/>
              </w:rPr>
            </w:pP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富贵花园二期改造工程项目</w:t>
            </w:r>
          </w:p>
        </w:tc>
        <w:tc>
          <w:tcPr>
            <w:tcW w:w="2783" w:type="dxa"/>
            <w:vMerge w:val="continue"/>
            <w:vAlign w:val="center"/>
          </w:tcPr>
          <w:p>
            <w:pPr>
              <w:spacing w:line="240" w:lineRule="auto"/>
              <w:ind w:firstLine="480"/>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华丽苑香港花园六座改造工程项目</w:t>
            </w:r>
          </w:p>
        </w:tc>
        <w:tc>
          <w:tcPr>
            <w:tcW w:w="2783" w:type="dxa"/>
            <w:vMerge w:val="continue"/>
            <w:vAlign w:val="center"/>
          </w:tcPr>
          <w:p>
            <w:pPr>
              <w:widowControl/>
              <w:spacing w:line="240" w:lineRule="auto"/>
              <w:ind w:firstLine="0" w:firstLineChars="0"/>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怡迪苑毅新大厦改造工程项目</w:t>
            </w:r>
          </w:p>
        </w:tc>
        <w:tc>
          <w:tcPr>
            <w:tcW w:w="2783" w:type="dxa"/>
            <w:vMerge w:val="continue"/>
            <w:vAlign w:val="center"/>
          </w:tcPr>
          <w:p>
            <w:pPr>
              <w:widowControl/>
              <w:spacing w:line="240" w:lineRule="auto"/>
              <w:ind w:firstLine="0" w:firstLineChars="0"/>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Align w:val="center"/>
          </w:tcPr>
          <w:p>
            <w:pPr>
              <w:widowControl/>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4</w:t>
            </w:r>
          </w:p>
        </w:tc>
        <w:tc>
          <w:tcPr>
            <w:tcW w:w="1941" w:type="dxa"/>
            <w:vAlign w:val="center"/>
          </w:tcPr>
          <w:p>
            <w:pPr>
              <w:widowControl/>
              <w:spacing w:line="240"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蕉岭县住房和城乡建设局</w:t>
            </w: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蕉岭县城南苑、路亭大厦、塔牌宿舍、</w:t>
            </w:r>
          </w:p>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城南教师村改造项目</w:t>
            </w:r>
          </w:p>
        </w:tc>
        <w:tc>
          <w:tcPr>
            <w:tcW w:w="2783" w:type="dxa"/>
            <w:vAlign w:val="center"/>
          </w:tcPr>
          <w:p>
            <w:pPr>
              <w:widowControl/>
              <w:spacing w:line="240" w:lineRule="auto"/>
              <w:ind w:firstLine="0" w:firstLineChars="0"/>
              <w:jc w:val="left"/>
              <w:rPr>
                <w:rFonts w:ascii="仿宋" w:hAnsi="仿宋" w:eastAsia="仿宋" w:cs="Times New Roman"/>
                <w:sz w:val="24"/>
                <w:szCs w:val="24"/>
              </w:rPr>
            </w:pPr>
            <w:r>
              <w:rPr>
                <w:rFonts w:ascii="仿宋" w:hAnsi="仿宋" w:eastAsia="仿宋" w:cs="Times New Roman"/>
                <w:sz w:val="24"/>
                <w:szCs w:val="24"/>
              </w:rPr>
              <w:t>基础类（</w:t>
            </w:r>
            <w:r>
              <w:rPr>
                <w:rFonts w:hint="eastAsia" w:ascii="仿宋" w:hAnsi="仿宋" w:eastAsia="仿宋" w:cs="Times New Roman"/>
                <w:sz w:val="24"/>
                <w:szCs w:val="24"/>
              </w:rPr>
              <w:t>道路、立面改造、排水、供电等）</w:t>
            </w:r>
          </w:p>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完善类（拆除违法建设、绿化等）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79" w:type="dxa"/>
            <w:vMerge w:val="restart"/>
            <w:vAlign w:val="center"/>
          </w:tcPr>
          <w:p>
            <w:pPr>
              <w:widowControl/>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5</w:t>
            </w:r>
          </w:p>
        </w:tc>
        <w:tc>
          <w:tcPr>
            <w:tcW w:w="1941" w:type="dxa"/>
            <w:vMerge w:val="restart"/>
            <w:vAlign w:val="center"/>
          </w:tcPr>
          <w:p>
            <w:pPr>
              <w:widowControl/>
              <w:spacing w:line="240"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兴宁市住房和城乡建设局</w:t>
            </w: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兴宁市市委片区（市委宿舍、招待所宿舍等小区）老旧小区周边市政基础设施升级改造项目</w:t>
            </w:r>
          </w:p>
        </w:tc>
        <w:tc>
          <w:tcPr>
            <w:tcW w:w="2783" w:type="dxa"/>
            <w:vMerge w:val="restart"/>
            <w:vAlign w:val="center"/>
          </w:tcPr>
          <w:p>
            <w:pPr>
              <w:widowControl/>
              <w:spacing w:line="240" w:lineRule="auto"/>
              <w:ind w:firstLine="0" w:firstLineChars="0"/>
              <w:jc w:val="left"/>
              <w:rPr>
                <w:rFonts w:ascii="仿宋" w:hAnsi="仿宋" w:eastAsia="仿宋" w:cs="Times New Roman"/>
                <w:sz w:val="24"/>
                <w:szCs w:val="24"/>
              </w:rPr>
            </w:pPr>
            <w:r>
              <w:rPr>
                <w:rFonts w:ascii="仿宋" w:hAnsi="仿宋" w:eastAsia="仿宋" w:cs="Times New Roman"/>
                <w:sz w:val="24"/>
                <w:szCs w:val="24"/>
              </w:rPr>
              <w:t>基础类（</w:t>
            </w:r>
            <w:r>
              <w:rPr>
                <w:rFonts w:hint="eastAsia" w:ascii="仿宋" w:hAnsi="仿宋" w:eastAsia="仿宋" w:cs="Times New Roman"/>
                <w:sz w:val="24"/>
                <w:szCs w:val="24"/>
              </w:rPr>
              <w:t>道路、围墙翻新、排水、供电、通信等）</w:t>
            </w:r>
          </w:p>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完善类（绿化等）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于兴宁市宁新紫金山片区（交通宿舍、税务宿舍等小区）老旧小区周边市政基础设施升级改造项目</w:t>
            </w:r>
          </w:p>
        </w:tc>
        <w:tc>
          <w:tcPr>
            <w:tcW w:w="2783" w:type="dxa"/>
            <w:vMerge w:val="continue"/>
            <w:vAlign w:val="center"/>
          </w:tcPr>
          <w:p>
            <w:pPr>
              <w:widowControl/>
              <w:spacing w:line="240" w:lineRule="auto"/>
              <w:ind w:firstLine="0" w:firstLineChars="0"/>
              <w:jc w:val="center"/>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兴宁市宁新大岭片区（和平小区、文兴花园等小区）老旧小区周边市政基础设施升级改造项目</w:t>
            </w:r>
          </w:p>
        </w:tc>
        <w:tc>
          <w:tcPr>
            <w:tcW w:w="2783" w:type="dxa"/>
            <w:vMerge w:val="continue"/>
            <w:vAlign w:val="center"/>
          </w:tcPr>
          <w:p>
            <w:pPr>
              <w:widowControl/>
              <w:spacing w:line="240" w:lineRule="auto"/>
              <w:ind w:firstLine="0" w:firstLineChars="0"/>
              <w:jc w:val="center"/>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兴宁市宁新东风村片区</w:t>
            </w:r>
            <w:r>
              <w:rPr>
                <w:rFonts w:ascii="仿宋" w:hAnsi="仿宋" w:eastAsia="仿宋" w:cs="Times New Roman"/>
                <w:sz w:val="24"/>
                <w:szCs w:val="24"/>
              </w:rPr>
              <w:t>(五号小区和九号小区区域内)老旧小区升级改造项目</w:t>
            </w:r>
          </w:p>
        </w:tc>
        <w:tc>
          <w:tcPr>
            <w:tcW w:w="2783" w:type="dxa"/>
            <w:vMerge w:val="continue"/>
            <w:vAlign w:val="center"/>
          </w:tcPr>
          <w:p>
            <w:pPr>
              <w:widowControl/>
              <w:spacing w:line="240" w:lineRule="auto"/>
              <w:ind w:firstLine="0" w:firstLineChars="0"/>
              <w:jc w:val="center"/>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4770" w:type="dxa"/>
            <w:vAlign w:val="center"/>
          </w:tcPr>
          <w:p>
            <w:pPr>
              <w:widowControl/>
              <w:spacing w:line="240" w:lineRule="auto"/>
              <w:ind w:firstLine="0" w:firstLineChars="0"/>
              <w:rPr>
                <w:rFonts w:ascii="仿宋" w:hAnsi="仿宋" w:eastAsia="仿宋" w:cs="Times New Roman"/>
                <w:sz w:val="24"/>
                <w:szCs w:val="24"/>
              </w:rPr>
            </w:pPr>
            <w:r>
              <w:rPr>
                <w:rFonts w:hint="eastAsia" w:ascii="仿宋" w:hAnsi="仿宋" w:eastAsia="仿宋" w:cs="Times New Roman"/>
                <w:sz w:val="24"/>
                <w:szCs w:val="24"/>
              </w:rPr>
              <w:t>兴宁市宁新东风村片区</w:t>
            </w:r>
            <w:r>
              <w:rPr>
                <w:rFonts w:ascii="仿宋" w:hAnsi="仿宋" w:eastAsia="仿宋" w:cs="Times New Roman"/>
                <w:sz w:val="24"/>
                <w:szCs w:val="24"/>
              </w:rPr>
              <w:t>(3号、4号和6号小区区域内)老旧小区升级改造项目</w:t>
            </w:r>
          </w:p>
        </w:tc>
        <w:tc>
          <w:tcPr>
            <w:tcW w:w="2783" w:type="dxa"/>
            <w:vMerge w:val="continue"/>
            <w:vAlign w:val="center"/>
          </w:tcPr>
          <w:p>
            <w:pPr>
              <w:widowControl/>
              <w:spacing w:line="240" w:lineRule="auto"/>
              <w:ind w:firstLine="0" w:firstLineChars="0"/>
              <w:jc w:val="center"/>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restart"/>
            <w:vAlign w:val="center"/>
          </w:tcPr>
          <w:p>
            <w:pPr>
              <w:widowControl/>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6</w:t>
            </w:r>
          </w:p>
        </w:tc>
        <w:tc>
          <w:tcPr>
            <w:tcW w:w="1941" w:type="dxa"/>
            <w:vMerge w:val="restart"/>
            <w:vAlign w:val="center"/>
          </w:tcPr>
          <w:p>
            <w:pPr>
              <w:widowControl/>
              <w:spacing w:line="240"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五华县住房和城乡建设局</w:t>
            </w: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ascii="仿宋" w:hAnsi="仿宋" w:eastAsia="仿宋" w:cs="Times New Roman"/>
                <w:sz w:val="24"/>
                <w:szCs w:val="24"/>
              </w:rPr>
              <w:t>五华县城公园片老旧小区配套基础设施改造项目</w:t>
            </w:r>
          </w:p>
        </w:tc>
        <w:tc>
          <w:tcPr>
            <w:tcW w:w="2783" w:type="dxa"/>
            <w:vMerge w:val="restart"/>
            <w:vAlign w:val="center"/>
          </w:tcPr>
          <w:p>
            <w:pPr>
              <w:widowControl/>
              <w:spacing w:line="240" w:lineRule="auto"/>
              <w:ind w:firstLine="0" w:firstLineChars="0"/>
              <w:jc w:val="left"/>
              <w:rPr>
                <w:rFonts w:ascii="仿宋" w:hAnsi="仿宋" w:eastAsia="仿宋" w:cs="Times New Roman"/>
                <w:sz w:val="24"/>
                <w:szCs w:val="24"/>
              </w:rPr>
            </w:pPr>
            <w:r>
              <w:rPr>
                <w:rFonts w:ascii="仿宋" w:hAnsi="仿宋" w:eastAsia="仿宋" w:cs="Times New Roman"/>
                <w:sz w:val="24"/>
                <w:szCs w:val="24"/>
              </w:rPr>
              <w:t>基础类（地下管网成片改造）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4770" w:type="dxa"/>
            <w:vAlign w:val="center"/>
          </w:tcPr>
          <w:p>
            <w:pPr>
              <w:spacing w:line="240" w:lineRule="auto"/>
              <w:ind w:firstLine="0" w:firstLineChars="0"/>
              <w:rPr>
                <w:rFonts w:ascii="仿宋" w:hAnsi="仿宋" w:eastAsia="仿宋" w:cs="Times New Roman"/>
                <w:sz w:val="24"/>
                <w:szCs w:val="24"/>
              </w:rPr>
            </w:pPr>
            <w:r>
              <w:rPr>
                <w:rFonts w:ascii="仿宋" w:hAnsi="仿宋" w:eastAsia="仿宋" w:cs="Times New Roman"/>
                <w:sz w:val="24"/>
                <w:szCs w:val="24"/>
              </w:rPr>
              <w:t>五华县迎福片、华兴北片和华新村老旧小区改造项目</w:t>
            </w:r>
          </w:p>
        </w:tc>
        <w:tc>
          <w:tcPr>
            <w:tcW w:w="2783" w:type="dxa"/>
            <w:vMerge w:val="continue"/>
            <w:vAlign w:val="center"/>
          </w:tcPr>
          <w:p>
            <w:pPr>
              <w:widowControl/>
              <w:spacing w:line="240" w:lineRule="auto"/>
              <w:ind w:firstLine="0" w:firstLineChars="0"/>
              <w:jc w:val="center"/>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4770" w:type="dxa"/>
            <w:vAlign w:val="center"/>
          </w:tcPr>
          <w:p>
            <w:pPr>
              <w:spacing w:line="240" w:lineRule="auto"/>
              <w:ind w:firstLine="0" w:firstLineChars="0"/>
              <w:rPr>
                <w:rFonts w:ascii="仿宋" w:hAnsi="仿宋" w:eastAsia="仿宋" w:cs="Times New Roman"/>
                <w:sz w:val="24"/>
                <w:szCs w:val="24"/>
              </w:rPr>
            </w:pPr>
            <w:r>
              <w:rPr>
                <w:rFonts w:ascii="仿宋" w:hAnsi="仿宋" w:eastAsia="仿宋" w:cs="Times New Roman"/>
                <w:sz w:val="24"/>
                <w:szCs w:val="24"/>
              </w:rPr>
              <w:t>五华县迎福片老旧小区配套基础设施改造项目</w:t>
            </w:r>
          </w:p>
        </w:tc>
        <w:tc>
          <w:tcPr>
            <w:tcW w:w="2783" w:type="dxa"/>
            <w:vMerge w:val="continue"/>
            <w:vAlign w:val="center"/>
          </w:tcPr>
          <w:p>
            <w:pPr>
              <w:widowControl/>
              <w:spacing w:line="240" w:lineRule="auto"/>
              <w:ind w:firstLine="0" w:firstLineChars="0"/>
              <w:jc w:val="center"/>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Align w:val="center"/>
          </w:tcPr>
          <w:p>
            <w:pPr>
              <w:widowControl/>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7</w:t>
            </w:r>
          </w:p>
        </w:tc>
        <w:tc>
          <w:tcPr>
            <w:tcW w:w="1941" w:type="dxa"/>
            <w:vAlign w:val="center"/>
          </w:tcPr>
          <w:p>
            <w:pPr>
              <w:widowControl/>
              <w:spacing w:line="240"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大埔县住房和城乡建设局</w:t>
            </w:r>
          </w:p>
        </w:tc>
        <w:tc>
          <w:tcPr>
            <w:tcW w:w="4770" w:type="dxa"/>
            <w:vAlign w:val="center"/>
          </w:tcPr>
          <w:p>
            <w:pPr>
              <w:spacing w:line="240" w:lineRule="auto"/>
              <w:ind w:firstLine="0" w:firstLineChars="0"/>
              <w:rPr>
                <w:rFonts w:ascii="仿宋" w:hAnsi="仿宋" w:eastAsia="仿宋" w:cs="Times New Roman"/>
                <w:sz w:val="24"/>
                <w:szCs w:val="24"/>
              </w:rPr>
            </w:pPr>
            <w:r>
              <w:rPr>
                <w:rFonts w:hint="eastAsia" w:ascii="仿宋" w:hAnsi="仿宋" w:eastAsia="仿宋" w:cs="Times New Roman"/>
                <w:sz w:val="24"/>
                <w:szCs w:val="24"/>
              </w:rPr>
              <w:t>大埔县城日华、虎山路七巷、大昌、移民村、地税宿舍小区、建委宿舍等老旧小区改造工程</w:t>
            </w:r>
          </w:p>
        </w:tc>
        <w:tc>
          <w:tcPr>
            <w:tcW w:w="2783" w:type="dxa"/>
            <w:vAlign w:val="center"/>
          </w:tcPr>
          <w:p>
            <w:pPr>
              <w:spacing w:line="240" w:lineRule="auto"/>
              <w:ind w:firstLine="0" w:firstLineChars="0"/>
              <w:rPr>
                <w:rFonts w:ascii="仿宋" w:hAnsi="仿宋" w:eastAsia="仿宋"/>
                <w:sz w:val="24"/>
                <w:szCs w:val="24"/>
              </w:rPr>
            </w:pPr>
            <w:r>
              <w:rPr>
                <w:rFonts w:ascii="仿宋" w:hAnsi="仿宋" w:eastAsia="仿宋" w:cs="Times New Roman"/>
                <w:sz w:val="24"/>
                <w:szCs w:val="24"/>
              </w:rPr>
              <w:t>基础类（水、电、</w:t>
            </w:r>
            <w:r>
              <w:rPr>
                <w:rFonts w:hint="eastAsia" w:ascii="仿宋" w:hAnsi="仿宋" w:eastAsia="仿宋" w:cs="Times New Roman"/>
                <w:sz w:val="24"/>
                <w:szCs w:val="24"/>
              </w:rPr>
              <w:t>路、墙面粉刷翻新改造等</w:t>
            </w:r>
            <w:r>
              <w:rPr>
                <w:rFonts w:ascii="仿宋" w:hAnsi="仿宋"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779" w:type="dxa"/>
            <w:vMerge w:val="restart"/>
            <w:vAlign w:val="center"/>
          </w:tcPr>
          <w:p>
            <w:pPr>
              <w:widowControl/>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8</w:t>
            </w:r>
          </w:p>
        </w:tc>
        <w:tc>
          <w:tcPr>
            <w:tcW w:w="1941" w:type="dxa"/>
            <w:vMerge w:val="restart"/>
            <w:vAlign w:val="center"/>
          </w:tcPr>
          <w:p>
            <w:pPr>
              <w:widowControl/>
              <w:spacing w:line="240"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平远县住房和城乡建设局</w:t>
            </w:r>
          </w:p>
        </w:tc>
        <w:tc>
          <w:tcPr>
            <w:tcW w:w="4770" w:type="dxa"/>
            <w:vAlign w:val="center"/>
          </w:tcPr>
          <w:p>
            <w:pPr>
              <w:spacing w:line="240" w:lineRule="auto"/>
              <w:ind w:firstLine="0" w:firstLineChars="0"/>
              <w:rPr>
                <w:rFonts w:ascii="仿宋" w:hAnsi="仿宋" w:eastAsia="仿宋" w:cs="Times New Roman"/>
                <w:sz w:val="24"/>
                <w:szCs w:val="24"/>
              </w:rPr>
            </w:pPr>
            <w:r>
              <w:rPr>
                <w:rFonts w:hint="eastAsia" w:ascii="仿宋" w:hAnsi="仿宋" w:eastAsia="仿宋" w:cs="Times New Roman"/>
                <w:sz w:val="24"/>
                <w:szCs w:val="24"/>
              </w:rPr>
              <w:t>平远县大柘镇老旧小区改造配套基础设施建设项目（城西片区）</w:t>
            </w:r>
          </w:p>
        </w:tc>
        <w:tc>
          <w:tcPr>
            <w:tcW w:w="2783" w:type="dxa"/>
            <w:vMerge w:val="restart"/>
            <w:vAlign w:val="center"/>
          </w:tcPr>
          <w:p>
            <w:pPr>
              <w:spacing w:line="240" w:lineRule="auto"/>
              <w:ind w:firstLine="0" w:firstLineChars="0"/>
              <w:rPr>
                <w:rFonts w:ascii="仿宋" w:hAnsi="仿宋" w:eastAsia="仿宋" w:cs="Times New Roman"/>
                <w:sz w:val="24"/>
                <w:szCs w:val="24"/>
              </w:rPr>
            </w:pPr>
            <w:r>
              <w:rPr>
                <w:rFonts w:ascii="仿宋" w:hAnsi="仿宋" w:eastAsia="仿宋" w:cs="Times New Roman"/>
                <w:sz w:val="24"/>
                <w:szCs w:val="24"/>
              </w:rPr>
              <w:t>基础类（</w:t>
            </w:r>
            <w:r>
              <w:rPr>
                <w:rFonts w:hint="eastAsia" w:ascii="仿宋" w:hAnsi="仿宋" w:eastAsia="仿宋" w:cs="Times New Roman"/>
                <w:sz w:val="24"/>
                <w:szCs w:val="24"/>
              </w:rPr>
              <w:t>道路、供排水系统、供电、照明、燃气管道、停车场等）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79"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1941" w:type="dxa"/>
            <w:vMerge w:val="continue"/>
            <w:vAlign w:val="center"/>
          </w:tcPr>
          <w:p>
            <w:pPr>
              <w:widowControl/>
              <w:spacing w:line="240" w:lineRule="auto"/>
              <w:ind w:firstLine="0" w:firstLineChars="0"/>
              <w:jc w:val="center"/>
              <w:rPr>
                <w:rFonts w:ascii="仿宋" w:hAnsi="仿宋" w:eastAsia="仿宋" w:cs="Times New Roman"/>
                <w:sz w:val="24"/>
                <w:szCs w:val="24"/>
              </w:rPr>
            </w:pP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2021年平远县城镇老旧小区（示范区）改造项目</w:t>
            </w:r>
          </w:p>
        </w:tc>
        <w:tc>
          <w:tcPr>
            <w:tcW w:w="2783" w:type="dxa"/>
            <w:vMerge w:val="continue"/>
            <w:vAlign w:val="center"/>
          </w:tcPr>
          <w:p>
            <w:pPr>
              <w:widowControl/>
              <w:spacing w:line="240" w:lineRule="auto"/>
              <w:ind w:firstLine="0" w:firstLineChars="0"/>
              <w:jc w:val="center"/>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79" w:type="dxa"/>
            <w:vAlign w:val="center"/>
          </w:tcPr>
          <w:p>
            <w:pPr>
              <w:widowControl/>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9</w:t>
            </w:r>
          </w:p>
        </w:tc>
        <w:tc>
          <w:tcPr>
            <w:tcW w:w="1941" w:type="dxa"/>
            <w:vAlign w:val="center"/>
          </w:tcPr>
          <w:p>
            <w:pPr>
              <w:widowControl/>
              <w:spacing w:line="24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丰顺</w:t>
            </w:r>
            <w:r>
              <w:rPr>
                <w:rFonts w:ascii="仿宋" w:hAnsi="仿宋" w:eastAsia="仿宋" w:cs="Times New Roman"/>
                <w:sz w:val="24"/>
                <w:szCs w:val="24"/>
              </w:rPr>
              <w:t>县住房和城乡建设局</w:t>
            </w:r>
          </w:p>
        </w:tc>
        <w:tc>
          <w:tcPr>
            <w:tcW w:w="4770" w:type="dxa"/>
            <w:vAlign w:val="center"/>
          </w:tcPr>
          <w:p>
            <w:pPr>
              <w:widowControl/>
              <w:spacing w:line="240" w:lineRule="auto"/>
              <w:ind w:firstLine="0" w:firstLineChars="0"/>
              <w:jc w:val="left"/>
              <w:rPr>
                <w:rFonts w:ascii="仿宋" w:hAnsi="仿宋" w:eastAsia="仿宋" w:cs="Times New Roman"/>
                <w:sz w:val="24"/>
                <w:szCs w:val="24"/>
              </w:rPr>
            </w:pPr>
            <w:r>
              <w:rPr>
                <w:rFonts w:hint="eastAsia" w:ascii="仿宋" w:hAnsi="仿宋" w:eastAsia="仿宋" w:cs="Times New Roman"/>
                <w:sz w:val="24"/>
                <w:szCs w:val="24"/>
              </w:rPr>
              <w:t>丰顺县城区东园等老旧小区改造项目</w:t>
            </w:r>
          </w:p>
        </w:tc>
        <w:tc>
          <w:tcPr>
            <w:tcW w:w="2783" w:type="dxa"/>
            <w:vAlign w:val="center"/>
          </w:tcPr>
          <w:p>
            <w:pPr>
              <w:spacing w:line="240" w:lineRule="auto"/>
              <w:ind w:firstLine="0" w:firstLineChars="0"/>
              <w:rPr>
                <w:rFonts w:ascii="仿宋" w:hAnsi="仿宋" w:eastAsia="仿宋" w:cs="Times New Roman"/>
                <w:sz w:val="24"/>
                <w:szCs w:val="24"/>
              </w:rPr>
            </w:pPr>
            <w:r>
              <w:rPr>
                <w:rFonts w:ascii="仿宋" w:hAnsi="仿宋" w:eastAsia="仿宋" w:cs="Times New Roman"/>
                <w:sz w:val="24"/>
                <w:szCs w:val="24"/>
              </w:rPr>
              <w:t>基础类（</w:t>
            </w:r>
            <w:r>
              <w:rPr>
                <w:rFonts w:hint="eastAsia" w:ascii="仿宋" w:hAnsi="仿宋" w:eastAsia="仿宋" w:cs="Times New Roman"/>
                <w:sz w:val="24"/>
                <w:szCs w:val="24"/>
              </w:rPr>
              <w:t>道路、供排水系统、外墙面翻新、楼梯间粉刷等）</w:t>
            </w:r>
          </w:p>
        </w:tc>
      </w:tr>
    </w:tbl>
    <w:p>
      <w:pPr>
        <w:spacing w:line="360" w:lineRule="auto"/>
        <w:ind w:firstLine="640"/>
        <w:rPr>
          <w:rFonts w:ascii="Times New Roman" w:hAnsi="Times New Roman" w:eastAsia="楷体"/>
        </w:rPr>
      </w:pPr>
    </w:p>
    <w:p>
      <w:pPr>
        <w:spacing w:line="324" w:lineRule="auto"/>
        <w:ind w:firstLine="640"/>
        <w:rPr>
          <w:rFonts w:ascii="Times New Roman" w:hAnsi="Times New Roman"/>
        </w:rPr>
      </w:pPr>
      <w:r>
        <w:rPr>
          <w:rFonts w:hint="eastAsia" w:ascii="Times New Roman" w:hAnsi="Times New Roman"/>
        </w:rPr>
        <w:t>3.项目资金概况</w:t>
      </w:r>
    </w:p>
    <w:p>
      <w:pPr>
        <w:spacing w:line="324" w:lineRule="auto"/>
        <w:ind w:firstLine="640"/>
        <w:rPr>
          <w:rFonts w:ascii="Times New Roman" w:hAnsi="Times New Roman" w:cs="楷体"/>
        </w:rPr>
      </w:pPr>
      <w:bookmarkStart w:id="6" w:name="_Toc82511449"/>
      <w:r>
        <w:rPr>
          <w:rFonts w:hint="eastAsia" w:ascii="Times New Roman" w:hAnsi="Times New Roman" w:cs="楷体"/>
        </w:rPr>
        <w:t>（1）资金安排情况</w:t>
      </w:r>
      <w:bookmarkEnd w:id="6"/>
    </w:p>
    <w:p>
      <w:pPr>
        <w:spacing w:line="324" w:lineRule="auto"/>
        <w:ind w:firstLine="640"/>
        <w:rPr>
          <w:rFonts w:ascii="Times New Roman" w:hAnsi="Times New Roman" w:eastAsia="仿宋" w:cs="仿宋"/>
        </w:rPr>
      </w:pPr>
      <w:r>
        <w:rPr>
          <w:rFonts w:hint="eastAsia" w:ascii="Times New Roman" w:hAnsi="仿宋" w:eastAsia="仿宋" w:cs="仿宋"/>
        </w:rPr>
        <w:t>本项目资金来源为中央财政资金和省级财政资金，中央财政安排资金</w:t>
      </w:r>
      <w:r>
        <w:rPr>
          <w:rFonts w:hint="eastAsia" w:ascii="Times New Roman" w:hAnsi="Times New Roman" w:eastAsia="仿宋" w:cs="仿宋"/>
        </w:rPr>
        <w:t>23,311.30</w:t>
      </w:r>
      <w:r>
        <w:rPr>
          <w:rFonts w:hint="eastAsia" w:ascii="Times New Roman" w:hAnsi="仿宋" w:eastAsia="仿宋" w:cs="仿宋"/>
        </w:rPr>
        <w:t>万元，省级财政安排资金</w:t>
      </w:r>
      <w:r>
        <w:rPr>
          <w:rFonts w:ascii="Times New Roman" w:hAnsi="Times New Roman" w:eastAsia="仿宋" w:cs="仿宋"/>
        </w:rPr>
        <w:t>1,451.00</w:t>
      </w:r>
      <w:r>
        <w:rPr>
          <w:rFonts w:hint="eastAsia" w:ascii="Times New Roman" w:hAnsi="仿宋" w:eastAsia="仿宋" w:cs="仿宋"/>
        </w:rPr>
        <w:t>万元，应到位资金合计共</w:t>
      </w:r>
      <w:r>
        <w:rPr>
          <w:rFonts w:ascii="Times New Roman" w:hAnsi="Times New Roman" w:eastAsia="仿宋" w:cs="仿宋"/>
        </w:rPr>
        <w:t>24,762.3</w:t>
      </w:r>
      <w:r>
        <w:rPr>
          <w:rFonts w:hint="eastAsia" w:ascii="Times New Roman" w:hAnsi="Times New Roman" w:eastAsia="仿宋" w:cs="仿宋"/>
        </w:rPr>
        <w:t>0</w:t>
      </w:r>
      <w:r>
        <w:rPr>
          <w:rFonts w:hint="eastAsia" w:ascii="Times New Roman" w:hAnsi="仿宋" w:eastAsia="仿宋" w:cs="仿宋"/>
        </w:rPr>
        <w:t>万元。</w:t>
      </w:r>
    </w:p>
    <w:p>
      <w:pPr>
        <w:spacing w:line="324" w:lineRule="auto"/>
        <w:ind w:firstLine="640"/>
        <w:rPr>
          <w:rFonts w:hint="eastAsia" w:ascii="Times New Roman" w:hAnsi="Times New Roman" w:eastAsia="黑体" w:cs="仿宋"/>
          <w:sz w:val="28"/>
        </w:rPr>
      </w:pPr>
      <w:r>
        <w:rPr>
          <w:rFonts w:hint="eastAsia" w:ascii="Times New Roman" w:hAnsi="仿宋" w:eastAsia="仿宋" w:cs="仿宋"/>
          <w:lang w:eastAsia="zh-CN"/>
        </w:rPr>
        <w:t>截至</w:t>
      </w:r>
      <w:r>
        <w:rPr>
          <w:rFonts w:hint="eastAsia" w:ascii="Times New Roman" w:hAnsi="仿宋" w:eastAsia="仿宋" w:cs="仿宋"/>
        </w:rPr>
        <w:t>评价基准日，中央财政累计下达资金</w:t>
      </w:r>
      <w:r>
        <w:rPr>
          <w:rFonts w:hint="eastAsia" w:ascii="Times New Roman" w:hAnsi="Times New Roman" w:eastAsia="仿宋" w:cs="仿宋"/>
        </w:rPr>
        <w:t>23,311.30</w:t>
      </w:r>
      <w:r>
        <w:rPr>
          <w:rFonts w:hint="eastAsia" w:ascii="Times New Roman" w:hAnsi="仿宋" w:eastAsia="仿宋" w:cs="仿宋"/>
        </w:rPr>
        <w:t>万元，省级财政累计下达资金</w:t>
      </w:r>
      <w:r>
        <w:rPr>
          <w:rFonts w:ascii="Times New Roman" w:hAnsi="Times New Roman" w:eastAsia="仿宋" w:cs="仿宋"/>
        </w:rPr>
        <w:t>1,451.00</w:t>
      </w:r>
      <w:r>
        <w:rPr>
          <w:rFonts w:hint="eastAsia" w:ascii="Times New Roman" w:hAnsi="仿宋" w:eastAsia="仿宋" w:cs="仿宋"/>
        </w:rPr>
        <w:t>万元，资金实际到位累计</w:t>
      </w:r>
      <w:r>
        <w:rPr>
          <w:rFonts w:ascii="Times New Roman" w:hAnsi="Times New Roman" w:eastAsia="仿宋" w:cs="仿宋"/>
        </w:rPr>
        <w:t>24,762.3</w:t>
      </w:r>
      <w:r>
        <w:rPr>
          <w:rFonts w:hint="eastAsia" w:ascii="Times New Roman" w:hAnsi="Times New Roman" w:eastAsia="仿宋" w:cs="仿宋"/>
        </w:rPr>
        <w:t>0</w:t>
      </w:r>
      <w:r>
        <w:rPr>
          <w:rFonts w:hint="eastAsia" w:ascii="Times New Roman" w:hAnsi="仿宋" w:eastAsia="仿宋" w:cs="仿宋"/>
        </w:rPr>
        <w:t>万元，资金到位率</w:t>
      </w:r>
      <w:r>
        <w:rPr>
          <w:rFonts w:hint="eastAsia" w:ascii="Times New Roman" w:hAnsi="Times New Roman" w:eastAsia="仿宋" w:cs="仿宋"/>
        </w:rPr>
        <w:t>100.00%</w:t>
      </w:r>
      <w:r>
        <w:rPr>
          <w:rFonts w:hint="eastAsia" w:ascii="Times New Roman" w:hAnsi="仿宋" w:eastAsia="仿宋" w:cs="仿宋"/>
        </w:rPr>
        <w:t>。具体项目资金下达情况详见下表。</w:t>
      </w:r>
    </w:p>
    <w:p>
      <w:pPr>
        <w:spacing w:line="360" w:lineRule="auto"/>
        <w:ind w:firstLine="1680" w:firstLineChars="600"/>
        <w:rPr>
          <w:rFonts w:ascii="Times New Roman" w:hAnsi="Times New Roman" w:eastAsia="仿宋" w:cs="仿宋"/>
        </w:rPr>
      </w:pPr>
      <w:r>
        <w:rPr>
          <w:rFonts w:hint="eastAsia" w:ascii="Times New Roman" w:hAnsi="黑体" w:eastAsia="黑体" w:cs="仿宋"/>
          <w:sz w:val="28"/>
        </w:rPr>
        <w:t>项目各类资金下达情况</w:t>
      </w:r>
      <w:r>
        <w:rPr>
          <w:rStyle w:val="23"/>
          <w:rFonts w:ascii="Times New Roman" w:hAnsi="Times New Roman" w:eastAsia="黑体" w:cs="仿宋"/>
          <w:sz w:val="28"/>
        </w:rPr>
        <w:footnoteReference w:id="2"/>
      </w:r>
      <w:r>
        <w:rPr>
          <w:rFonts w:hint="eastAsia" w:ascii="Times New Roman" w:hAnsi="黑体" w:eastAsia="黑体" w:cs="仿宋"/>
          <w:sz w:val="28"/>
        </w:rPr>
        <w:t>（单位：万元）</w:t>
      </w:r>
    </w:p>
    <w:tbl>
      <w:tblPr>
        <w:tblStyle w:val="18"/>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4610"/>
        <w:gridCol w:w="1134"/>
        <w:gridCol w:w="992"/>
        <w:gridCol w:w="1316"/>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blHeader/>
          <w:jc w:val="center"/>
        </w:trPr>
        <w:tc>
          <w:tcPr>
            <w:tcW w:w="831" w:type="dxa"/>
            <w:vAlign w:val="center"/>
          </w:tcPr>
          <w:p>
            <w:pPr>
              <w:widowControl/>
              <w:snapToGrid/>
              <w:spacing w:line="288" w:lineRule="auto"/>
              <w:ind w:firstLine="0" w:firstLineChars="0"/>
              <w:jc w:val="center"/>
              <w:rPr>
                <w:rFonts w:ascii="仿宋" w:hAnsi="仿宋" w:eastAsia="仿宋" w:cs="Times New Roman"/>
                <w:b/>
                <w:sz w:val="24"/>
                <w:szCs w:val="24"/>
              </w:rPr>
            </w:pPr>
            <w:bookmarkStart w:id="7" w:name="_Toc82511450"/>
            <w:r>
              <w:rPr>
                <w:rFonts w:ascii="仿宋" w:hAnsi="仿宋" w:eastAsia="仿宋" w:cs="Times New Roman"/>
                <w:b/>
                <w:sz w:val="24"/>
                <w:szCs w:val="24"/>
              </w:rPr>
              <w:t>序号</w:t>
            </w:r>
          </w:p>
        </w:tc>
        <w:tc>
          <w:tcPr>
            <w:tcW w:w="4610" w:type="dxa"/>
            <w:vAlign w:val="center"/>
          </w:tcPr>
          <w:p>
            <w:pPr>
              <w:widowControl/>
              <w:snapToGrid/>
              <w:spacing w:line="288" w:lineRule="auto"/>
              <w:ind w:firstLine="0" w:firstLineChars="0"/>
              <w:jc w:val="center"/>
              <w:rPr>
                <w:rFonts w:ascii="仿宋" w:hAnsi="仿宋" w:eastAsia="仿宋" w:cs="Times New Roman"/>
                <w:b/>
                <w:sz w:val="24"/>
                <w:szCs w:val="24"/>
              </w:rPr>
            </w:pPr>
            <w:r>
              <w:rPr>
                <w:rFonts w:ascii="仿宋" w:hAnsi="仿宋" w:eastAsia="仿宋" w:cs="Times New Roman"/>
                <w:b/>
                <w:sz w:val="24"/>
                <w:szCs w:val="24"/>
              </w:rPr>
              <w:t>名称</w:t>
            </w:r>
          </w:p>
        </w:tc>
        <w:tc>
          <w:tcPr>
            <w:tcW w:w="1134" w:type="dxa"/>
            <w:vAlign w:val="center"/>
          </w:tcPr>
          <w:p>
            <w:pPr>
              <w:widowControl/>
              <w:snapToGrid/>
              <w:spacing w:line="288" w:lineRule="auto"/>
              <w:ind w:firstLine="0" w:firstLineChars="0"/>
              <w:jc w:val="center"/>
              <w:rPr>
                <w:rFonts w:ascii="仿宋" w:hAnsi="仿宋" w:eastAsia="仿宋" w:cs="Times New Roman"/>
                <w:b/>
                <w:sz w:val="24"/>
                <w:szCs w:val="24"/>
              </w:rPr>
            </w:pPr>
            <w:r>
              <w:rPr>
                <w:rFonts w:ascii="仿宋" w:hAnsi="仿宋" w:eastAsia="仿宋" w:cs="Times New Roman"/>
                <w:b/>
                <w:sz w:val="24"/>
                <w:szCs w:val="24"/>
              </w:rPr>
              <w:t>资金</w:t>
            </w:r>
          </w:p>
          <w:p>
            <w:pPr>
              <w:widowControl/>
              <w:snapToGrid/>
              <w:spacing w:line="288" w:lineRule="auto"/>
              <w:ind w:firstLine="0" w:firstLineChars="0"/>
              <w:jc w:val="center"/>
              <w:rPr>
                <w:rFonts w:ascii="仿宋" w:hAnsi="仿宋" w:eastAsia="仿宋" w:cs="Times New Roman"/>
                <w:b/>
                <w:sz w:val="24"/>
                <w:szCs w:val="24"/>
              </w:rPr>
            </w:pPr>
            <w:r>
              <w:rPr>
                <w:rFonts w:ascii="仿宋" w:hAnsi="仿宋" w:eastAsia="仿宋" w:cs="Times New Roman"/>
                <w:b/>
                <w:sz w:val="24"/>
                <w:szCs w:val="24"/>
              </w:rPr>
              <w:t>来源</w:t>
            </w:r>
          </w:p>
        </w:tc>
        <w:tc>
          <w:tcPr>
            <w:tcW w:w="992" w:type="dxa"/>
            <w:vAlign w:val="center"/>
          </w:tcPr>
          <w:p>
            <w:pPr>
              <w:widowControl/>
              <w:snapToGrid/>
              <w:spacing w:line="288" w:lineRule="auto"/>
              <w:ind w:firstLine="0" w:firstLineChars="0"/>
              <w:jc w:val="center"/>
              <w:rPr>
                <w:rFonts w:ascii="仿宋" w:hAnsi="仿宋" w:eastAsia="仿宋" w:cs="Times New Roman"/>
                <w:b/>
                <w:sz w:val="24"/>
                <w:szCs w:val="24"/>
              </w:rPr>
            </w:pPr>
            <w:r>
              <w:rPr>
                <w:rFonts w:ascii="仿宋" w:hAnsi="仿宋" w:eastAsia="仿宋" w:cs="Times New Roman"/>
                <w:b/>
                <w:sz w:val="24"/>
                <w:szCs w:val="24"/>
              </w:rPr>
              <w:t>下达</w:t>
            </w:r>
          </w:p>
          <w:p>
            <w:pPr>
              <w:widowControl/>
              <w:snapToGrid/>
              <w:spacing w:line="288" w:lineRule="auto"/>
              <w:ind w:firstLine="0" w:firstLineChars="0"/>
              <w:jc w:val="center"/>
              <w:rPr>
                <w:rFonts w:ascii="仿宋" w:hAnsi="仿宋" w:eastAsia="仿宋" w:cs="Times New Roman"/>
                <w:b/>
                <w:sz w:val="24"/>
                <w:szCs w:val="24"/>
              </w:rPr>
            </w:pPr>
            <w:r>
              <w:rPr>
                <w:rFonts w:ascii="仿宋" w:hAnsi="仿宋" w:eastAsia="仿宋" w:cs="Times New Roman"/>
                <w:b/>
                <w:sz w:val="24"/>
                <w:szCs w:val="24"/>
              </w:rPr>
              <w:t>年度</w:t>
            </w:r>
          </w:p>
        </w:tc>
        <w:tc>
          <w:tcPr>
            <w:tcW w:w="1316" w:type="dxa"/>
            <w:vAlign w:val="center"/>
          </w:tcPr>
          <w:p>
            <w:pPr>
              <w:widowControl/>
              <w:snapToGrid/>
              <w:spacing w:line="288" w:lineRule="auto"/>
              <w:ind w:firstLine="0" w:firstLineChars="0"/>
              <w:jc w:val="center"/>
              <w:rPr>
                <w:rFonts w:ascii="仿宋" w:hAnsi="仿宋" w:eastAsia="仿宋" w:cs="Times New Roman"/>
                <w:b/>
                <w:sz w:val="24"/>
                <w:szCs w:val="24"/>
              </w:rPr>
            </w:pPr>
            <w:r>
              <w:rPr>
                <w:rFonts w:ascii="仿宋" w:hAnsi="仿宋" w:eastAsia="仿宋" w:cs="Times New Roman"/>
                <w:b/>
                <w:sz w:val="24"/>
                <w:szCs w:val="24"/>
              </w:rPr>
              <w:t>下达</w:t>
            </w:r>
          </w:p>
          <w:p>
            <w:pPr>
              <w:widowControl/>
              <w:snapToGrid/>
              <w:spacing w:line="288" w:lineRule="auto"/>
              <w:ind w:firstLine="0" w:firstLineChars="0"/>
              <w:jc w:val="center"/>
              <w:rPr>
                <w:rFonts w:ascii="仿宋" w:hAnsi="仿宋" w:eastAsia="仿宋" w:cs="Times New Roman"/>
                <w:b/>
                <w:sz w:val="24"/>
                <w:szCs w:val="24"/>
              </w:rPr>
            </w:pPr>
            <w:r>
              <w:rPr>
                <w:rFonts w:ascii="仿宋" w:hAnsi="仿宋" w:eastAsia="仿宋" w:cs="Times New Roman"/>
                <w:b/>
                <w:sz w:val="24"/>
                <w:szCs w:val="24"/>
              </w:rPr>
              <w:t>金额</w:t>
            </w:r>
          </w:p>
        </w:tc>
        <w:tc>
          <w:tcPr>
            <w:tcW w:w="1548" w:type="dxa"/>
            <w:vAlign w:val="center"/>
          </w:tcPr>
          <w:p>
            <w:pPr>
              <w:widowControl/>
              <w:snapToGrid/>
              <w:spacing w:line="288" w:lineRule="auto"/>
              <w:ind w:firstLine="0" w:firstLineChars="0"/>
              <w:jc w:val="center"/>
              <w:rPr>
                <w:rFonts w:ascii="仿宋" w:hAnsi="仿宋" w:eastAsia="仿宋" w:cs="Times New Roman"/>
                <w:b/>
                <w:sz w:val="24"/>
                <w:szCs w:val="24"/>
              </w:rPr>
            </w:pPr>
            <w:r>
              <w:rPr>
                <w:rFonts w:hint="eastAsia" w:ascii="仿宋" w:hAnsi="仿宋" w:eastAsia="仿宋" w:cs="Times New Roman"/>
                <w:b/>
                <w:sz w:val="24"/>
                <w:szCs w:val="24"/>
              </w:rPr>
              <w:t>下达</w:t>
            </w:r>
          </w:p>
          <w:p>
            <w:pPr>
              <w:widowControl/>
              <w:snapToGrid/>
              <w:spacing w:line="288" w:lineRule="auto"/>
              <w:ind w:firstLine="0" w:firstLineChars="0"/>
              <w:jc w:val="center"/>
              <w:rPr>
                <w:rFonts w:ascii="仿宋" w:hAnsi="仿宋" w:eastAsia="仿宋" w:cs="Times New Roman"/>
                <w:b/>
                <w:sz w:val="24"/>
                <w:szCs w:val="24"/>
              </w:rPr>
            </w:pPr>
            <w:r>
              <w:rPr>
                <w:rFonts w:ascii="仿宋" w:hAnsi="仿宋" w:eastAsia="仿宋" w:cs="Times New Roman"/>
                <w:b/>
                <w:sz w:val="24"/>
                <w:szCs w:val="24"/>
              </w:rPr>
              <w:t>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831"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1</w:t>
            </w:r>
          </w:p>
        </w:tc>
        <w:tc>
          <w:tcPr>
            <w:tcW w:w="4610" w:type="dxa"/>
            <w:vAlign w:val="center"/>
          </w:tcPr>
          <w:p>
            <w:pPr>
              <w:widowControl/>
              <w:snapToGrid/>
              <w:spacing w:line="288" w:lineRule="auto"/>
              <w:ind w:firstLine="0" w:firstLineChars="0"/>
              <w:jc w:val="left"/>
              <w:rPr>
                <w:rFonts w:ascii="仿宋" w:hAnsi="仿宋" w:eastAsia="仿宋" w:cs="Times New Roman"/>
                <w:sz w:val="24"/>
                <w:szCs w:val="24"/>
              </w:rPr>
            </w:pPr>
            <w:r>
              <w:rPr>
                <w:rFonts w:ascii="仿宋" w:hAnsi="仿宋" w:eastAsia="仿宋" w:cs="Times New Roman"/>
                <w:sz w:val="24"/>
                <w:szCs w:val="24"/>
              </w:rPr>
              <w:t>城镇老旧小区改造重点项目</w:t>
            </w:r>
            <w:r>
              <w:rPr>
                <w:rFonts w:hint="eastAsia" w:ascii="仿宋" w:hAnsi="仿宋" w:eastAsia="仿宋" w:cs="Times New Roman"/>
                <w:sz w:val="24"/>
                <w:szCs w:val="24"/>
              </w:rPr>
              <w:t>补助</w:t>
            </w:r>
          </w:p>
        </w:tc>
        <w:tc>
          <w:tcPr>
            <w:tcW w:w="1134"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省级财政资金</w:t>
            </w:r>
          </w:p>
        </w:tc>
        <w:tc>
          <w:tcPr>
            <w:tcW w:w="992"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2021</w:t>
            </w:r>
          </w:p>
        </w:tc>
        <w:tc>
          <w:tcPr>
            <w:tcW w:w="1316"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1,451.00</w:t>
            </w:r>
          </w:p>
        </w:tc>
        <w:tc>
          <w:tcPr>
            <w:tcW w:w="1548"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梅市财建〔2021〕</w:t>
            </w:r>
            <w:r>
              <w:rPr>
                <w:rFonts w:ascii="仿宋" w:hAnsi="仿宋" w:eastAsia="仿宋" w:cs="Times New Roman"/>
                <w:sz w:val="24"/>
                <w:szCs w:val="24"/>
              </w:rPr>
              <w:t>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31"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2</w:t>
            </w:r>
          </w:p>
        </w:tc>
        <w:tc>
          <w:tcPr>
            <w:tcW w:w="4610" w:type="dxa"/>
            <w:vAlign w:val="center"/>
          </w:tcPr>
          <w:p>
            <w:pPr>
              <w:widowControl/>
              <w:snapToGrid/>
              <w:spacing w:line="288" w:lineRule="auto"/>
              <w:ind w:firstLine="0" w:firstLineChars="0"/>
              <w:jc w:val="left"/>
              <w:rPr>
                <w:rFonts w:ascii="仿宋" w:hAnsi="仿宋" w:eastAsia="仿宋" w:cs="Times New Roman"/>
                <w:sz w:val="24"/>
                <w:szCs w:val="24"/>
              </w:rPr>
            </w:pPr>
            <w:r>
              <w:rPr>
                <w:rFonts w:ascii="仿宋" w:hAnsi="仿宋" w:eastAsia="仿宋" w:cs="Times New Roman"/>
                <w:sz w:val="24"/>
                <w:szCs w:val="24"/>
              </w:rPr>
              <w:t>保障性安居工程（城镇老旧小区改造）</w:t>
            </w:r>
          </w:p>
        </w:tc>
        <w:tc>
          <w:tcPr>
            <w:tcW w:w="1134"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中央财政资金</w:t>
            </w:r>
          </w:p>
        </w:tc>
        <w:tc>
          <w:tcPr>
            <w:tcW w:w="992"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2021</w:t>
            </w:r>
          </w:p>
        </w:tc>
        <w:tc>
          <w:tcPr>
            <w:tcW w:w="1316"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2,656.28</w:t>
            </w:r>
          </w:p>
        </w:tc>
        <w:tc>
          <w:tcPr>
            <w:tcW w:w="1548" w:type="dxa"/>
            <w:vAlign w:val="center"/>
          </w:tcPr>
          <w:p>
            <w:pPr>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梅市财建〔2021〕</w:t>
            </w:r>
            <w:r>
              <w:rPr>
                <w:rFonts w:ascii="仿宋" w:hAnsi="仿宋" w:eastAsia="仿宋" w:cs="Times New Roman"/>
                <w:sz w:val="24"/>
                <w:szCs w:val="24"/>
              </w:rPr>
              <w:t>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831"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3</w:t>
            </w:r>
          </w:p>
        </w:tc>
        <w:tc>
          <w:tcPr>
            <w:tcW w:w="4610" w:type="dxa"/>
            <w:vAlign w:val="center"/>
          </w:tcPr>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 xml:space="preserve">新城办事处西桥社区建委宿舍小区、宏业小区（A2A3区、A4区、B区）改造工程项目;          </w:t>
            </w:r>
          </w:p>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五华县城公园片老旧小区配套基础设施改造项目</w:t>
            </w:r>
          </w:p>
        </w:tc>
        <w:tc>
          <w:tcPr>
            <w:tcW w:w="1134"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中央财政资金</w:t>
            </w:r>
          </w:p>
        </w:tc>
        <w:tc>
          <w:tcPr>
            <w:tcW w:w="992"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2021</w:t>
            </w:r>
          </w:p>
        </w:tc>
        <w:tc>
          <w:tcPr>
            <w:tcW w:w="1316"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3,057.00</w:t>
            </w:r>
          </w:p>
        </w:tc>
        <w:tc>
          <w:tcPr>
            <w:tcW w:w="1548" w:type="dxa"/>
            <w:vAlign w:val="center"/>
          </w:tcPr>
          <w:p>
            <w:pPr>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梅市财建〔2021〕</w:t>
            </w:r>
            <w:r>
              <w:rPr>
                <w:rFonts w:ascii="仿宋" w:hAnsi="仿宋" w:eastAsia="仿宋" w:cs="Times New Roman"/>
                <w:sz w:val="24"/>
                <w:szCs w:val="24"/>
              </w:rPr>
              <w:t>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831"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4</w:t>
            </w:r>
          </w:p>
        </w:tc>
        <w:tc>
          <w:tcPr>
            <w:tcW w:w="4610" w:type="dxa"/>
            <w:vAlign w:val="center"/>
          </w:tcPr>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梅江区江南街道大园法院宿舍老旧小区周边小巷提升改造项目;</w:t>
            </w:r>
          </w:p>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梅江区三角镇华建市场“有路”市政道路建设工程;</w:t>
            </w:r>
          </w:p>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梅江区西郊街道勤力苑老旧小区周边背街小巷道路整治提升项目;</w:t>
            </w:r>
          </w:p>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平远县大柘镇老旧小区改造配套基础设施建设项目（城西片区）;</w:t>
            </w:r>
          </w:p>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兴宁市产业转移工业园叶塘安置区城市棚户区改造二期项目;</w:t>
            </w:r>
          </w:p>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2020年兴宁市城镇老旧小区（宁新东风村3号、4号和6号小区）改造及周边市政设施升级改造工程</w:t>
            </w:r>
          </w:p>
        </w:tc>
        <w:tc>
          <w:tcPr>
            <w:tcW w:w="1134"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中央财政资金</w:t>
            </w:r>
          </w:p>
        </w:tc>
        <w:tc>
          <w:tcPr>
            <w:tcW w:w="992"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2021</w:t>
            </w:r>
          </w:p>
        </w:tc>
        <w:tc>
          <w:tcPr>
            <w:tcW w:w="1316"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5,906.00</w:t>
            </w:r>
          </w:p>
        </w:tc>
        <w:tc>
          <w:tcPr>
            <w:tcW w:w="1548" w:type="dxa"/>
            <w:vAlign w:val="center"/>
          </w:tcPr>
          <w:p>
            <w:pPr>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梅市财建〔2021〕</w:t>
            </w:r>
            <w:r>
              <w:rPr>
                <w:rFonts w:ascii="仿宋" w:hAnsi="仿宋" w:eastAsia="仿宋" w:cs="Times New Roman"/>
                <w:sz w:val="24"/>
                <w:szCs w:val="24"/>
              </w:rPr>
              <w:t>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831"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5</w:t>
            </w:r>
          </w:p>
        </w:tc>
        <w:tc>
          <w:tcPr>
            <w:tcW w:w="4610" w:type="dxa"/>
            <w:vAlign w:val="center"/>
          </w:tcPr>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2021年中央财政城镇保障性安居工程补助资金（城镇老旧小区改造）</w:t>
            </w:r>
          </w:p>
        </w:tc>
        <w:tc>
          <w:tcPr>
            <w:tcW w:w="1134"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中央财政资金</w:t>
            </w:r>
          </w:p>
        </w:tc>
        <w:tc>
          <w:tcPr>
            <w:tcW w:w="992"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2021</w:t>
            </w:r>
          </w:p>
        </w:tc>
        <w:tc>
          <w:tcPr>
            <w:tcW w:w="1316"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1,106.02</w:t>
            </w:r>
          </w:p>
        </w:tc>
        <w:tc>
          <w:tcPr>
            <w:tcW w:w="1548" w:type="dxa"/>
            <w:vAlign w:val="center"/>
          </w:tcPr>
          <w:p>
            <w:pPr>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2"/>
              </w:rPr>
              <w:t>梅市财建〔2021〕</w:t>
            </w:r>
            <w:r>
              <w:rPr>
                <w:rFonts w:ascii="仿宋" w:hAnsi="仿宋" w:eastAsia="仿宋" w:cs="Times New Roman"/>
                <w:sz w:val="22"/>
              </w:rPr>
              <w:t>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831" w:type="dxa"/>
            <w:vAlign w:val="center"/>
          </w:tcPr>
          <w:p>
            <w:pPr>
              <w:widowControl/>
              <w:snapToGrid/>
              <w:spacing w:line="240" w:lineRule="auto"/>
              <w:ind w:firstLine="240" w:firstLineChars="100"/>
              <w:jc w:val="left"/>
              <w:rPr>
                <w:rFonts w:ascii="仿宋" w:hAnsi="仿宋" w:eastAsia="仿宋" w:cs="仿宋"/>
                <w:sz w:val="20"/>
                <w:szCs w:val="15"/>
              </w:rPr>
            </w:pPr>
            <w:r>
              <w:rPr>
                <w:rFonts w:hint="eastAsia" w:ascii="仿宋" w:hAnsi="仿宋" w:eastAsia="仿宋" w:cs="Times New Roman"/>
                <w:sz w:val="24"/>
                <w:szCs w:val="24"/>
              </w:rPr>
              <w:t>6</w:t>
            </w:r>
          </w:p>
        </w:tc>
        <w:tc>
          <w:tcPr>
            <w:tcW w:w="4610" w:type="dxa"/>
            <w:vAlign w:val="center"/>
          </w:tcPr>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 xml:space="preserve">梅江区江南街道梅南大院等5个老旧小区周边小巷提升改造项目         </w:t>
            </w:r>
          </w:p>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梅江区三角镇金龙花园等四个老旧小区周边巷道提升改造项目</w:t>
            </w:r>
          </w:p>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梅州市梅县区人民政府新城办事处华丽苑、怡迪苑、富贵花园二期老旧小区周边道 路提升工程</w:t>
            </w:r>
          </w:p>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梅州市梅县区程江镇7个小区（吉祥B区、碧清楼、昌盛大楼、华龙小区、槐岗教 师宿舍、吉祥花园、丽华苑）改造工程</w:t>
            </w:r>
          </w:p>
          <w:p>
            <w:pPr>
              <w:widowControl/>
              <w:snapToGrid/>
              <w:spacing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五华县迎富片老旧小区配套基础设施改造项目</w:t>
            </w:r>
          </w:p>
          <w:p>
            <w:pPr>
              <w:widowControl/>
              <w:snapToGrid/>
              <w:spacing w:after="140"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兴宁市宁新东风村5号小区和9号小区城镇老旧小区改造及周边市政道路配套设施工程项目</w:t>
            </w:r>
          </w:p>
          <w:p>
            <w:pPr>
              <w:widowControl/>
              <w:snapToGrid/>
              <w:spacing w:after="140"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兴宁市宁新大岭片区（和平小、文兴花园等小区）老旧小区周边市政基础设施升级改造项目</w:t>
            </w:r>
          </w:p>
          <w:p>
            <w:pPr>
              <w:widowControl/>
              <w:snapToGrid/>
              <w:spacing w:after="140"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兴宁市宁新紫金山片区（交通宿舍、税务宿舍等小区）老旧小区周边市政基础设施升级改造项目</w:t>
            </w:r>
          </w:p>
          <w:p>
            <w:pPr>
              <w:widowControl/>
              <w:snapToGrid/>
              <w:spacing w:after="140" w:line="240" w:lineRule="auto"/>
              <w:ind w:firstLine="0" w:firstLineChars="0"/>
              <w:jc w:val="left"/>
              <w:rPr>
                <w:rFonts w:ascii="仿宋" w:hAnsi="仿宋" w:eastAsia="仿宋" w:cs="仿宋"/>
                <w:sz w:val="20"/>
                <w:szCs w:val="15"/>
              </w:rPr>
            </w:pPr>
            <w:r>
              <w:rPr>
                <w:rFonts w:hint="eastAsia" w:ascii="仿宋" w:hAnsi="仿宋" w:eastAsia="仿宋" w:cs="仿宋"/>
                <w:sz w:val="20"/>
                <w:szCs w:val="15"/>
              </w:rPr>
              <w:t>兴宁</w:t>
            </w:r>
            <w:bookmarkStart w:id="86" w:name="_GoBack"/>
            <w:bookmarkEnd w:id="86"/>
            <w:r>
              <w:rPr>
                <w:rFonts w:hint="eastAsia" w:ascii="仿宋" w:hAnsi="仿宋" w:eastAsia="仿宋" w:cs="仿宋"/>
                <w:sz w:val="20"/>
                <w:szCs w:val="15"/>
              </w:rPr>
              <w:t>市委片区（市委宿舍、招待所宿舍等小区）老旧小区周边市政基础设施升级改造项目</w:t>
            </w:r>
          </w:p>
        </w:tc>
        <w:tc>
          <w:tcPr>
            <w:tcW w:w="1134"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中央财政资金</w:t>
            </w:r>
          </w:p>
        </w:tc>
        <w:tc>
          <w:tcPr>
            <w:tcW w:w="992" w:type="dxa"/>
            <w:vAlign w:val="center"/>
          </w:tcPr>
          <w:p>
            <w:pPr>
              <w:widowControl/>
              <w:snapToGrid/>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2021</w:t>
            </w:r>
          </w:p>
        </w:tc>
        <w:tc>
          <w:tcPr>
            <w:tcW w:w="1316" w:type="dxa"/>
            <w:vAlign w:val="center"/>
          </w:tcPr>
          <w:p>
            <w:pPr>
              <w:widowControl/>
              <w:snapToGrid/>
              <w:spacing w:line="288" w:lineRule="auto"/>
              <w:ind w:firstLine="0" w:firstLineChars="0"/>
              <w:jc w:val="center"/>
              <w:rPr>
                <w:rFonts w:ascii="仿宋" w:hAnsi="仿宋" w:eastAsia="仿宋" w:cs="Times New Roman"/>
                <w:sz w:val="24"/>
                <w:szCs w:val="24"/>
              </w:rPr>
            </w:pPr>
            <w:r>
              <w:rPr>
                <w:rFonts w:ascii="仿宋" w:hAnsi="仿宋" w:eastAsia="仿宋" w:cs="Times New Roman"/>
                <w:sz w:val="24"/>
                <w:szCs w:val="24"/>
              </w:rPr>
              <w:t>10,586.00</w:t>
            </w:r>
          </w:p>
        </w:tc>
        <w:tc>
          <w:tcPr>
            <w:tcW w:w="1548" w:type="dxa"/>
            <w:vAlign w:val="center"/>
          </w:tcPr>
          <w:p>
            <w:pPr>
              <w:spacing w:line="288" w:lineRule="auto"/>
              <w:ind w:firstLine="0" w:firstLineChars="0"/>
              <w:jc w:val="center"/>
              <w:rPr>
                <w:rFonts w:ascii="仿宋" w:hAnsi="仿宋" w:eastAsia="仿宋" w:cs="Times New Roman"/>
                <w:sz w:val="24"/>
                <w:szCs w:val="24"/>
              </w:rPr>
            </w:pPr>
            <w:r>
              <w:rPr>
                <w:rFonts w:hint="eastAsia" w:ascii="仿宋" w:hAnsi="仿宋" w:eastAsia="仿宋" w:cs="Times New Roman"/>
                <w:sz w:val="22"/>
              </w:rPr>
              <w:t>梅市财建〔2021〕</w:t>
            </w:r>
            <w:r>
              <w:rPr>
                <w:rFonts w:ascii="仿宋" w:hAnsi="仿宋" w:eastAsia="仿宋" w:cs="Times New Roman"/>
                <w:sz w:val="22"/>
              </w:rPr>
              <w:t>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7" w:type="dxa"/>
            <w:gridSpan w:val="4"/>
            <w:vAlign w:val="center"/>
          </w:tcPr>
          <w:p>
            <w:pPr>
              <w:widowControl/>
              <w:snapToGrid/>
              <w:spacing w:line="288" w:lineRule="auto"/>
              <w:ind w:firstLine="0" w:firstLineChars="0"/>
              <w:jc w:val="center"/>
              <w:rPr>
                <w:rFonts w:hint="eastAsia" w:ascii="仿宋" w:hAnsi="仿宋" w:eastAsia="仿宋" w:cs="Times New Roman"/>
                <w:b/>
                <w:sz w:val="24"/>
                <w:szCs w:val="24"/>
                <w:lang w:val="en-US" w:eastAsia="zh-CN"/>
              </w:rPr>
            </w:pPr>
            <w:r>
              <w:rPr>
                <w:rFonts w:ascii="仿宋" w:hAnsi="仿宋" w:eastAsia="仿宋" w:cs="Times New Roman"/>
                <w:b/>
                <w:sz w:val="24"/>
                <w:szCs w:val="24"/>
              </w:rPr>
              <w:t>合计</w:t>
            </w:r>
            <w:r>
              <w:rPr>
                <w:rFonts w:hint="eastAsia" w:ascii="仿宋" w:hAnsi="仿宋" w:eastAsia="仿宋" w:cs="Times New Roman"/>
                <w:b/>
                <w:sz w:val="24"/>
                <w:szCs w:val="24"/>
                <w:lang w:val="en-US" w:eastAsia="zh-CN"/>
              </w:rPr>
              <w:t>金额</w:t>
            </w:r>
          </w:p>
        </w:tc>
        <w:tc>
          <w:tcPr>
            <w:tcW w:w="1316" w:type="dxa"/>
            <w:vAlign w:val="center"/>
          </w:tcPr>
          <w:p>
            <w:pPr>
              <w:widowControl/>
              <w:snapToGrid/>
              <w:spacing w:line="288" w:lineRule="auto"/>
              <w:ind w:firstLine="0" w:firstLineChars="0"/>
              <w:jc w:val="center"/>
              <w:rPr>
                <w:rFonts w:ascii="仿宋" w:hAnsi="仿宋" w:eastAsia="仿宋" w:cs="Times New Roman"/>
                <w:b/>
                <w:sz w:val="24"/>
                <w:szCs w:val="24"/>
              </w:rPr>
            </w:pPr>
            <w:r>
              <w:rPr>
                <w:rFonts w:ascii="仿宋" w:hAnsi="仿宋" w:eastAsia="仿宋" w:cs="Times New Roman"/>
                <w:b/>
                <w:sz w:val="24"/>
                <w:szCs w:val="24"/>
              </w:rPr>
              <w:t>24,762.30</w:t>
            </w:r>
          </w:p>
        </w:tc>
        <w:tc>
          <w:tcPr>
            <w:tcW w:w="1548" w:type="dxa"/>
            <w:vAlign w:val="center"/>
          </w:tcPr>
          <w:p>
            <w:pPr>
              <w:widowControl/>
              <w:snapToGrid/>
              <w:spacing w:line="288" w:lineRule="auto"/>
              <w:ind w:firstLine="0" w:firstLineChars="0"/>
              <w:jc w:val="center"/>
              <w:rPr>
                <w:rFonts w:ascii="仿宋" w:hAnsi="仿宋" w:eastAsia="仿宋" w:cs="Times New Roman"/>
                <w:sz w:val="24"/>
                <w:szCs w:val="24"/>
              </w:rPr>
            </w:pPr>
          </w:p>
        </w:tc>
      </w:tr>
    </w:tbl>
    <w:p>
      <w:pPr>
        <w:spacing w:line="360" w:lineRule="auto"/>
        <w:ind w:firstLine="640"/>
        <w:rPr>
          <w:rFonts w:ascii="Times New Roman" w:hAnsi="Times New Roman" w:cs="楷体"/>
        </w:rPr>
      </w:pPr>
      <w:r>
        <w:rPr>
          <w:rFonts w:hint="eastAsia" w:ascii="Times New Roman" w:hAnsi="Times New Roman" w:cs="楷体"/>
        </w:rPr>
        <w:t>（2）资金使用情况</w:t>
      </w:r>
      <w:bookmarkEnd w:id="7"/>
    </w:p>
    <w:p>
      <w:pPr>
        <w:spacing w:line="360" w:lineRule="auto"/>
        <w:ind w:firstLine="640"/>
        <w:rPr>
          <w:rFonts w:ascii="Times New Roman" w:hAnsi="Times New Roman" w:eastAsia="仿宋" w:cs="仿宋"/>
          <w:highlight w:val="yellow"/>
        </w:rPr>
      </w:pPr>
      <w:r>
        <w:rPr>
          <w:rFonts w:hint="eastAsia" w:ascii="Times New Roman" w:hAnsi="Times New Roman" w:cs="仿宋_GB2312"/>
          <w:szCs w:val="32"/>
        </w:rPr>
        <w:t>根据项目单位提供的自评报告、支出票据、财务核查表等相关资料及现场评价情况，评价组对项目资金支出情况进行了初步梳理汇总，</w:t>
      </w:r>
      <w:r>
        <w:rPr>
          <w:rFonts w:hint="eastAsia" w:ascii="Times New Roman" w:hAnsi="Times New Roman" w:cs="仿宋_GB2312"/>
          <w:szCs w:val="32"/>
          <w:lang w:eastAsia="zh-CN"/>
        </w:rPr>
        <w:t>截至</w:t>
      </w:r>
      <w:r>
        <w:rPr>
          <w:rFonts w:hint="eastAsia" w:ascii="Times New Roman" w:hAnsi="Times New Roman" w:cs="Times New Roman"/>
          <w:szCs w:val="32"/>
        </w:rPr>
        <w:t>2021</w:t>
      </w:r>
      <w:r>
        <w:rPr>
          <w:rFonts w:hint="eastAsia" w:ascii="Times New Roman" w:hAnsi="Times New Roman" w:cs="仿宋_GB2312"/>
          <w:szCs w:val="32"/>
        </w:rPr>
        <w:t>年</w:t>
      </w:r>
      <w:r>
        <w:rPr>
          <w:rFonts w:hint="eastAsia" w:ascii="Times New Roman" w:hAnsi="Times New Roman" w:cs="Times New Roman"/>
          <w:szCs w:val="32"/>
        </w:rPr>
        <w:t>12</w:t>
      </w:r>
      <w:r>
        <w:rPr>
          <w:rFonts w:hint="eastAsia" w:ascii="Times New Roman" w:hAnsi="Times New Roman" w:cs="仿宋_GB2312"/>
          <w:szCs w:val="32"/>
        </w:rPr>
        <w:t>月</w:t>
      </w:r>
      <w:r>
        <w:rPr>
          <w:rFonts w:hint="eastAsia" w:ascii="Times New Roman" w:hAnsi="Times New Roman" w:cs="Times New Roman"/>
          <w:szCs w:val="32"/>
        </w:rPr>
        <w:t>31</w:t>
      </w:r>
      <w:r>
        <w:rPr>
          <w:rFonts w:hint="eastAsia" w:ascii="Times New Roman" w:hAnsi="Times New Roman" w:cs="仿宋_GB2312"/>
          <w:szCs w:val="32"/>
        </w:rPr>
        <w:t>日评价基准日，中央、省财政统筹安排资金累计</w:t>
      </w:r>
      <w:r>
        <w:rPr>
          <w:rFonts w:ascii="Times New Roman" w:hAnsi="Times New Roman" w:eastAsia="仿宋" w:cs="仿宋"/>
        </w:rPr>
        <w:t>24,762.3</w:t>
      </w:r>
      <w:r>
        <w:rPr>
          <w:rFonts w:hint="eastAsia" w:ascii="Times New Roman" w:hAnsi="Times New Roman" w:eastAsia="仿宋" w:cs="仿宋"/>
        </w:rPr>
        <w:t>0</w:t>
      </w:r>
      <w:r>
        <w:rPr>
          <w:rFonts w:hint="eastAsia" w:ascii="Times New Roman" w:hAnsi="Times New Roman" w:cs="仿宋_GB2312"/>
          <w:szCs w:val="32"/>
        </w:rPr>
        <w:t>万元，资金累计支出金额约为</w:t>
      </w:r>
      <w:r>
        <w:rPr>
          <w:rFonts w:hint="eastAsia" w:ascii="Times New Roman" w:hAnsi="Times New Roman" w:eastAsia="仿宋" w:cs="仿宋"/>
        </w:rPr>
        <w:t>9,638.75</w:t>
      </w:r>
      <w:r>
        <w:rPr>
          <w:rFonts w:hint="eastAsia" w:ascii="Times New Roman" w:hAnsi="Times New Roman" w:cs="仿宋_GB2312"/>
          <w:szCs w:val="32"/>
        </w:rPr>
        <w:t>万元，资金支出率约为38.93%，资金支付进度缓慢。</w:t>
      </w:r>
    </w:p>
    <w:p>
      <w:pPr>
        <w:spacing w:line="360" w:lineRule="auto"/>
        <w:ind w:firstLine="641"/>
        <w:outlineLvl w:val="1"/>
        <w:rPr>
          <w:rFonts w:ascii="Times New Roman" w:hAnsi="Times New Roman" w:eastAsia="楷体_GB2312"/>
          <w:b/>
        </w:rPr>
      </w:pPr>
      <w:bookmarkStart w:id="8" w:name="_Toc29469"/>
      <w:r>
        <w:rPr>
          <w:rFonts w:hint="eastAsia" w:ascii="Times New Roman" w:hAnsi="Times New Roman" w:eastAsia="楷体_GB2312"/>
          <w:b/>
        </w:rPr>
        <w:t>（二）项目决策情况</w:t>
      </w:r>
      <w:bookmarkEnd w:id="8"/>
    </w:p>
    <w:p>
      <w:pPr>
        <w:spacing w:line="360" w:lineRule="auto"/>
        <w:ind w:firstLine="640"/>
        <w:rPr>
          <w:rFonts w:ascii="Times New Roman" w:hAnsi="Times New Roman" w:cs="Times New Roman"/>
          <w:szCs w:val="32"/>
        </w:rPr>
      </w:pPr>
      <w:r>
        <w:rPr>
          <w:rFonts w:hint="eastAsia" w:ascii="Times New Roman" w:hAnsi="Times New Roman" w:cs="Times New Roman"/>
          <w:szCs w:val="32"/>
        </w:rPr>
        <w:t>2021年政府工作报告，市政府对市重点工作和十件民生实事进行了部署安排，</w:t>
      </w:r>
      <w:r>
        <w:rPr>
          <w:rFonts w:hint="eastAsia" w:ascii="Times New Roman" w:hAnsi="Times New Roman" w:cs="仿宋_GB2312"/>
          <w:szCs w:val="32"/>
        </w:rPr>
        <w:t>推进城镇老旧小区改造工作</w:t>
      </w:r>
      <w:r>
        <w:rPr>
          <w:rFonts w:hint="eastAsia" w:ascii="Times New Roman" w:hAnsi="Times New Roman" w:cs="Times New Roman"/>
          <w:szCs w:val="32"/>
        </w:rPr>
        <w:t>被纳入为市十件民生实事项目之一。随后，梅州市人民政府办公室（以下简称“市政府办公室”）发布了</w:t>
      </w:r>
      <w:r>
        <w:rPr>
          <w:rFonts w:ascii="Times New Roman" w:hAnsi="Times New Roman" w:cs="Times New Roman"/>
          <w:szCs w:val="32"/>
        </w:rPr>
        <w:t>《梅州市人民政府办公室关于开展202</w:t>
      </w:r>
      <w:r>
        <w:rPr>
          <w:rFonts w:hint="eastAsia" w:ascii="Times New Roman" w:hAnsi="Times New Roman" w:cs="Times New Roman"/>
          <w:szCs w:val="32"/>
        </w:rPr>
        <w:t>1</w:t>
      </w:r>
      <w:r>
        <w:rPr>
          <w:rFonts w:ascii="Times New Roman" w:hAnsi="Times New Roman" w:cs="Times New Roman"/>
          <w:szCs w:val="32"/>
        </w:rPr>
        <w:t>年市政府重点工作和市十件民生实事督查工作的通知》(梅市府办明电〔202</w:t>
      </w:r>
      <w:r>
        <w:rPr>
          <w:rFonts w:hint="eastAsia" w:ascii="Times New Roman" w:hAnsi="Times New Roman" w:cs="Times New Roman"/>
          <w:szCs w:val="32"/>
        </w:rPr>
        <w:t>1</w:t>
      </w:r>
      <w:r>
        <w:rPr>
          <w:rFonts w:ascii="Times New Roman" w:hAnsi="Times New Roman" w:cs="Times New Roman"/>
          <w:szCs w:val="32"/>
        </w:rPr>
        <w:t>〕</w:t>
      </w:r>
      <w:r>
        <w:rPr>
          <w:rFonts w:hint="eastAsia" w:ascii="Times New Roman" w:hAnsi="Times New Roman" w:cs="Times New Roman"/>
          <w:szCs w:val="32"/>
        </w:rPr>
        <w:t>3</w:t>
      </w:r>
      <w:r>
        <w:rPr>
          <w:rFonts w:ascii="Times New Roman" w:hAnsi="Times New Roman" w:cs="Times New Roman"/>
          <w:szCs w:val="32"/>
        </w:rPr>
        <w:t>号)，</w:t>
      </w:r>
      <w:r>
        <w:rPr>
          <w:rFonts w:hint="eastAsia" w:ascii="Times New Roman" w:hAnsi="Times New Roman" w:cs="Times New Roman"/>
          <w:szCs w:val="32"/>
        </w:rPr>
        <w:t>按照市政府工作部署安排，市政府办公室对2021年梅州市《政府工作报告》确定的重点工作、市十件民生实事进行了梳理分解，并明确了具体工作任务和牵头单位。本项目的工作任务即为“</w:t>
      </w:r>
      <w:r>
        <w:rPr>
          <w:rFonts w:ascii="Times New Roman" w:hAnsi="Times New Roman" w:cs="Times New Roman"/>
          <w:szCs w:val="32"/>
        </w:rPr>
        <w:t>着力改善老旧小区居住环境，提升老旧小区居民的生活品质。全市新开工改造58个小区，惠及8731户居民。因地制宜确定改造内容，重点改造老旧小区配套基础设施、公共服务设施、建筑公共部位等</w:t>
      </w:r>
      <w:r>
        <w:rPr>
          <w:rFonts w:hint="eastAsia" w:ascii="Times New Roman" w:hAnsi="Times New Roman" w:cs="Times New Roman"/>
          <w:szCs w:val="32"/>
        </w:rPr>
        <w:t>”。</w:t>
      </w:r>
    </w:p>
    <w:p>
      <w:pPr>
        <w:spacing w:line="360" w:lineRule="auto"/>
        <w:ind w:firstLine="641"/>
        <w:outlineLvl w:val="1"/>
        <w:rPr>
          <w:rFonts w:ascii="Times New Roman" w:hAnsi="Times New Roman" w:eastAsia="楷体_GB2312"/>
          <w:b/>
        </w:rPr>
      </w:pPr>
      <w:bookmarkStart w:id="9" w:name="_Toc13694"/>
      <w:r>
        <w:rPr>
          <w:rFonts w:hint="eastAsia" w:ascii="Times New Roman" w:hAnsi="Times New Roman" w:eastAsia="楷体_GB2312"/>
          <w:b/>
        </w:rPr>
        <w:t>（三）项目绩效目标情况</w:t>
      </w:r>
      <w:bookmarkEnd w:id="9"/>
    </w:p>
    <w:p>
      <w:pPr>
        <w:spacing w:line="360" w:lineRule="auto"/>
        <w:ind w:firstLine="640"/>
        <w:rPr>
          <w:rFonts w:ascii="Times New Roman" w:hAnsi="Times New Roman"/>
          <w:bCs/>
        </w:rPr>
      </w:pPr>
      <w:r>
        <w:rPr>
          <w:rFonts w:hint="eastAsia" w:ascii="Times New Roman" w:hAnsi="Times New Roman"/>
          <w:bCs/>
        </w:rPr>
        <w:t>根据相关资金下达文件显示，财政资金总体绩效目标和阶段性绩效目标如下表：</w:t>
      </w:r>
    </w:p>
    <w:tbl>
      <w:tblPr>
        <w:tblStyle w:val="18"/>
        <w:tblW w:w="9630" w:type="dxa"/>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6"/>
        <w:gridCol w:w="3736"/>
        <w:gridCol w:w="3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trPr>
        <w:tc>
          <w:tcPr>
            <w:tcW w:w="2636" w:type="dxa"/>
            <w:vAlign w:val="center"/>
          </w:tcPr>
          <w:p>
            <w:pPr>
              <w:spacing w:line="240" w:lineRule="auto"/>
              <w:ind w:firstLine="0" w:firstLineChars="0"/>
              <w:jc w:val="center"/>
              <w:rPr>
                <w:sz w:val="24"/>
                <w:szCs w:val="20"/>
              </w:rPr>
            </w:pPr>
            <w:r>
              <w:rPr>
                <w:rFonts w:hint="eastAsia"/>
                <w:sz w:val="24"/>
                <w:szCs w:val="20"/>
              </w:rPr>
              <w:t>名称</w:t>
            </w:r>
          </w:p>
        </w:tc>
        <w:tc>
          <w:tcPr>
            <w:tcW w:w="3736" w:type="dxa"/>
            <w:vAlign w:val="center"/>
          </w:tcPr>
          <w:p>
            <w:pPr>
              <w:spacing w:line="240" w:lineRule="auto"/>
              <w:ind w:firstLine="0" w:firstLineChars="0"/>
              <w:jc w:val="center"/>
              <w:rPr>
                <w:sz w:val="24"/>
                <w:szCs w:val="20"/>
              </w:rPr>
            </w:pPr>
            <w:r>
              <w:rPr>
                <w:rFonts w:hint="eastAsia"/>
                <w:sz w:val="24"/>
                <w:szCs w:val="20"/>
              </w:rPr>
              <w:t>总体目标</w:t>
            </w:r>
          </w:p>
        </w:tc>
        <w:tc>
          <w:tcPr>
            <w:tcW w:w="3258" w:type="dxa"/>
            <w:vAlign w:val="center"/>
          </w:tcPr>
          <w:p>
            <w:pPr>
              <w:spacing w:line="240" w:lineRule="auto"/>
              <w:ind w:firstLine="0" w:firstLineChars="0"/>
              <w:jc w:val="center"/>
              <w:rPr>
                <w:sz w:val="24"/>
                <w:szCs w:val="20"/>
              </w:rPr>
            </w:pPr>
            <w:r>
              <w:rPr>
                <w:rFonts w:hint="eastAsia"/>
                <w:sz w:val="24"/>
                <w:szCs w:val="20"/>
              </w:rPr>
              <w:t>实施周期目标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636" w:type="dxa"/>
            <w:vAlign w:val="center"/>
          </w:tcPr>
          <w:p>
            <w:pPr>
              <w:spacing w:line="240" w:lineRule="auto"/>
              <w:ind w:firstLine="0" w:firstLineChars="0"/>
              <w:jc w:val="center"/>
              <w:rPr>
                <w:sz w:val="24"/>
                <w:szCs w:val="20"/>
              </w:rPr>
            </w:pPr>
            <w:r>
              <w:rPr>
                <w:rFonts w:hint="eastAsia"/>
                <w:sz w:val="24"/>
                <w:szCs w:val="20"/>
              </w:rPr>
              <w:t>省级专项资金</w:t>
            </w:r>
          </w:p>
        </w:tc>
        <w:tc>
          <w:tcPr>
            <w:tcW w:w="3736" w:type="dxa"/>
            <w:vAlign w:val="center"/>
          </w:tcPr>
          <w:p>
            <w:pPr>
              <w:spacing w:line="240" w:lineRule="auto"/>
              <w:ind w:firstLine="0" w:firstLineChars="0"/>
              <w:jc w:val="center"/>
              <w:rPr>
                <w:sz w:val="24"/>
                <w:szCs w:val="20"/>
              </w:rPr>
            </w:pPr>
            <w:r>
              <w:rPr>
                <w:rFonts w:hint="eastAsia"/>
                <w:sz w:val="24"/>
                <w:szCs w:val="20"/>
              </w:rPr>
              <w:t>进行老旧小区改造提升，进一步改善群众居住条件，保护修缮相关历史建筑和传统风貌建筑</w:t>
            </w:r>
          </w:p>
        </w:tc>
        <w:tc>
          <w:tcPr>
            <w:tcW w:w="3258" w:type="dxa"/>
            <w:vAlign w:val="center"/>
          </w:tcPr>
          <w:p>
            <w:pPr>
              <w:spacing w:line="240" w:lineRule="auto"/>
              <w:ind w:firstLine="0" w:firstLineChars="0"/>
              <w:jc w:val="center"/>
              <w:rPr>
                <w:sz w:val="24"/>
                <w:szCs w:val="20"/>
              </w:rPr>
            </w:pPr>
            <w:r>
              <w:rPr>
                <w:rFonts w:hint="eastAsia"/>
                <w:sz w:val="24"/>
                <w:szCs w:val="20"/>
              </w:rPr>
              <w:t>未设置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2636" w:type="dxa"/>
            <w:vAlign w:val="center"/>
          </w:tcPr>
          <w:p>
            <w:pPr>
              <w:spacing w:line="240" w:lineRule="auto"/>
              <w:ind w:firstLine="0" w:firstLineChars="0"/>
              <w:jc w:val="center"/>
              <w:rPr>
                <w:sz w:val="24"/>
                <w:szCs w:val="20"/>
              </w:rPr>
            </w:pPr>
            <w:r>
              <w:rPr>
                <w:rFonts w:hint="eastAsia"/>
                <w:sz w:val="24"/>
                <w:szCs w:val="20"/>
              </w:rPr>
              <w:t>中央基建投资预算资金</w:t>
            </w:r>
          </w:p>
        </w:tc>
        <w:tc>
          <w:tcPr>
            <w:tcW w:w="3736" w:type="dxa"/>
            <w:vAlign w:val="center"/>
          </w:tcPr>
          <w:p>
            <w:pPr>
              <w:spacing w:line="240" w:lineRule="auto"/>
              <w:ind w:firstLine="0" w:firstLineChars="0"/>
              <w:jc w:val="center"/>
              <w:rPr>
                <w:sz w:val="24"/>
                <w:szCs w:val="20"/>
              </w:rPr>
            </w:pPr>
            <w:r>
              <w:rPr>
                <w:rFonts w:hint="eastAsia"/>
                <w:sz w:val="24"/>
                <w:szCs w:val="20"/>
              </w:rPr>
              <w:t>将2021年保障性安居工程配套基础设施建设中央预算内投资专项用于项目配套基础设施，加快推进项目建设。</w:t>
            </w:r>
          </w:p>
        </w:tc>
        <w:tc>
          <w:tcPr>
            <w:tcW w:w="3258" w:type="dxa"/>
            <w:vAlign w:val="center"/>
          </w:tcPr>
          <w:p>
            <w:pPr>
              <w:spacing w:line="240" w:lineRule="auto"/>
              <w:ind w:firstLine="0" w:firstLineChars="0"/>
              <w:jc w:val="center"/>
              <w:rPr>
                <w:sz w:val="24"/>
                <w:szCs w:val="20"/>
              </w:rPr>
            </w:pPr>
            <w:r>
              <w:rPr>
                <w:rFonts w:hint="eastAsia"/>
                <w:sz w:val="24"/>
                <w:szCs w:val="20"/>
              </w:rPr>
              <w:t>未设置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2636" w:type="dxa"/>
            <w:vAlign w:val="center"/>
          </w:tcPr>
          <w:p>
            <w:pPr>
              <w:spacing w:line="240" w:lineRule="auto"/>
              <w:ind w:firstLine="0" w:firstLineChars="0"/>
              <w:jc w:val="center"/>
              <w:rPr>
                <w:sz w:val="24"/>
                <w:szCs w:val="20"/>
              </w:rPr>
            </w:pPr>
            <w:r>
              <w:rPr>
                <w:rFonts w:hint="eastAsia"/>
                <w:sz w:val="24"/>
                <w:szCs w:val="20"/>
              </w:rPr>
              <w:t>中央财政补助资金</w:t>
            </w:r>
          </w:p>
        </w:tc>
        <w:tc>
          <w:tcPr>
            <w:tcW w:w="3736" w:type="dxa"/>
            <w:vAlign w:val="center"/>
          </w:tcPr>
          <w:p>
            <w:pPr>
              <w:spacing w:line="240" w:lineRule="auto"/>
              <w:ind w:firstLine="0" w:firstLineChars="0"/>
              <w:jc w:val="center"/>
              <w:rPr>
                <w:sz w:val="24"/>
                <w:szCs w:val="20"/>
              </w:rPr>
            </w:pPr>
            <w:r>
              <w:rPr>
                <w:rFonts w:hint="eastAsia"/>
                <w:sz w:val="24"/>
                <w:szCs w:val="20"/>
              </w:rPr>
              <w:t>开工改造城镇老旧小区不少于</w:t>
            </w:r>
            <w:r>
              <w:rPr>
                <w:rFonts w:hint="eastAsia"/>
                <w:sz w:val="24"/>
                <w:szCs w:val="20"/>
                <w:lang w:val="en-US" w:eastAsia="zh-CN"/>
              </w:rPr>
              <w:t>5</w:t>
            </w:r>
            <w:r>
              <w:rPr>
                <w:rFonts w:hint="eastAsia"/>
                <w:sz w:val="24"/>
                <w:szCs w:val="20"/>
              </w:rPr>
              <w:t>8个，涉及</w:t>
            </w:r>
            <w:r>
              <w:rPr>
                <w:rFonts w:hint="eastAsia"/>
                <w:sz w:val="24"/>
                <w:szCs w:val="20"/>
                <w:lang w:val="en-US" w:eastAsia="zh-CN"/>
              </w:rPr>
              <w:t>8731</w:t>
            </w:r>
            <w:r>
              <w:rPr>
                <w:rFonts w:hint="eastAsia"/>
                <w:sz w:val="24"/>
                <w:szCs w:val="20"/>
              </w:rPr>
              <w:t>户</w:t>
            </w:r>
          </w:p>
        </w:tc>
        <w:tc>
          <w:tcPr>
            <w:tcW w:w="3258" w:type="dxa"/>
            <w:vAlign w:val="center"/>
          </w:tcPr>
          <w:p>
            <w:pPr>
              <w:spacing w:line="240" w:lineRule="auto"/>
              <w:ind w:firstLine="0" w:firstLineChars="0"/>
              <w:jc w:val="center"/>
              <w:rPr>
                <w:sz w:val="24"/>
                <w:szCs w:val="20"/>
              </w:rPr>
            </w:pPr>
            <w:r>
              <w:rPr>
                <w:rFonts w:hint="eastAsia"/>
                <w:sz w:val="24"/>
                <w:szCs w:val="20"/>
              </w:rPr>
              <w:t>完成年度城镇老旧小区改造年度目标任务，进一步改善群众居住条件，发挥城镇保障性安居工程财政资金使用效益</w:t>
            </w:r>
          </w:p>
        </w:tc>
      </w:tr>
    </w:tbl>
    <w:p>
      <w:pPr>
        <w:spacing w:line="360" w:lineRule="auto"/>
        <w:ind w:firstLine="0" w:firstLineChars="0"/>
        <w:rPr>
          <w:rFonts w:ascii="Times New Roman" w:hAnsi="Times New Roman"/>
          <w:bCs/>
        </w:rPr>
      </w:pPr>
    </w:p>
    <w:p>
      <w:pPr>
        <w:spacing w:line="360" w:lineRule="auto"/>
        <w:ind w:firstLine="640"/>
        <w:outlineLvl w:val="0"/>
        <w:rPr>
          <w:rFonts w:ascii="Times New Roman" w:hAnsi="Times New Roman" w:eastAsia="黑体"/>
        </w:rPr>
      </w:pPr>
      <w:bookmarkStart w:id="10" w:name="_Toc24673"/>
      <w:r>
        <w:rPr>
          <w:rFonts w:hint="eastAsia" w:ascii="Times New Roman" w:hAnsi="Times New Roman" w:eastAsia="黑体"/>
        </w:rPr>
        <w:t>二、评价结论</w:t>
      </w:r>
      <w:bookmarkEnd w:id="10"/>
    </w:p>
    <w:p>
      <w:pPr>
        <w:spacing w:line="360" w:lineRule="auto"/>
        <w:ind w:firstLine="640"/>
        <w:rPr>
          <w:rFonts w:ascii="Times New Roman" w:hAnsi="Times New Roman" w:cs="仿宋_GB2312"/>
          <w:szCs w:val="32"/>
        </w:rPr>
      </w:pPr>
      <w:bookmarkStart w:id="11" w:name="_Toc20571"/>
      <w:bookmarkStart w:id="12" w:name="_Toc26188"/>
      <w:bookmarkStart w:id="13" w:name="_Toc15947"/>
      <w:bookmarkStart w:id="14" w:name="_Toc13176"/>
      <w:bookmarkStart w:id="15" w:name="_Toc6384"/>
      <w:bookmarkStart w:id="16" w:name="_Toc22160"/>
      <w:r>
        <w:rPr>
          <w:rFonts w:hint="eastAsia" w:ascii="Times New Roman" w:hAnsi="Times New Roman" w:cs="仿宋_GB2312"/>
          <w:szCs w:val="32"/>
        </w:rPr>
        <w:t>评价组结合材料审核、现场评价及问卷调查等情况，从项目决策、管理、产出、效益等4个维度进行了综合评价分析。2021年期间，本项目共安排中央、省级资金</w:t>
      </w:r>
      <w:r>
        <w:rPr>
          <w:rFonts w:ascii="Times New Roman" w:hAnsi="Times New Roman" w:cs="仿宋_GB2312"/>
          <w:szCs w:val="32"/>
        </w:rPr>
        <w:t>24,762.3</w:t>
      </w:r>
      <w:r>
        <w:rPr>
          <w:rFonts w:hint="eastAsia" w:ascii="Times New Roman" w:hAnsi="Times New Roman" w:cs="仿宋_GB2312"/>
          <w:szCs w:val="32"/>
        </w:rPr>
        <w:t>0万元，用于推进城镇老旧小区改造工作。项目通过</w:t>
      </w:r>
      <w:r>
        <w:rPr>
          <w:rFonts w:ascii="Times New Roman" w:hAnsi="Times New Roman" w:cs="仿宋_GB2312"/>
          <w:szCs w:val="32"/>
        </w:rPr>
        <w:t>改造前召开摸底调查会，组织镇（街）、社区负责人、住户代表等通过问卷调查、入户询问等方式征集居民意见，确定改造内容；</w:t>
      </w:r>
    </w:p>
    <w:p>
      <w:pPr>
        <w:spacing w:line="360" w:lineRule="auto"/>
        <w:ind w:firstLine="0" w:firstLineChars="0"/>
        <w:rPr>
          <w:rFonts w:ascii="Times New Roman" w:hAnsi="Times New Roman" w:cs="仿宋_GB2312"/>
          <w:szCs w:val="32"/>
        </w:rPr>
      </w:pPr>
      <w:r>
        <w:rPr>
          <w:rFonts w:ascii="Times New Roman" w:hAnsi="Times New Roman" w:cs="仿宋_GB2312"/>
          <w:szCs w:val="32"/>
        </w:rPr>
        <w:t>建立改造工作群，加强和住户的沟通联系，有重点地推进解决雨污水堵塞、基础设施差等问</w:t>
      </w:r>
      <w:r>
        <w:rPr>
          <w:rFonts w:hint="eastAsia" w:ascii="Times New Roman" w:hAnsi="Times New Roman" w:cs="仿宋_GB2312"/>
          <w:szCs w:val="32"/>
        </w:rPr>
        <w:t>题；</w:t>
      </w:r>
      <w:r>
        <w:rPr>
          <w:rFonts w:ascii="Times New Roman" w:hAnsi="Times New Roman" w:cs="仿宋_GB2312"/>
          <w:szCs w:val="32"/>
        </w:rPr>
        <w:t>制定《梅州市城镇老旧小区改造试点工作方案</w:t>
      </w:r>
      <w:r>
        <w:rPr>
          <w:rFonts w:hint="eastAsia" w:ascii="Times New Roman" w:hAnsi="Times New Roman" w:cs="仿宋_GB2312"/>
          <w:szCs w:val="32"/>
        </w:rPr>
        <w:t>》、</w:t>
      </w:r>
      <w:r>
        <w:rPr>
          <w:rFonts w:ascii="Times New Roman" w:hAnsi="Times New Roman" w:cs="仿宋_GB2312"/>
          <w:szCs w:val="32"/>
        </w:rPr>
        <w:t>《梅州市2021-2025年城镇老旧小区改造规划》、《梅州市城镇老旧小区改造建设技术指引》</w:t>
      </w:r>
      <w:r>
        <w:rPr>
          <w:rFonts w:hint="eastAsia" w:ascii="Times New Roman" w:hAnsi="Times New Roman" w:cs="仿宋_GB2312"/>
          <w:szCs w:val="32"/>
        </w:rPr>
        <w:t>等，一定程度上</w:t>
      </w:r>
      <w:r>
        <w:rPr>
          <w:rFonts w:ascii="Times New Roman" w:hAnsi="Times New Roman" w:cs="仿宋_GB2312"/>
          <w:szCs w:val="32"/>
        </w:rPr>
        <w:t>切实改善城镇老旧小区居民的居住环境和生活品质，增强人民群众的获得感、幸福感和安全</w:t>
      </w:r>
      <w:r>
        <w:rPr>
          <w:rFonts w:hint="eastAsia" w:ascii="Times New Roman" w:hAnsi="Times New Roman" w:cs="仿宋_GB2312"/>
          <w:szCs w:val="32"/>
        </w:rPr>
        <w:t>感。但在绩效评价过程中，评价组也发现项目在论证决策过程、资金管理、进度监管、长效作用发挥与维护管理机制建立等方面还存在一些改进空间。</w:t>
      </w:r>
    </w:p>
    <w:p>
      <w:pPr>
        <w:pStyle w:val="15"/>
        <w:widowControl/>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本次评价结果分为四个等级：优〔90分～100分〕，良〔80分～90分</w:t>
      </w:r>
      <w:r>
        <w:rPr>
          <w:rFonts w:hint="eastAsia" w:ascii="Times New Roman" w:hAnsi="Times New Roman" w:cs="仿宋_GB2312"/>
          <w:sz w:val="32"/>
          <w:szCs w:val="32"/>
          <w:lang w:eastAsia="zh-CN"/>
        </w:rPr>
        <w:t>）</w:t>
      </w:r>
      <w:r>
        <w:rPr>
          <w:rFonts w:hint="eastAsia" w:ascii="Times New Roman" w:hAnsi="Times New Roman" w:cs="仿宋_GB2312"/>
          <w:sz w:val="32"/>
          <w:szCs w:val="32"/>
        </w:rPr>
        <w:t>，中〔60分～80分</w:t>
      </w:r>
      <w:r>
        <w:rPr>
          <w:rFonts w:hint="eastAsia" w:ascii="Times New Roman" w:hAnsi="Times New Roman" w:cs="仿宋_GB2312"/>
          <w:sz w:val="32"/>
          <w:szCs w:val="32"/>
          <w:lang w:eastAsia="zh-CN"/>
        </w:rPr>
        <w:t>）</w:t>
      </w:r>
      <w:r>
        <w:rPr>
          <w:rFonts w:hint="eastAsia" w:ascii="Times New Roman" w:hAnsi="Times New Roman" w:cs="仿宋_GB2312"/>
          <w:sz w:val="32"/>
          <w:szCs w:val="32"/>
        </w:rPr>
        <w:t>，差</w:t>
      </w:r>
      <w:r>
        <w:rPr>
          <w:rFonts w:hint="eastAsia" w:ascii="Times New Roman" w:hAnsi="Times New Roman" w:cs="仿宋_GB2312"/>
          <w:sz w:val="32"/>
          <w:szCs w:val="32"/>
          <w:lang w:eastAsia="zh-CN"/>
        </w:rPr>
        <w:t>（</w:t>
      </w:r>
      <w:r>
        <w:rPr>
          <w:rFonts w:hint="eastAsia" w:ascii="Times New Roman" w:hAnsi="Times New Roman" w:cs="仿宋_GB2312"/>
          <w:sz w:val="32"/>
          <w:szCs w:val="32"/>
        </w:rPr>
        <w:t>60分以下</w:t>
      </w:r>
      <w:r>
        <w:rPr>
          <w:rFonts w:hint="eastAsia" w:ascii="Times New Roman" w:hAnsi="Times New Roman" w:cs="仿宋_GB2312"/>
          <w:sz w:val="32"/>
          <w:szCs w:val="32"/>
          <w:lang w:eastAsia="zh-CN"/>
        </w:rPr>
        <w:t>）</w:t>
      </w:r>
      <w:r>
        <w:rPr>
          <w:rFonts w:hint="eastAsia" w:ascii="Times New Roman" w:hAnsi="Times New Roman" w:cs="仿宋_GB2312"/>
          <w:sz w:val="32"/>
          <w:szCs w:val="32"/>
        </w:rPr>
        <w:t>。结合书面评审与现场评价情况，对照既定评价指标体系的各项指标及其评分细则，综合评价“推进城镇老旧小区改造”项目绩效评价得分为</w:t>
      </w:r>
      <w:r>
        <w:rPr>
          <w:rFonts w:hint="eastAsia" w:ascii="Times New Roman" w:hAnsi="Times New Roman" w:cs="仿宋_GB2312"/>
          <w:sz w:val="32"/>
          <w:szCs w:val="32"/>
          <w:lang w:val="en-US" w:eastAsia="zh-CN"/>
        </w:rPr>
        <w:t>88.18</w:t>
      </w:r>
      <w:r>
        <w:rPr>
          <w:rFonts w:hint="eastAsia" w:ascii="Times New Roman" w:hAnsi="Times New Roman" w:cs="仿宋_GB2312"/>
          <w:sz w:val="32"/>
          <w:szCs w:val="32"/>
        </w:rPr>
        <w:t>分，评定等级为“良”。得分情况如下表：</w:t>
      </w:r>
    </w:p>
    <w:p>
      <w:pPr>
        <w:pStyle w:val="7"/>
        <w:adjustRightInd w:val="0"/>
        <w:snapToGrid w:val="0"/>
        <w:spacing w:after="0" w:line="360" w:lineRule="auto"/>
        <w:ind w:firstLine="0" w:firstLineChars="0"/>
        <w:jc w:val="center"/>
        <w:rPr>
          <w:rFonts w:ascii="Times New Roman" w:hAnsi="Times New Roman" w:eastAsia="黑体" w:cs="黑体"/>
          <w:color w:val="000000"/>
          <w:kern w:val="0"/>
          <w:sz w:val="28"/>
          <w:szCs w:val="24"/>
        </w:rPr>
      </w:pPr>
      <w:bookmarkStart w:id="17" w:name="_Toc9256"/>
      <w:bookmarkStart w:id="18" w:name="_Toc17772"/>
      <w:bookmarkStart w:id="19" w:name="_Toc16207"/>
      <w:bookmarkStart w:id="20" w:name="_Toc10279"/>
      <w:bookmarkStart w:id="21" w:name="_Toc19036"/>
      <w:bookmarkStart w:id="22" w:name="_Toc2111"/>
      <w:bookmarkStart w:id="23" w:name="_Toc6540"/>
      <w:bookmarkStart w:id="24" w:name="_Toc18208"/>
      <w:bookmarkStart w:id="25" w:name="_Toc11336"/>
      <w:bookmarkStart w:id="26" w:name="_Toc7183"/>
      <w:r>
        <w:rPr>
          <w:rFonts w:hint="eastAsia" w:ascii="Times New Roman" w:hAnsi="Times New Roman" w:eastAsia="黑体" w:cs="黑体"/>
          <w:color w:val="000000"/>
          <w:kern w:val="0"/>
          <w:sz w:val="28"/>
          <w:szCs w:val="24"/>
        </w:rPr>
        <w:t>项目绩效评价综合得分</w:t>
      </w:r>
      <w:bookmarkEnd w:id="17"/>
      <w:bookmarkEnd w:id="18"/>
      <w:bookmarkEnd w:id="19"/>
      <w:bookmarkEnd w:id="20"/>
      <w:bookmarkEnd w:id="21"/>
      <w:bookmarkEnd w:id="22"/>
      <w:bookmarkEnd w:id="23"/>
      <w:bookmarkEnd w:id="24"/>
      <w:bookmarkEnd w:id="25"/>
      <w:bookmarkEnd w:id="26"/>
    </w:p>
    <w:tbl>
      <w:tblPr>
        <w:tblStyle w:val="17"/>
        <w:tblW w:w="7492"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0" w:type="dxa"/>
          <w:bottom w:w="0" w:type="dxa"/>
          <w:right w:w="0" w:type="dxa"/>
        </w:tblCellMar>
      </w:tblPr>
      <w:tblGrid>
        <w:gridCol w:w="1969"/>
        <w:gridCol w:w="1680"/>
        <w:gridCol w:w="1845"/>
        <w:gridCol w:w="199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10" w:hRule="atLeast"/>
          <w:tblHeader/>
          <w:jc w:val="center"/>
        </w:trPr>
        <w:tc>
          <w:tcPr>
            <w:tcW w:w="1969"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黑体"/>
                <w:b/>
                <w:color w:val="000000"/>
                <w:sz w:val="22"/>
              </w:rPr>
            </w:pPr>
            <w:r>
              <w:rPr>
                <w:rFonts w:hint="eastAsia" w:ascii="Times New Roman" w:hAnsi="Times New Roman" w:cs="黑体"/>
                <w:b/>
                <w:color w:val="000000"/>
                <w:kern w:val="0"/>
                <w:sz w:val="22"/>
              </w:rPr>
              <w:t>评价维度</w:t>
            </w:r>
          </w:p>
        </w:tc>
        <w:tc>
          <w:tcPr>
            <w:tcW w:w="1680"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黑体"/>
                <w:b/>
                <w:color w:val="000000"/>
                <w:sz w:val="22"/>
              </w:rPr>
            </w:pPr>
            <w:r>
              <w:rPr>
                <w:rFonts w:hint="eastAsia" w:ascii="Times New Roman" w:hAnsi="Times New Roman" w:cs="黑体"/>
                <w:b/>
                <w:color w:val="000000"/>
                <w:kern w:val="0"/>
                <w:sz w:val="22"/>
              </w:rPr>
              <w:t>分值</w:t>
            </w:r>
          </w:p>
        </w:tc>
        <w:tc>
          <w:tcPr>
            <w:tcW w:w="1845"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黑体"/>
                <w:b/>
                <w:color w:val="000000"/>
                <w:sz w:val="22"/>
              </w:rPr>
            </w:pPr>
            <w:r>
              <w:rPr>
                <w:rFonts w:hint="eastAsia" w:ascii="Times New Roman" w:hAnsi="Times New Roman" w:cs="黑体"/>
                <w:b/>
                <w:color w:val="000000"/>
                <w:kern w:val="0"/>
                <w:sz w:val="22"/>
              </w:rPr>
              <w:t>评价得分</w:t>
            </w:r>
          </w:p>
        </w:tc>
        <w:tc>
          <w:tcPr>
            <w:tcW w:w="1998"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黑体"/>
                <w:b/>
                <w:color w:val="000000"/>
                <w:sz w:val="22"/>
              </w:rPr>
            </w:pPr>
            <w:r>
              <w:rPr>
                <w:rFonts w:hint="eastAsia" w:ascii="Times New Roman" w:hAnsi="Times New Roman" w:cs="黑体"/>
                <w:b/>
                <w:color w:val="000000"/>
                <w:kern w:val="0"/>
                <w:sz w:val="22"/>
              </w:rPr>
              <w:t>得分率</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10" w:hRule="atLeast"/>
          <w:jc w:val="center"/>
        </w:trPr>
        <w:tc>
          <w:tcPr>
            <w:tcW w:w="1969"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b/>
                <w:color w:val="000000"/>
                <w:sz w:val="22"/>
              </w:rPr>
            </w:pPr>
            <w:r>
              <w:rPr>
                <w:rFonts w:hint="eastAsia" w:ascii="Times New Roman" w:hAnsi="Times New Roman" w:cs="仿宋"/>
                <w:b/>
                <w:color w:val="000000"/>
                <w:kern w:val="0"/>
                <w:sz w:val="22"/>
              </w:rPr>
              <w:t>决策</w:t>
            </w:r>
          </w:p>
        </w:tc>
        <w:tc>
          <w:tcPr>
            <w:tcW w:w="1680"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color w:val="000000"/>
                <w:sz w:val="22"/>
              </w:rPr>
            </w:pPr>
            <w:r>
              <w:rPr>
                <w:rFonts w:hint="eastAsia" w:ascii="Times New Roman" w:hAnsi="Times New Roman" w:cs="仿宋"/>
                <w:color w:val="000000"/>
                <w:sz w:val="22"/>
              </w:rPr>
              <w:t>15</w:t>
            </w:r>
          </w:p>
        </w:tc>
        <w:tc>
          <w:tcPr>
            <w:tcW w:w="1845"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hint="eastAsia" w:ascii="Times New Roman" w:hAnsi="Times New Roman" w:eastAsia="仿宋_GB2312" w:cs="仿宋"/>
                <w:color w:val="000000"/>
                <w:sz w:val="22"/>
                <w:lang w:eastAsia="zh-CN"/>
              </w:rPr>
            </w:pPr>
            <w:r>
              <w:rPr>
                <w:rFonts w:hint="eastAsia" w:ascii="Times New Roman" w:hAnsi="Times New Roman" w:cs="仿宋"/>
                <w:color w:val="000000"/>
                <w:sz w:val="22"/>
              </w:rPr>
              <w:t>1</w:t>
            </w:r>
            <w:r>
              <w:rPr>
                <w:rFonts w:hint="eastAsia" w:ascii="Times New Roman" w:hAnsi="Times New Roman" w:cs="仿宋"/>
                <w:color w:val="000000"/>
                <w:sz w:val="22"/>
                <w:lang w:val="en-US" w:eastAsia="zh-CN"/>
              </w:rPr>
              <w:t>3</w:t>
            </w:r>
          </w:p>
        </w:tc>
        <w:tc>
          <w:tcPr>
            <w:tcW w:w="1998"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color w:val="000000"/>
                <w:sz w:val="22"/>
              </w:rPr>
            </w:pPr>
            <w:r>
              <w:rPr>
                <w:rFonts w:hint="eastAsia" w:ascii="Times New Roman" w:hAnsi="Times New Roman" w:cs="仿宋"/>
                <w:color w:val="000000"/>
                <w:kern w:val="0"/>
                <w:sz w:val="22"/>
                <w:lang w:val="en-US" w:eastAsia="zh-CN"/>
              </w:rPr>
              <w:t>86.67</w:t>
            </w:r>
            <w:r>
              <w:rPr>
                <w:rFonts w:hint="eastAsia" w:ascii="Times New Roman" w:hAnsi="Times New Roman" w:cs="仿宋"/>
                <w:color w:val="000000"/>
                <w:kern w:val="0"/>
                <w:sz w:val="22"/>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10" w:hRule="atLeast"/>
          <w:jc w:val="center"/>
        </w:trPr>
        <w:tc>
          <w:tcPr>
            <w:tcW w:w="1969"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b/>
                <w:color w:val="000000"/>
                <w:sz w:val="22"/>
              </w:rPr>
            </w:pPr>
            <w:r>
              <w:rPr>
                <w:rFonts w:hint="eastAsia" w:ascii="Times New Roman" w:hAnsi="Times New Roman" w:cs="仿宋"/>
                <w:b/>
                <w:color w:val="000000"/>
                <w:sz w:val="22"/>
              </w:rPr>
              <w:t>管理</w:t>
            </w:r>
          </w:p>
        </w:tc>
        <w:tc>
          <w:tcPr>
            <w:tcW w:w="1680"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color w:val="000000"/>
                <w:sz w:val="22"/>
              </w:rPr>
            </w:pPr>
            <w:r>
              <w:rPr>
                <w:rFonts w:hint="eastAsia" w:ascii="Times New Roman" w:hAnsi="Times New Roman" w:cs="仿宋"/>
                <w:color w:val="000000"/>
                <w:sz w:val="22"/>
              </w:rPr>
              <w:t>25</w:t>
            </w:r>
          </w:p>
        </w:tc>
        <w:tc>
          <w:tcPr>
            <w:tcW w:w="1845"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hint="default" w:ascii="Times New Roman" w:hAnsi="Times New Roman" w:eastAsia="仿宋_GB2312" w:cs="仿宋"/>
                <w:color w:val="000000"/>
                <w:sz w:val="22"/>
                <w:lang w:val="en-US" w:eastAsia="zh-CN"/>
              </w:rPr>
            </w:pPr>
            <w:r>
              <w:rPr>
                <w:rFonts w:hint="eastAsia" w:ascii="Times New Roman" w:hAnsi="Times New Roman" w:cs="仿宋"/>
                <w:color w:val="000000"/>
                <w:sz w:val="22"/>
              </w:rPr>
              <w:t>1</w:t>
            </w:r>
            <w:r>
              <w:rPr>
                <w:rFonts w:hint="eastAsia" w:ascii="Times New Roman" w:hAnsi="Times New Roman" w:cs="仿宋"/>
                <w:color w:val="000000"/>
                <w:sz w:val="22"/>
                <w:lang w:val="en-US" w:eastAsia="zh-CN"/>
              </w:rPr>
              <w:t>9.67</w:t>
            </w:r>
          </w:p>
        </w:tc>
        <w:tc>
          <w:tcPr>
            <w:tcW w:w="1998"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color w:val="000000"/>
                <w:sz w:val="22"/>
              </w:rPr>
            </w:pPr>
            <w:r>
              <w:rPr>
                <w:rFonts w:hint="eastAsia" w:ascii="Times New Roman" w:hAnsi="Times New Roman" w:cs="仿宋"/>
                <w:color w:val="000000"/>
                <w:kern w:val="0"/>
                <w:sz w:val="22"/>
                <w:lang w:val="en-US" w:eastAsia="zh-CN"/>
              </w:rPr>
              <w:t>78</w:t>
            </w:r>
            <w:r>
              <w:rPr>
                <w:rFonts w:hint="eastAsia" w:ascii="Times New Roman" w:hAnsi="Times New Roman" w:cs="仿宋"/>
                <w:color w:val="000000"/>
                <w:kern w:val="0"/>
                <w:sz w:val="22"/>
              </w:rPr>
              <w:t>.68%</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10" w:hRule="atLeast"/>
          <w:jc w:val="center"/>
        </w:trPr>
        <w:tc>
          <w:tcPr>
            <w:tcW w:w="1969"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b/>
                <w:color w:val="000000"/>
                <w:sz w:val="22"/>
              </w:rPr>
            </w:pPr>
            <w:r>
              <w:rPr>
                <w:rFonts w:hint="eastAsia" w:ascii="Times New Roman" w:hAnsi="Times New Roman" w:cs="仿宋"/>
                <w:b/>
                <w:color w:val="000000"/>
                <w:sz w:val="22"/>
              </w:rPr>
              <w:t>产出</w:t>
            </w:r>
          </w:p>
        </w:tc>
        <w:tc>
          <w:tcPr>
            <w:tcW w:w="1680"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color w:val="000000"/>
                <w:sz w:val="22"/>
              </w:rPr>
            </w:pPr>
            <w:r>
              <w:rPr>
                <w:rFonts w:hint="eastAsia" w:ascii="Times New Roman" w:hAnsi="Times New Roman" w:cs="仿宋"/>
                <w:color w:val="000000"/>
                <w:sz w:val="22"/>
              </w:rPr>
              <w:t>30</w:t>
            </w:r>
          </w:p>
        </w:tc>
        <w:tc>
          <w:tcPr>
            <w:tcW w:w="1845"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color w:val="000000"/>
                <w:sz w:val="22"/>
              </w:rPr>
            </w:pPr>
            <w:r>
              <w:rPr>
                <w:rFonts w:hint="eastAsia" w:ascii="Times New Roman" w:hAnsi="Times New Roman" w:cs="仿宋"/>
                <w:color w:val="000000"/>
                <w:sz w:val="22"/>
              </w:rPr>
              <w:t>2</w:t>
            </w:r>
            <w:r>
              <w:rPr>
                <w:rFonts w:hint="eastAsia" w:ascii="Times New Roman" w:hAnsi="Times New Roman" w:cs="仿宋"/>
                <w:color w:val="000000"/>
                <w:sz w:val="22"/>
                <w:lang w:val="en-US" w:eastAsia="zh-CN"/>
              </w:rPr>
              <w:t>7</w:t>
            </w:r>
            <w:r>
              <w:rPr>
                <w:rFonts w:hint="eastAsia" w:ascii="Times New Roman" w:hAnsi="Times New Roman" w:cs="仿宋"/>
                <w:color w:val="000000"/>
                <w:sz w:val="22"/>
              </w:rPr>
              <w:t>.56</w:t>
            </w:r>
          </w:p>
        </w:tc>
        <w:tc>
          <w:tcPr>
            <w:tcW w:w="1998"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color w:val="000000"/>
                <w:sz w:val="22"/>
              </w:rPr>
            </w:pPr>
            <w:r>
              <w:rPr>
                <w:rFonts w:hint="eastAsia" w:ascii="Times New Roman" w:hAnsi="Times New Roman" w:cs="仿宋"/>
                <w:color w:val="000000"/>
                <w:kern w:val="0"/>
                <w:sz w:val="22"/>
                <w:lang w:val="en-US" w:eastAsia="zh-CN"/>
              </w:rPr>
              <w:t>91.87</w:t>
            </w:r>
            <w:r>
              <w:rPr>
                <w:rFonts w:hint="eastAsia" w:ascii="Times New Roman" w:hAnsi="Times New Roman" w:cs="仿宋"/>
                <w:color w:val="000000"/>
                <w:kern w:val="0"/>
                <w:sz w:val="22"/>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10" w:hRule="atLeast"/>
          <w:jc w:val="center"/>
        </w:trPr>
        <w:tc>
          <w:tcPr>
            <w:tcW w:w="1969"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b/>
                <w:color w:val="000000"/>
                <w:sz w:val="22"/>
              </w:rPr>
            </w:pPr>
            <w:r>
              <w:rPr>
                <w:rFonts w:hint="eastAsia" w:ascii="Times New Roman" w:hAnsi="Times New Roman" w:cs="仿宋"/>
                <w:b/>
                <w:color w:val="000000"/>
                <w:sz w:val="22"/>
              </w:rPr>
              <w:t>效益</w:t>
            </w:r>
          </w:p>
        </w:tc>
        <w:tc>
          <w:tcPr>
            <w:tcW w:w="1680"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color w:val="000000"/>
                <w:kern w:val="0"/>
                <w:sz w:val="22"/>
              </w:rPr>
            </w:pPr>
            <w:r>
              <w:rPr>
                <w:rFonts w:hint="eastAsia" w:ascii="Times New Roman" w:hAnsi="Times New Roman" w:cs="仿宋"/>
                <w:color w:val="000000"/>
                <w:kern w:val="0"/>
                <w:sz w:val="22"/>
              </w:rPr>
              <w:t>30</w:t>
            </w:r>
          </w:p>
        </w:tc>
        <w:tc>
          <w:tcPr>
            <w:tcW w:w="1845"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color w:val="000000"/>
                <w:kern w:val="0"/>
                <w:sz w:val="22"/>
              </w:rPr>
            </w:pPr>
            <w:r>
              <w:rPr>
                <w:rFonts w:hint="eastAsia" w:ascii="Times New Roman" w:hAnsi="Times New Roman" w:cs="仿宋"/>
                <w:color w:val="000000"/>
                <w:kern w:val="0"/>
                <w:sz w:val="22"/>
              </w:rPr>
              <w:t>2</w:t>
            </w:r>
            <w:r>
              <w:rPr>
                <w:rFonts w:hint="eastAsia" w:ascii="Times New Roman" w:hAnsi="Times New Roman" w:cs="仿宋"/>
                <w:color w:val="000000"/>
                <w:kern w:val="0"/>
                <w:sz w:val="22"/>
                <w:lang w:val="en-US" w:eastAsia="zh-CN"/>
              </w:rPr>
              <w:t>7</w:t>
            </w:r>
            <w:r>
              <w:rPr>
                <w:rFonts w:hint="eastAsia" w:ascii="Times New Roman" w:hAnsi="Times New Roman" w:cs="仿宋"/>
                <w:color w:val="000000"/>
                <w:kern w:val="0"/>
                <w:sz w:val="22"/>
              </w:rPr>
              <w:t>.95</w:t>
            </w:r>
          </w:p>
        </w:tc>
        <w:tc>
          <w:tcPr>
            <w:tcW w:w="1998"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color w:val="000000"/>
                <w:kern w:val="0"/>
                <w:sz w:val="22"/>
              </w:rPr>
            </w:pPr>
            <w:r>
              <w:rPr>
                <w:rFonts w:hint="eastAsia" w:ascii="Times New Roman" w:hAnsi="Times New Roman" w:cs="仿宋"/>
                <w:color w:val="000000"/>
                <w:kern w:val="0"/>
                <w:sz w:val="22"/>
                <w:lang w:val="en-US" w:eastAsia="zh-CN"/>
              </w:rPr>
              <w:t>93.17</w:t>
            </w:r>
            <w:r>
              <w:rPr>
                <w:rFonts w:hint="eastAsia" w:ascii="Times New Roman" w:hAnsi="Times New Roman" w:cs="仿宋"/>
                <w:color w:val="000000"/>
                <w:kern w:val="0"/>
                <w:sz w:val="22"/>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10" w:hRule="atLeast"/>
          <w:jc w:val="center"/>
        </w:trPr>
        <w:tc>
          <w:tcPr>
            <w:tcW w:w="1969"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b/>
                <w:bCs/>
                <w:color w:val="000000"/>
                <w:sz w:val="22"/>
              </w:rPr>
            </w:pPr>
            <w:r>
              <w:rPr>
                <w:rFonts w:hint="eastAsia" w:ascii="Times New Roman" w:hAnsi="Times New Roman" w:cs="仿宋"/>
                <w:b/>
                <w:bCs/>
                <w:color w:val="000000"/>
                <w:kern w:val="0"/>
                <w:sz w:val="22"/>
              </w:rPr>
              <w:t>综合评价</w:t>
            </w:r>
          </w:p>
        </w:tc>
        <w:tc>
          <w:tcPr>
            <w:tcW w:w="1680"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b/>
                <w:bCs/>
                <w:color w:val="000000"/>
                <w:sz w:val="22"/>
              </w:rPr>
            </w:pPr>
            <w:r>
              <w:rPr>
                <w:rFonts w:hint="eastAsia" w:ascii="Times New Roman" w:hAnsi="Times New Roman" w:cs="仿宋"/>
                <w:b/>
                <w:bCs/>
                <w:color w:val="000000"/>
                <w:kern w:val="0"/>
                <w:sz w:val="22"/>
              </w:rPr>
              <w:t>100</w:t>
            </w:r>
          </w:p>
        </w:tc>
        <w:tc>
          <w:tcPr>
            <w:tcW w:w="1845"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hint="default" w:ascii="Times New Roman" w:hAnsi="Times New Roman" w:eastAsia="仿宋_GB2312" w:cs="仿宋"/>
                <w:b/>
                <w:bCs/>
                <w:color w:val="000000"/>
                <w:sz w:val="22"/>
                <w:lang w:val="en-US" w:eastAsia="zh-CN"/>
              </w:rPr>
            </w:pPr>
            <w:r>
              <w:rPr>
                <w:rFonts w:hint="eastAsia" w:ascii="Times New Roman" w:hAnsi="Times New Roman" w:cs="仿宋"/>
                <w:b/>
                <w:bCs/>
                <w:color w:val="000000"/>
                <w:sz w:val="22"/>
                <w:lang w:val="en-US" w:eastAsia="zh-CN"/>
              </w:rPr>
              <w:t>88.18</w:t>
            </w:r>
          </w:p>
        </w:tc>
        <w:tc>
          <w:tcPr>
            <w:tcW w:w="1998" w:type="dxa"/>
            <w:shd w:val="clear" w:color="auto" w:fill="auto"/>
            <w:tcMar>
              <w:top w:w="12" w:type="dxa"/>
              <w:left w:w="12" w:type="dxa"/>
              <w:right w:w="12" w:type="dxa"/>
            </w:tcMar>
            <w:vAlign w:val="center"/>
          </w:tcPr>
          <w:p>
            <w:pPr>
              <w:widowControl/>
              <w:spacing w:line="360" w:lineRule="auto"/>
              <w:ind w:firstLine="0" w:firstLineChars="0"/>
              <w:jc w:val="center"/>
              <w:textAlignment w:val="center"/>
              <w:rPr>
                <w:rFonts w:ascii="Times New Roman" w:hAnsi="Times New Roman" w:cs="仿宋"/>
                <w:b/>
                <w:bCs/>
                <w:color w:val="000000"/>
                <w:sz w:val="22"/>
              </w:rPr>
            </w:pPr>
            <w:r>
              <w:rPr>
                <w:rFonts w:hint="eastAsia" w:ascii="Times New Roman" w:hAnsi="Times New Roman" w:cs="仿宋"/>
                <w:b/>
                <w:bCs/>
                <w:color w:val="000000"/>
                <w:kern w:val="0"/>
                <w:sz w:val="22"/>
                <w:lang w:val="en-US" w:eastAsia="zh-CN"/>
              </w:rPr>
              <w:t>88.18</w:t>
            </w:r>
            <w:r>
              <w:rPr>
                <w:rFonts w:hint="eastAsia" w:ascii="Times New Roman" w:hAnsi="Times New Roman" w:cs="仿宋"/>
                <w:b/>
                <w:bCs/>
                <w:color w:val="000000"/>
                <w:kern w:val="0"/>
                <w:sz w:val="22"/>
              </w:rPr>
              <w:t>%</w:t>
            </w:r>
          </w:p>
        </w:tc>
      </w:tr>
      <w:bookmarkEnd w:id="11"/>
      <w:bookmarkEnd w:id="12"/>
      <w:bookmarkEnd w:id="13"/>
      <w:bookmarkEnd w:id="14"/>
      <w:bookmarkEnd w:id="15"/>
      <w:bookmarkEnd w:id="16"/>
    </w:tbl>
    <w:p>
      <w:pPr>
        <w:spacing w:line="360" w:lineRule="auto"/>
        <w:ind w:firstLine="640"/>
        <w:outlineLvl w:val="0"/>
        <w:rPr>
          <w:rFonts w:ascii="Times New Roman" w:hAnsi="Times New Roman" w:eastAsia="黑体"/>
        </w:rPr>
      </w:pPr>
      <w:bookmarkStart w:id="27" w:name="_Toc31378"/>
      <w:r>
        <w:rPr>
          <w:rFonts w:hint="eastAsia" w:ascii="Times New Roman" w:hAnsi="Times New Roman" w:eastAsia="黑体"/>
        </w:rPr>
        <w:t>三、绩效指标分析</w:t>
      </w:r>
      <w:bookmarkEnd w:id="27"/>
    </w:p>
    <w:p>
      <w:pPr>
        <w:pStyle w:val="15"/>
        <w:spacing w:line="360" w:lineRule="auto"/>
        <w:ind w:firstLine="640"/>
        <w:jc w:val="left"/>
        <w:rPr>
          <w:rFonts w:ascii="Times New Roman" w:hAnsi="Times New Roman" w:eastAsia="楷体" w:cs="楷体"/>
        </w:rPr>
      </w:pPr>
      <w:r>
        <w:rPr>
          <w:rFonts w:hint="eastAsia" w:ascii="Times New Roman" w:hAnsi="Times New Roman" w:cs="仿宋_GB2312"/>
          <w:sz w:val="32"/>
          <w:szCs w:val="32"/>
        </w:rPr>
        <w:t>在本次评价中，一级指标分别为决策（15分）、管理（25分）、产出（30分）和效益（30分）。</w:t>
      </w:r>
    </w:p>
    <w:p>
      <w:pPr>
        <w:spacing w:line="360" w:lineRule="auto"/>
        <w:ind w:firstLine="643"/>
        <w:outlineLvl w:val="1"/>
        <w:rPr>
          <w:rFonts w:ascii="Times New Roman" w:hAnsi="Times New Roman" w:eastAsia="楷体" w:cs="楷体"/>
          <w:b/>
        </w:rPr>
      </w:pPr>
      <w:bookmarkStart w:id="28" w:name="_Toc18595"/>
      <w:r>
        <w:rPr>
          <w:rFonts w:hint="eastAsia" w:ascii="Times New Roman" w:hAnsi="Times New Roman" w:eastAsia="楷体" w:cs="楷体"/>
          <w:b/>
        </w:rPr>
        <w:t>（一）决策分析</w:t>
      </w:r>
      <w:bookmarkEnd w:id="28"/>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该指标分值15分，下设项目立项、资金落实两个二级指标。</w:t>
      </w:r>
    </w:p>
    <w:p>
      <w:pPr>
        <w:spacing w:line="360" w:lineRule="auto"/>
        <w:ind w:firstLine="641"/>
        <w:jc w:val="left"/>
        <w:rPr>
          <w:rFonts w:ascii="Times New Roman" w:hAnsi="Times New Roman" w:cs="仿宋_GB2312"/>
          <w:b/>
          <w:bCs/>
          <w:szCs w:val="32"/>
        </w:rPr>
      </w:pPr>
      <w:bookmarkStart w:id="29" w:name="_Toc10309"/>
      <w:bookmarkStart w:id="30" w:name="_Toc86310882"/>
      <w:r>
        <w:rPr>
          <w:rFonts w:hint="eastAsia" w:ascii="Times New Roman" w:hAnsi="Times New Roman" w:cs="仿宋_GB2312"/>
          <w:b/>
          <w:bCs/>
          <w:szCs w:val="32"/>
        </w:rPr>
        <w:t>1.项目立项。（分值12分，得分</w:t>
      </w:r>
      <w:r>
        <w:rPr>
          <w:rFonts w:hint="eastAsia" w:ascii="Times New Roman" w:hAnsi="Times New Roman" w:cs="仿宋_GB2312"/>
          <w:b/>
          <w:bCs/>
          <w:szCs w:val="32"/>
          <w:lang w:val="en-US" w:eastAsia="zh-CN"/>
        </w:rPr>
        <w:t>10</w:t>
      </w:r>
      <w:r>
        <w:rPr>
          <w:rFonts w:hint="eastAsia" w:ascii="Times New Roman" w:hAnsi="Times New Roman" w:cs="仿宋_GB2312"/>
          <w:b/>
          <w:bCs/>
          <w:szCs w:val="32"/>
        </w:rPr>
        <w:t>分）</w:t>
      </w:r>
      <w:bookmarkEnd w:id="29"/>
      <w:bookmarkEnd w:id="30"/>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项目立项主要考评论证决策、目标设置、保障措施。</w:t>
      </w:r>
    </w:p>
    <w:p>
      <w:pPr>
        <w:pStyle w:val="15"/>
        <w:spacing w:line="360" w:lineRule="auto"/>
        <w:ind w:firstLine="641"/>
        <w:jc w:val="left"/>
        <w:rPr>
          <w:rFonts w:ascii="Times New Roman" w:hAnsi="Times New Roman" w:cs="仿宋_GB2312"/>
          <w:sz w:val="32"/>
          <w:szCs w:val="32"/>
        </w:rPr>
      </w:pPr>
      <w:bookmarkStart w:id="31" w:name="_Toc486320100"/>
      <w:bookmarkStart w:id="32" w:name="_Toc486334654"/>
      <w:r>
        <w:rPr>
          <w:rFonts w:hint="eastAsia" w:ascii="Times New Roman" w:hAnsi="Times New Roman" w:cs="仿宋_GB2312"/>
          <w:b/>
          <w:bCs/>
          <w:sz w:val="32"/>
          <w:szCs w:val="32"/>
        </w:rPr>
        <w:t>（1）论证</w:t>
      </w:r>
      <w:bookmarkEnd w:id="31"/>
      <w:bookmarkEnd w:id="32"/>
      <w:r>
        <w:rPr>
          <w:rFonts w:hint="eastAsia" w:ascii="Times New Roman" w:hAnsi="Times New Roman" w:cs="仿宋_GB2312"/>
          <w:b/>
          <w:bCs/>
          <w:sz w:val="32"/>
          <w:szCs w:val="32"/>
        </w:rPr>
        <w:t>决策。</w:t>
      </w:r>
      <w:r>
        <w:rPr>
          <w:rFonts w:hint="eastAsia" w:ascii="Times New Roman" w:hAnsi="Times New Roman" w:cs="仿宋_GB2312"/>
          <w:sz w:val="32"/>
          <w:szCs w:val="32"/>
        </w:rPr>
        <w:t>（分值4分，得分4分）</w:t>
      </w:r>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项目单位提供了《梅州市人民政府办公室关于开展2021年市政府重点工作和市十件民生实事督查工作的通知》(梅市府办明电〔2021〕3号)</w:t>
      </w:r>
      <w:r>
        <w:rPr>
          <w:rFonts w:ascii="Times New Roman" w:hAnsi="Times New Roman" w:cs="仿宋_GB2312"/>
          <w:sz w:val="32"/>
          <w:szCs w:val="32"/>
        </w:rPr>
        <w:t>，通知确定了本项目</w:t>
      </w:r>
      <w:r>
        <w:rPr>
          <w:rFonts w:hint="eastAsia" w:ascii="Times New Roman" w:hAnsi="Times New Roman" w:cs="仿宋_GB2312"/>
          <w:sz w:val="32"/>
          <w:szCs w:val="32"/>
        </w:rPr>
        <w:t>2021</w:t>
      </w:r>
      <w:r>
        <w:rPr>
          <w:rFonts w:ascii="Times New Roman" w:hAnsi="Times New Roman" w:cs="仿宋_GB2312"/>
          <w:sz w:val="32"/>
          <w:szCs w:val="32"/>
        </w:rPr>
        <w:t>年度工作</w:t>
      </w:r>
      <w:r>
        <w:rPr>
          <w:rFonts w:hint="eastAsia" w:ascii="Times New Roman" w:hAnsi="Times New Roman" w:cs="仿宋_GB2312"/>
          <w:sz w:val="32"/>
          <w:szCs w:val="32"/>
        </w:rPr>
        <w:t>任务</w:t>
      </w:r>
      <w:r>
        <w:rPr>
          <w:rFonts w:ascii="Times New Roman" w:hAnsi="Times New Roman" w:cs="仿宋_GB2312"/>
          <w:sz w:val="32"/>
          <w:szCs w:val="32"/>
        </w:rPr>
        <w:t>为</w:t>
      </w:r>
      <w:r>
        <w:rPr>
          <w:rFonts w:hint="eastAsia" w:ascii="Times New Roman" w:hAnsi="Times New Roman" w:cs="仿宋_GB2312"/>
          <w:sz w:val="32"/>
          <w:szCs w:val="32"/>
        </w:rPr>
        <w:t>“</w:t>
      </w:r>
      <w:r>
        <w:rPr>
          <w:rFonts w:ascii="Times New Roman" w:hAnsi="Times New Roman" w:cs="仿宋_GB2312"/>
          <w:sz w:val="32"/>
          <w:szCs w:val="32"/>
        </w:rPr>
        <w:t>着力改善老旧小区居住环境，提升老旧小区居民的生活品质。全市新开工改造58个小区，惠及8731户居民。因地制宜确定改造内容，重点改造老旧小区配套基础设施、公共服务设施、建筑公共部位等</w:t>
      </w:r>
      <w:r>
        <w:rPr>
          <w:rFonts w:hint="eastAsia" w:ascii="Times New Roman" w:hAnsi="Times New Roman" w:cs="仿宋_GB2312"/>
          <w:sz w:val="32"/>
          <w:szCs w:val="32"/>
        </w:rPr>
        <w:t>”。</w:t>
      </w:r>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项目单位提供了项目建设前进行的满意度调查问卷，就改造项目征求居民意见；并提供了会议纪要，经过集体会议协商项目具体建设内容。</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（2）目标设置。</w:t>
      </w:r>
      <w:r>
        <w:rPr>
          <w:rFonts w:hint="eastAsia" w:ascii="Times New Roman" w:hAnsi="Times New Roman" w:cs="仿宋_GB2312"/>
          <w:sz w:val="32"/>
          <w:szCs w:val="32"/>
        </w:rPr>
        <w:t>（分值6分，得分</w:t>
      </w:r>
      <w:r>
        <w:rPr>
          <w:rFonts w:hint="eastAsia" w:ascii="Times New Roman" w:hAnsi="Times New Roman" w:cs="仿宋_GB2312"/>
          <w:sz w:val="32"/>
          <w:szCs w:val="32"/>
          <w:lang w:val="en-US" w:eastAsia="zh-CN"/>
        </w:rPr>
        <w:t>5</w:t>
      </w:r>
      <w:r>
        <w:rPr>
          <w:rFonts w:hint="eastAsia" w:ascii="Times New Roman" w:hAnsi="Times New Roman" w:cs="仿宋_GB2312"/>
          <w:sz w:val="32"/>
          <w:szCs w:val="32"/>
        </w:rPr>
        <w:t>分）</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sz w:val="32"/>
          <w:szCs w:val="32"/>
        </w:rPr>
        <w:t>完整性。</w:t>
      </w:r>
      <w:r>
        <w:rPr>
          <w:rFonts w:hint="eastAsia" w:ascii="Times New Roman" w:hAnsi="Times New Roman" w:cs="仿宋_GB2312"/>
          <w:sz w:val="32"/>
          <w:szCs w:val="32"/>
        </w:rPr>
        <w:t>（分值2分，得分1分）根据梅州市财政局资金下达文件后附的专项资金绩效目标表显示大部分项目未设置阶段性目标，仅中央财政补助资金设置了阶段性目标。</w:t>
      </w:r>
    </w:p>
    <w:p>
      <w:pPr>
        <w:pStyle w:val="15"/>
        <w:spacing w:line="360" w:lineRule="auto"/>
        <w:ind w:firstLine="641"/>
        <w:rPr>
          <w:rFonts w:ascii="Times New Roman" w:hAnsi="Times New Roman" w:cs="仿宋_GB2312"/>
          <w:sz w:val="32"/>
          <w:szCs w:val="32"/>
        </w:rPr>
      </w:pPr>
      <w:r>
        <w:rPr>
          <w:rFonts w:hint="eastAsia" w:ascii="Times New Roman" w:hAnsi="Times New Roman" w:cs="仿宋_GB2312"/>
          <w:b/>
          <w:bCs/>
          <w:sz w:val="32"/>
          <w:szCs w:val="32"/>
        </w:rPr>
        <w:t>合理性。</w:t>
      </w:r>
      <w:r>
        <w:rPr>
          <w:rFonts w:hint="eastAsia" w:ascii="Times New Roman" w:hAnsi="Times New Roman" w:cs="仿宋_GB2312"/>
          <w:sz w:val="32"/>
          <w:szCs w:val="32"/>
        </w:rPr>
        <w:t>（分值2分，得分</w:t>
      </w:r>
      <w:r>
        <w:rPr>
          <w:rFonts w:hint="eastAsia" w:ascii="Times New Roman" w:hAnsi="Times New Roman" w:cs="仿宋_GB2312"/>
          <w:sz w:val="32"/>
          <w:szCs w:val="32"/>
          <w:lang w:val="en-US" w:eastAsia="zh-CN"/>
        </w:rPr>
        <w:t>2</w:t>
      </w:r>
      <w:r>
        <w:rPr>
          <w:rFonts w:hint="eastAsia" w:ascii="Times New Roman" w:hAnsi="Times New Roman" w:cs="仿宋_GB2312"/>
          <w:sz w:val="32"/>
          <w:szCs w:val="32"/>
        </w:rPr>
        <w:t>分）根据梅州市财政局资金下达文件后附的专项资金绩效目标表</w:t>
      </w:r>
      <w:r>
        <w:rPr>
          <w:rFonts w:hint="eastAsia" w:ascii="Times New Roman" w:hAnsi="Times New Roman" w:cs="仿宋_GB2312"/>
          <w:sz w:val="32"/>
          <w:szCs w:val="32"/>
          <w:lang w:val="en-US" w:eastAsia="zh-CN"/>
        </w:rPr>
        <w:t>显示，绩效目标设置合理</w:t>
      </w:r>
      <w:r>
        <w:rPr>
          <w:rFonts w:hint="eastAsia" w:ascii="Times New Roman" w:hAnsi="Times New Roman" w:cs="仿宋_GB2312"/>
          <w:sz w:val="32"/>
          <w:szCs w:val="32"/>
        </w:rPr>
        <w:t>。</w:t>
      </w:r>
    </w:p>
    <w:p>
      <w:pPr>
        <w:pStyle w:val="15"/>
        <w:spacing w:line="360" w:lineRule="auto"/>
        <w:ind w:firstLine="641"/>
        <w:rPr>
          <w:rFonts w:ascii="Times New Roman" w:hAnsi="Times New Roman" w:cs="仿宋_GB2312"/>
          <w:sz w:val="32"/>
          <w:szCs w:val="32"/>
          <w:highlight w:val="yellow"/>
        </w:rPr>
      </w:pPr>
      <w:r>
        <w:rPr>
          <w:rFonts w:hint="eastAsia" w:ascii="Times New Roman" w:hAnsi="Times New Roman" w:cs="仿宋_GB2312"/>
          <w:b/>
          <w:bCs/>
          <w:sz w:val="32"/>
          <w:szCs w:val="32"/>
        </w:rPr>
        <w:t>可衡量性。</w:t>
      </w:r>
      <w:r>
        <w:rPr>
          <w:rFonts w:hint="eastAsia" w:ascii="Times New Roman" w:hAnsi="Times New Roman" w:cs="仿宋_GB2312"/>
          <w:sz w:val="32"/>
          <w:szCs w:val="32"/>
        </w:rPr>
        <w:t>（分值2分，得分2分）根据梅州市财政局资金下达文件后附的专项资金绩效目标表显示该项目设置的绩效目标可衡量</w:t>
      </w:r>
      <w:r>
        <w:rPr>
          <w:rFonts w:hint="eastAsia" w:ascii="Times New Roman" w:hAnsi="Times New Roman" w:cs="仿宋_GB2312"/>
          <w:bCs/>
          <w:sz w:val="32"/>
          <w:szCs w:val="32"/>
        </w:rPr>
        <w:t>。</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（3）保障措施。</w:t>
      </w:r>
      <w:r>
        <w:rPr>
          <w:rFonts w:hint="eastAsia" w:ascii="Times New Roman" w:hAnsi="Times New Roman" w:cs="仿宋_GB2312"/>
          <w:sz w:val="32"/>
          <w:szCs w:val="32"/>
        </w:rPr>
        <w:t>（分值2分，得分1分）</w:t>
      </w:r>
    </w:p>
    <w:p>
      <w:pPr>
        <w:pStyle w:val="15"/>
        <w:spacing w:line="360" w:lineRule="auto"/>
        <w:ind w:firstLine="641"/>
        <w:rPr>
          <w:rFonts w:ascii="Times New Roman" w:hAnsi="Times New Roman" w:cs="仿宋_GB2312"/>
          <w:sz w:val="32"/>
          <w:szCs w:val="32"/>
        </w:rPr>
      </w:pPr>
      <w:r>
        <w:rPr>
          <w:rFonts w:hint="eastAsia" w:ascii="Times New Roman" w:hAnsi="Times New Roman" w:cs="仿宋_GB2312"/>
          <w:b/>
          <w:bCs/>
          <w:sz w:val="32"/>
          <w:szCs w:val="32"/>
        </w:rPr>
        <w:t>制度完整性。</w:t>
      </w:r>
      <w:r>
        <w:rPr>
          <w:rFonts w:hint="eastAsia" w:ascii="Times New Roman" w:hAnsi="Times New Roman" w:cs="仿宋_GB2312"/>
          <w:sz w:val="32"/>
          <w:szCs w:val="32"/>
        </w:rPr>
        <w:t>（分值1分，得分0.5分）市住建局提供了《梅州市城镇老旧小区改造试点工作方案》，但该方案试点时间为2020年5月至2020年12月；2021年9月梅州市住房和城乡建设局将《关于征求&lt;梅州市城镇老旧小区改造建设技术指引（征求意见稿）</w:t>
      </w:r>
      <w:r>
        <w:rPr>
          <w:rFonts w:ascii="Times New Roman" w:hAnsi="Times New Roman" w:cs="仿宋_GB2312"/>
          <w:sz w:val="32"/>
          <w:szCs w:val="32"/>
        </w:rPr>
        <w:t>&gt;</w:t>
      </w:r>
      <w:r>
        <w:rPr>
          <w:rFonts w:hint="eastAsia" w:ascii="Times New Roman" w:hAnsi="Times New Roman" w:cs="仿宋_GB2312"/>
          <w:sz w:val="32"/>
          <w:szCs w:val="32"/>
        </w:rPr>
        <w:t>意见的函》印发相关单位征求意见，2022年1月《梅州市城镇老旧小区改造建设技术指引》通过专家评审。项目实施保障性不足，作为涉及多参与部门、多实施单位、多资金渠道、多改造建设点的民生项目，缺乏系统性、连续性、及时性的项目管理制度或办法，难以保障项目目标实现。</w:t>
      </w:r>
    </w:p>
    <w:p>
      <w:pPr>
        <w:pStyle w:val="15"/>
        <w:spacing w:line="360" w:lineRule="auto"/>
        <w:ind w:firstLine="641"/>
        <w:rPr>
          <w:rFonts w:ascii="Times New Roman" w:hAnsi="Times New Roman" w:cs="仿宋_GB2312"/>
          <w:sz w:val="32"/>
          <w:szCs w:val="32"/>
        </w:rPr>
      </w:pPr>
      <w:r>
        <w:rPr>
          <w:rFonts w:hint="eastAsia" w:ascii="Times New Roman" w:hAnsi="Times New Roman" w:cs="仿宋_GB2312"/>
          <w:b/>
          <w:bCs/>
          <w:sz w:val="32"/>
          <w:szCs w:val="32"/>
        </w:rPr>
        <w:t>计划安排合理性。</w:t>
      </w:r>
      <w:r>
        <w:rPr>
          <w:rFonts w:hint="eastAsia" w:ascii="Times New Roman" w:hAnsi="Times New Roman" w:cs="仿宋_GB2312"/>
          <w:sz w:val="32"/>
          <w:szCs w:val="32"/>
        </w:rPr>
        <w:t>（分值1分，得分0.5分）</w:t>
      </w:r>
      <w:bookmarkStart w:id="33" w:name="_Toc486320101"/>
      <w:bookmarkStart w:id="34" w:name="_Toc486334655"/>
      <w:bookmarkStart w:id="35" w:name="_Toc1496"/>
      <w:bookmarkStart w:id="36" w:name="_Toc86310883"/>
      <w:r>
        <w:rPr>
          <w:rFonts w:hint="eastAsia" w:ascii="Times New Roman" w:hAnsi="Times New Roman" w:cs="仿宋_GB2312"/>
          <w:sz w:val="32"/>
          <w:szCs w:val="32"/>
        </w:rPr>
        <w:t>市住建局作为牵头单位按照梅市府办明电〔2021〕3号文要求，编制《2021年市政府重点工作和市十件民生实事每月推进计划细化分解表》，制定每月推进计划，明确目标任务等内容。但未见明确推进改造工作相关的具体措施。</w:t>
      </w:r>
    </w:p>
    <w:p>
      <w:pPr>
        <w:spacing w:line="360" w:lineRule="auto"/>
        <w:ind w:firstLine="641"/>
        <w:jc w:val="left"/>
        <w:rPr>
          <w:rFonts w:ascii="Times New Roman" w:hAnsi="Times New Roman" w:cs="仿宋_GB2312"/>
          <w:b/>
          <w:bCs/>
          <w:szCs w:val="32"/>
        </w:rPr>
      </w:pPr>
      <w:r>
        <w:rPr>
          <w:rFonts w:hint="eastAsia" w:ascii="Times New Roman" w:hAnsi="Times New Roman" w:cs="仿宋_GB2312"/>
          <w:b/>
          <w:bCs/>
          <w:szCs w:val="32"/>
        </w:rPr>
        <w:t>2.</w:t>
      </w:r>
      <w:bookmarkEnd w:id="33"/>
      <w:bookmarkEnd w:id="34"/>
      <w:r>
        <w:rPr>
          <w:rFonts w:hint="eastAsia" w:ascii="Times New Roman" w:hAnsi="Times New Roman" w:cs="仿宋_GB2312"/>
          <w:b/>
          <w:bCs/>
          <w:szCs w:val="32"/>
        </w:rPr>
        <w:t>资金落实。（分值3分，得分</w:t>
      </w:r>
      <w:r>
        <w:rPr>
          <w:rFonts w:hint="eastAsia" w:ascii="Times New Roman" w:hAnsi="Times New Roman" w:cs="仿宋_GB2312"/>
          <w:b/>
          <w:bCs/>
          <w:szCs w:val="32"/>
          <w:lang w:val="en-US" w:eastAsia="zh-CN"/>
        </w:rPr>
        <w:t>3</w:t>
      </w:r>
      <w:r>
        <w:rPr>
          <w:rFonts w:hint="eastAsia" w:ascii="Times New Roman" w:hAnsi="Times New Roman" w:cs="仿宋_GB2312"/>
          <w:b/>
          <w:bCs/>
          <w:szCs w:val="32"/>
        </w:rPr>
        <w:t>分）</w:t>
      </w:r>
      <w:bookmarkEnd w:id="35"/>
      <w:bookmarkEnd w:id="36"/>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资金落实主要考评资金分配。</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资金分配。</w:t>
      </w:r>
      <w:r>
        <w:rPr>
          <w:rFonts w:hint="eastAsia" w:ascii="Times New Roman" w:hAnsi="Times New Roman" w:cs="仿宋_GB2312"/>
          <w:sz w:val="32"/>
          <w:szCs w:val="32"/>
        </w:rPr>
        <w:t>（分值3分，得分</w:t>
      </w:r>
      <w:r>
        <w:rPr>
          <w:rFonts w:hint="eastAsia" w:ascii="Times New Roman" w:hAnsi="Times New Roman" w:cs="仿宋_GB2312"/>
          <w:sz w:val="32"/>
          <w:szCs w:val="32"/>
          <w:lang w:val="en-US" w:eastAsia="zh-CN"/>
        </w:rPr>
        <w:t>3</w:t>
      </w:r>
      <w:r>
        <w:rPr>
          <w:rFonts w:hint="eastAsia" w:ascii="Times New Roman" w:hAnsi="Times New Roman" w:cs="仿宋_GB2312"/>
          <w:sz w:val="32"/>
          <w:szCs w:val="32"/>
        </w:rPr>
        <w:t>分）</w:t>
      </w:r>
    </w:p>
    <w:p>
      <w:pPr>
        <w:pStyle w:val="15"/>
        <w:spacing w:line="360" w:lineRule="auto"/>
        <w:ind w:firstLine="640"/>
        <w:rPr>
          <w:rFonts w:ascii="Times New Roman" w:hAnsi="Times New Roman" w:cs="仿宋_GB2312"/>
          <w:sz w:val="32"/>
          <w:szCs w:val="32"/>
        </w:rPr>
      </w:pPr>
      <w:bookmarkStart w:id="37" w:name="_Toc7967"/>
      <w:r>
        <w:rPr>
          <w:rFonts w:hint="eastAsia" w:ascii="Times New Roman" w:hAnsi="Times New Roman" w:cs="仿宋_GB2312"/>
          <w:sz w:val="32"/>
          <w:szCs w:val="32"/>
        </w:rPr>
        <w:t>项目资金主要按照因素法进行分配，省管县兴宁市、大埔县、丰顺县、五华县由省财政厅直接下达各县（市）。</w:t>
      </w:r>
    </w:p>
    <w:p>
      <w:pPr>
        <w:pStyle w:val="15"/>
        <w:spacing w:line="360" w:lineRule="auto"/>
        <w:ind w:firstLine="640"/>
        <w:rPr>
          <w:rFonts w:ascii="Times New Roman" w:hAnsi="Times New Roman"/>
          <w:highlight w:val="yellow"/>
        </w:rPr>
      </w:pPr>
      <w:r>
        <w:rPr>
          <w:rFonts w:hint="eastAsia" w:ascii="Times New Roman" w:hAnsi="Times New Roman" w:cs="仿宋_GB2312"/>
          <w:sz w:val="32"/>
          <w:szCs w:val="32"/>
          <w:lang w:val="en-US" w:eastAsia="zh-CN"/>
        </w:rPr>
        <w:t>根据</w:t>
      </w:r>
      <w:r>
        <w:rPr>
          <w:rFonts w:hint="eastAsia" w:ascii="Times New Roman" w:hAnsi="Times New Roman" w:cs="仿宋_GB2312"/>
          <w:sz w:val="32"/>
          <w:szCs w:val="32"/>
        </w:rPr>
        <w:t>市住建局</w:t>
      </w:r>
      <w:r>
        <w:rPr>
          <w:rFonts w:hint="eastAsia" w:ascii="Times New Roman" w:hAnsi="Times New Roman" w:cs="仿宋_GB2312"/>
          <w:sz w:val="32"/>
          <w:szCs w:val="32"/>
          <w:lang w:val="en-US" w:eastAsia="zh-CN"/>
        </w:rPr>
        <w:t>提供的</w:t>
      </w:r>
      <w:r>
        <w:rPr>
          <w:rFonts w:hint="eastAsia" w:ascii="Times New Roman" w:hAnsi="Times New Roman" w:cs="仿宋_GB2312"/>
          <w:sz w:val="32"/>
          <w:szCs w:val="32"/>
        </w:rPr>
        <w:t>专项资金分配表</w:t>
      </w:r>
      <w:r>
        <w:rPr>
          <w:rFonts w:hint="eastAsia" w:ascii="Times New Roman" w:hAnsi="Times New Roman" w:cs="仿宋_GB2312"/>
          <w:sz w:val="32"/>
          <w:szCs w:val="32"/>
          <w:lang w:val="en-US" w:eastAsia="zh-CN"/>
        </w:rPr>
        <w:t>显示</w:t>
      </w:r>
      <w:r>
        <w:rPr>
          <w:rFonts w:hint="eastAsia" w:ascii="Times New Roman" w:hAnsi="Times New Roman" w:cs="仿宋_GB2312"/>
          <w:sz w:val="32"/>
          <w:szCs w:val="32"/>
        </w:rPr>
        <w:t>，</w:t>
      </w:r>
      <w:r>
        <w:rPr>
          <w:rFonts w:hint="eastAsia" w:ascii="Times New Roman" w:hAnsi="Times New Roman" w:cs="仿宋_GB2312"/>
          <w:sz w:val="32"/>
          <w:szCs w:val="32"/>
          <w:lang w:val="en-US" w:eastAsia="zh-CN"/>
        </w:rPr>
        <w:t>资金分配合理</w:t>
      </w:r>
      <w:r>
        <w:rPr>
          <w:rFonts w:hint="eastAsia" w:ascii="Times New Roman" w:hAnsi="Times New Roman" w:cs="仿宋_GB2312"/>
          <w:sz w:val="32"/>
          <w:szCs w:val="32"/>
        </w:rPr>
        <w:t>。</w:t>
      </w:r>
      <w:bookmarkEnd w:id="37"/>
    </w:p>
    <w:p>
      <w:pPr>
        <w:spacing w:line="360" w:lineRule="auto"/>
        <w:ind w:firstLine="643"/>
        <w:outlineLvl w:val="1"/>
        <w:rPr>
          <w:rFonts w:ascii="Times New Roman" w:hAnsi="Times New Roman" w:eastAsia="楷体" w:cs="楷体"/>
          <w:b/>
        </w:rPr>
      </w:pPr>
      <w:bookmarkStart w:id="38" w:name="_Toc245"/>
      <w:r>
        <w:rPr>
          <w:rFonts w:hint="eastAsia" w:ascii="Times New Roman" w:hAnsi="Times New Roman" w:eastAsia="楷体" w:cs="楷体"/>
          <w:b/>
        </w:rPr>
        <w:t>（二）管理分析</w:t>
      </w:r>
      <w:bookmarkEnd w:id="38"/>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该指标分值25分，下设资金管理、事项管理两个二级指标。</w:t>
      </w:r>
    </w:p>
    <w:p>
      <w:pPr>
        <w:spacing w:line="360" w:lineRule="auto"/>
        <w:ind w:firstLine="641"/>
        <w:jc w:val="left"/>
        <w:rPr>
          <w:rFonts w:ascii="Times New Roman" w:hAnsi="Times New Roman" w:cs="仿宋_GB2312"/>
          <w:b/>
          <w:bCs/>
          <w:szCs w:val="32"/>
        </w:rPr>
      </w:pPr>
      <w:bookmarkStart w:id="39" w:name="_Toc26552"/>
      <w:bookmarkStart w:id="40" w:name="_Toc86310885"/>
      <w:r>
        <w:rPr>
          <w:rFonts w:hint="eastAsia" w:ascii="Times New Roman" w:hAnsi="Times New Roman" w:cs="仿宋_GB2312"/>
          <w:b/>
          <w:bCs/>
          <w:szCs w:val="32"/>
        </w:rPr>
        <w:t>1.资金管理。（分值15分，得分11.17分）</w:t>
      </w:r>
      <w:bookmarkEnd w:id="39"/>
      <w:bookmarkEnd w:id="40"/>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资金管理主要考评资金支付、支出规范性。</w:t>
      </w:r>
    </w:p>
    <w:p>
      <w:pPr>
        <w:pStyle w:val="15"/>
        <w:spacing w:line="360" w:lineRule="auto"/>
        <w:ind w:firstLine="641"/>
        <w:rPr>
          <w:rFonts w:ascii="Times New Roman" w:hAnsi="Times New Roman" w:cs="仿宋_GB2312"/>
          <w:sz w:val="32"/>
          <w:szCs w:val="32"/>
        </w:rPr>
      </w:pPr>
      <w:r>
        <w:rPr>
          <w:rFonts w:hint="eastAsia" w:ascii="Times New Roman" w:hAnsi="Times New Roman" w:cs="仿宋_GB2312"/>
          <w:b/>
          <w:bCs/>
          <w:sz w:val="32"/>
          <w:szCs w:val="32"/>
        </w:rPr>
        <w:t>（1）资金支付。</w:t>
      </w:r>
      <w:r>
        <w:rPr>
          <w:rFonts w:hint="eastAsia" w:ascii="Times New Roman" w:hAnsi="Times New Roman" w:cs="仿宋_GB2312"/>
          <w:sz w:val="32"/>
          <w:szCs w:val="32"/>
        </w:rPr>
        <w:t>（分值3分，得分1.17分）</w:t>
      </w:r>
    </w:p>
    <w:p>
      <w:pPr>
        <w:pStyle w:val="15"/>
        <w:spacing w:line="360" w:lineRule="auto"/>
        <w:ind w:firstLine="640"/>
        <w:rPr>
          <w:rFonts w:ascii="Times New Roman" w:hAnsi="Times New Roman" w:cs="仿宋_GB2312"/>
          <w:sz w:val="32"/>
          <w:szCs w:val="32"/>
        </w:rPr>
      </w:pPr>
      <w:bookmarkStart w:id="41" w:name="_Toc1140"/>
      <w:r>
        <w:rPr>
          <w:rFonts w:hint="eastAsia" w:ascii="Times New Roman" w:hAnsi="Times New Roman" w:cs="仿宋_GB2312"/>
          <w:sz w:val="32"/>
          <w:szCs w:val="32"/>
          <w:lang w:eastAsia="zh-CN"/>
        </w:rPr>
        <w:t>截至</w:t>
      </w:r>
      <w:r>
        <w:rPr>
          <w:rFonts w:ascii="Times New Roman" w:hAnsi="Times New Roman" w:cs="仿宋_GB2312"/>
          <w:sz w:val="32"/>
          <w:szCs w:val="32"/>
        </w:rPr>
        <w:t>202</w:t>
      </w:r>
      <w:r>
        <w:rPr>
          <w:rFonts w:hint="eastAsia" w:ascii="Times New Roman" w:hAnsi="Times New Roman" w:cs="仿宋_GB2312"/>
          <w:sz w:val="32"/>
          <w:szCs w:val="32"/>
        </w:rPr>
        <w:t>1年12月</w:t>
      </w:r>
      <w:r>
        <w:rPr>
          <w:rFonts w:ascii="Times New Roman" w:hAnsi="Times New Roman" w:cs="仿宋_GB2312"/>
          <w:sz w:val="32"/>
          <w:szCs w:val="32"/>
        </w:rPr>
        <w:t>3</w:t>
      </w:r>
      <w:r>
        <w:rPr>
          <w:rFonts w:hint="eastAsia" w:ascii="Times New Roman" w:hAnsi="Times New Roman" w:cs="仿宋_GB2312"/>
          <w:sz w:val="32"/>
          <w:szCs w:val="32"/>
        </w:rPr>
        <w:t>1日评价基准日，中央、省级财政安排资金累计24,762.30万元，资金累计支出金额约为9,638.75万元，资金支出率约为38.93%，得分=支出金额/预算金额*分值=9,638.75/24,762.30*3</w:t>
      </w:r>
      <w:r>
        <w:rPr>
          <w:rFonts w:hint="eastAsia" w:ascii="Times New Roman" w:hAnsi="Times New Roman" w:eastAsia="宋体" w:cs="仿宋_GB2312"/>
          <w:sz w:val="32"/>
          <w:szCs w:val="32"/>
        </w:rPr>
        <w:t>≈1.17</w:t>
      </w:r>
      <w:r>
        <w:rPr>
          <w:rFonts w:hint="eastAsia" w:ascii="Times New Roman" w:hAnsi="Times New Roman" w:cs="仿宋_GB2312"/>
          <w:sz w:val="32"/>
          <w:szCs w:val="32"/>
        </w:rPr>
        <w:t>。</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（2）支出规范性</w:t>
      </w:r>
      <w:bookmarkEnd w:id="41"/>
      <w:r>
        <w:rPr>
          <w:rFonts w:hint="eastAsia" w:ascii="Times New Roman" w:hAnsi="Times New Roman" w:cs="仿宋_GB2312"/>
          <w:b/>
          <w:bCs/>
          <w:sz w:val="32"/>
          <w:szCs w:val="32"/>
        </w:rPr>
        <w:t>。</w:t>
      </w:r>
      <w:r>
        <w:rPr>
          <w:rFonts w:hint="eastAsia" w:ascii="Times New Roman" w:hAnsi="Times New Roman" w:cs="仿宋_GB2312"/>
          <w:sz w:val="32"/>
          <w:szCs w:val="32"/>
        </w:rPr>
        <w:t>（分值12分，得分10分）</w:t>
      </w:r>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项目单位未按评价组要求提供完整的项目支出资料电子版以及填报财务核查表。书面评价阶段，评价组主要对单位已提供的支出资料进行材料核查，核实资金支出金额、支出规范性、安全性等；现场评价阶段，评价组对市住建局实施的城镇老旧小区改造建设项目财务资料进行了核查，并抽取了梅县区作为实地考察点，现场抽查了部分财务支出凭证资料。</w:t>
      </w:r>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经书面评价和现场评价，评价组发现已提交电子版记账凭证或支出票据资料的实施单位预算执行程序大部分较为规范，基本能够按照项目工程进度支付资金，有调整能够及时申请报批。但发现</w:t>
      </w:r>
      <w:r>
        <w:rPr>
          <w:rFonts w:hint="eastAsia" w:ascii="Times New Roman" w:hAnsi="Times New Roman" w:cs="仿宋_GB2312"/>
          <w:sz w:val="32"/>
          <w:szCs w:val="32"/>
          <w:lang w:val="en-US" w:eastAsia="zh-CN"/>
        </w:rPr>
        <w:t>一个</w:t>
      </w:r>
      <w:r>
        <w:rPr>
          <w:rFonts w:hint="eastAsia" w:ascii="Times New Roman" w:hAnsi="Times New Roman" w:cs="仿宋_GB2312"/>
          <w:sz w:val="32"/>
          <w:szCs w:val="32"/>
        </w:rPr>
        <w:t>问题：梅县区相关主管部门未及时根据业务进度，编制相应记账凭证。</w:t>
      </w:r>
    </w:p>
    <w:p>
      <w:pPr>
        <w:spacing w:line="360" w:lineRule="auto"/>
        <w:ind w:firstLine="641"/>
        <w:jc w:val="left"/>
        <w:rPr>
          <w:rFonts w:ascii="Times New Roman" w:hAnsi="Times New Roman" w:cs="仿宋_GB2312"/>
          <w:b/>
          <w:bCs/>
          <w:szCs w:val="32"/>
        </w:rPr>
      </w:pPr>
      <w:bookmarkStart w:id="42" w:name="_Toc4331"/>
      <w:bookmarkStart w:id="43" w:name="_Toc86310886"/>
      <w:r>
        <w:rPr>
          <w:rFonts w:hint="eastAsia" w:ascii="Times New Roman" w:hAnsi="Times New Roman" w:cs="仿宋_GB2312"/>
          <w:b/>
          <w:bCs/>
          <w:szCs w:val="32"/>
        </w:rPr>
        <w:t>2.事项管理。（分值10分，得分</w:t>
      </w:r>
      <w:r>
        <w:rPr>
          <w:rFonts w:hint="eastAsia" w:ascii="Times New Roman" w:hAnsi="Times New Roman" w:cs="仿宋_GB2312"/>
          <w:b/>
          <w:bCs/>
          <w:szCs w:val="32"/>
          <w:lang w:val="en-US" w:eastAsia="zh-CN"/>
        </w:rPr>
        <w:t>8.5</w:t>
      </w:r>
      <w:r>
        <w:rPr>
          <w:rFonts w:hint="eastAsia" w:ascii="Times New Roman" w:hAnsi="Times New Roman" w:cs="仿宋_GB2312"/>
          <w:b/>
          <w:bCs/>
          <w:szCs w:val="32"/>
        </w:rPr>
        <w:t>分）</w:t>
      </w:r>
      <w:bookmarkEnd w:id="42"/>
      <w:bookmarkEnd w:id="43"/>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事项管理主要考评实施程序、管理情况。</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（1）实施程序。</w:t>
      </w:r>
      <w:r>
        <w:rPr>
          <w:rFonts w:hint="eastAsia" w:ascii="Times New Roman" w:hAnsi="Times New Roman" w:cs="仿宋_GB2312"/>
          <w:sz w:val="32"/>
          <w:szCs w:val="32"/>
        </w:rPr>
        <w:t>（分值5分，得分4分）</w:t>
      </w:r>
    </w:p>
    <w:p>
      <w:pPr>
        <w:pStyle w:val="15"/>
        <w:spacing w:line="360" w:lineRule="auto"/>
        <w:ind w:firstLine="640"/>
        <w:rPr>
          <w:rFonts w:ascii="Times New Roman" w:hAnsi="Times New Roman" w:cs="仿宋_GB2312"/>
          <w:sz w:val="32"/>
          <w:szCs w:val="32"/>
        </w:rPr>
      </w:pPr>
      <w:bookmarkStart w:id="44" w:name="_Toc26613"/>
      <w:r>
        <w:rPr>
          <w:rFonts w:hint="eastAsia" w:ascii="Times New Roman" w:hAnsi="Times New Roman" w:cs="仿宋_GB2312"/>
          <w:sz w:val="32"/>
          <w:szCs w:val="32"/>
        </w:rPr>
        <w:t>评价组对项目单位提供的自评及佐证材料进行书面评价发现，大部分项目实施单位基本能够按规定在前期进行勘察、设计等工作，并开展项目工程施工招投标，设计施工图变更等能够按规定申请工程变更审批，实施程序大部分较为规范。</w:t>
      </w:r>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根据梅江区西阳镇人民政府提供的施工现场相关图片，发现花池改造项目现场，未按规定进行围蔽、未立安全警示牌，该施工未严格执行安全文明施工措施存在一定的安全隐患，施工建设仍欠规范。</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（2）管理情况</w:t>
      </w:r>
      <w:bookmarkEnd w:id="44"/>
      <w:r>
        <w:rPr>
          <w:rFonts w:hint="eastAsia" w:ascii="Times New Roman" w:hAnsi="Times New Roman" w:cs="仿宋_GB2312"/>
          <w:b/>
          <w:bCs/>
          <w:sz w:val="32"/>
          <w:szCs w:val="32"/>
        </w:rPr>
        <w:t>。</w:t>
      </w:r>
      <w:r>
        <w:rPr>
          <w:rFonts w:hint="eastAsia" w:ascii="Times New Roman" w:hAnsi="Times New Roman" w:cs="仿宋_GB2312"/>
          <w:sz w:val="32"/>
          <w:szCs w:val="32"/>
        </w:rPr>
        <w:t>（分值5分，得分</w:t>
      </w:r>
      <w:r>
        <w:rPr>
          <w:rFonts w:hint="eastAsia" w:ascii="Times New Roman" w:hAnsi="Times New Roman" w:cs="仿宋_GB2312"/>
          <w:sz w:val="32"/>
          <w:szCs w:val="32"/>
          <w:lang w:val="en-US" w:eastAsia="zh-CN"/>
        </w:rPr>
        <w:t>4.5</w:t>
      </w:r>
      <w:r>
        <w:rPr>
          <w:rFonts w:hint="eastAsia" w:ascii="Times New Roman" w:hAnsi="Times New Roman" w:cs="仿宋_GB2312"/>
          <w:sz w:val="32"/>
          <w:szCs w:val="32"/>
        </w:rPr>
        <w:t>分）</w:t>
      </w:r>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梅州市人民政府办公室《梅州市人民政府办公室关于成立梅州市城镇老旧小区改造工作统筹协调领导小组的通知》（梅市府办函〔2021〕81号)显示，2021年4月16日成立领导小组。</w:t>
      </w:r>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监管制度建设上，项目涉及多个县区实施单位、多个资金来源途径，且部分改造项目实施周期较长，市住建局从全局出发制定系统性的全市城镇老旧小区改造督导检查机制，明确项目监督管理的内容、方式、措施等，项目的管理制度建设</w:t>
      </w:r>
      <w:r>
        <w:rPr>
          <w:rFonts w:hint="eastAsia" w:ascii="Times New Roman" w:hAnsi="Times New Roman" w:cs="仿宋_GB2312"/>
          <w:sz w:val="32"/>
          <w:szCs w:val="32"/>
          <w:lang w:val="en-US" w:eastAsia="zh-CN"/>
        </w:rPr>
        <w:t>健全</w:t>
      </w:r>
      <w:r>
        <w:rPr>
          <w:rFonts w:hint="eastAsia" w:ascii="Times New Roman" w:hAnsi="Times New Roman" w:cs="仿宋_GB2312"/>
          <w:sz w:val="32"/>
          <w:szCs w:val="32"/>
        </w:rPr>
        <w:t>。</w:t>
      </w:r>
    </w:p>
    <w:p>
      <w:pPr>
        <w:pStyle w:val="15"/>
        <w:spacing w:line="360" w:lineRule="auto"/>
        <w:ind w:firstLine="640"/>
        <w:rPr>
          <w:rFonts w:ascii="Times New Roman" w:hAnsi="Times New Roman" w:cs="仿宋_GB2312"/>
          <w:sz w:val="32"/>
          <w:szCs w:val="32"/>
        </w:rPr>
      </w:pPr>
      <w:r>
        <w:rPr>
          <w:rFonts w:ascii="Times New Roman" w:hAnsi="Times New Roman" w:cs="仿宋_GB2312"/>
          <w:sz w:val="32"/>
          <w:szCs w:val="32"/>
        </w:rPr>
        <w:t>监管执行上，</w:t>
      </w:r>
      <w:r>
        <w:rPr>
          <w:rFonts w:hint="eastAsia" w:ascii="Times New Roman" w:hAnsi="Times New Roman" w:cs="仿宋_GB2312"/>
          <w:sz w:val="32"/>
          <w:szCs w:val="32"/>
        </w:rPr>
        <w:t>9月24日，副市长调研梅州城区老旧小区改造和生活垃圾分类工作，实地了解老旧小区改造、生活垃圾分类试点等工作情况；丰顺县住房和城乡建设局2021年12月30日对单位工程进行监督检查，发现相关问题并下达建设工程质量整改情况报告书给施工单位，项目有开展一定的监管行动。但实际监控管理成效不</w:t>
      </w:r>
      <w:r>
        <w:rPr>
          <w:rFonts w:hint="eastAsia" w:ascii="Times New Roman" w:hAnsi="Times New Roman" w:cs="仿宋_GB2312"/>
          <w:sz w:val="32"/>
          <w:szCs w:val="32"/>
          <w:lang w:val="en-US" w:eastAsia="zh-CN"/>
        </w:rPr>
        <w:t>够</w:t>
      </w:r>
      <w:r>
        <w:rPr>
          <w:rFonts w:hint="eastAsia" w:ascii="Times New Roman" w:hAnsi="Times New Roman" w:cs="仿宋_GB2312"/>
          <w:sz w:val="32"/>
          <w:szCs w:val="32"/>
        </w:rPr>
        <w:t>明显，共9个实施单位，</w:t>
      </w:r>
      <w:r>
        <w:rPr>
          <w:rFonts w:hint="eastAsia" w:ascii="Times New Roman" w:hAnsi="Times New Roman" w:cs="仿宋_GB2312"/>
          <w:sz w:val="32"/>
          <w:szCs w:val="32"/>
          <w:lang w:eastAsia="zh-CN"/>
        </w:rPr>
        <w:t>截至</w:t>
      </w:r>
      <w:r>
        <w:rPr>
          <w:rFonts w:hint="eastAsia" w:ascii="Times New Roman" w:hAnsi="Times New Roman" w:cs="仿宋_GB2312"/>
          <w:sz w:val="32"/>
          <w:szCs w:val="32"/>
        </w:rPr>
        <w:t>评价基准日，仅3个实施单位100%支付完毕当年度下达资金，资金支付进度严重滞后。</w:t>
      </w:r>
    </w:p>
    <w:p>
      <w:pPr>
        <w:spacing w:line="360" w:lineRule="auto"/>
        <w:ind w:firstLine="643"/>
        <w:outlineLvl w:val="1"/>
        <w:rPr>
          <w:rFonts w:ascii="Times New Roman" w:hAnsi="Times New Roman" w:eastAsia="楷体" w:cs="楷体"/>
          <w:b/>
        </w:rPr>
      </w:pPr>
      <w:bookmarkStart w:id="45" w:name="_Toc18205"/>
      <w:r>
        <w:rPr>
          <w:rFonts w:hint="eastAsia" w:ascii="Times New Roman" w:hAnsi="Times New Roman" w:eastAsia="楷体" w:cs="楷体"/>
          <w:b/>
        </w:rPr>
        <w:t>（三）产出分析</w:t>
      </w:r>
      <w:bookmarkEnd w:id="45"/>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该指标分值30分，下设经济性、效率性两个二级指标。</w:t>
      </w:r>
    </w:p>
    <w:p>
      <w:pPr>
        <w:spacing w:line="360" w:lineRule="auto"/>
        <w:ind w:firstLine="641"/>
        <w:jc w:val="left"/>
        <w:rPr>
          <w:rFonts w:ascii="Times New Roman" w:hAnsi="Times New Roman" w:cs="仿宋_GB2312"/>
          <w:b/>
          <w:bCs/>
          <w:szCs w:val="32"/>
        </w:rPr>
      </w:pPr>
      <w:bookmarkStart w:id="46" w:name="_Toc86310888"/>
      <w:bookmarkStart w:id="47" w:name="_Toc28245"/>
      <w:r>
        <w:rPr>
          <w:rFonts w:hint="eastAsia" w:ascii="Times New Roman" w:hAnsi="Times New Roman" w:cs="仿宋_GB2312"/>
          <w:b/>
          <w:bCs/>
          <w:szCs w:val="32"/>
        </w:rPr>
        <w:t>1.经济性。（分值10分，得分</w:t>
      </w:r>
      <w:r>
        <w:rPr>
          <w:rFonts w:hint="eastAsia" w:ascii="Times New Roman" w:hAnsi="Times New Roman" w:cs="仿宋_GB2312"/>
          <w:b/>
          <w:bCs/>
          <w:szCs w:val="32"/>
          <w:lang w:val="en-US" w:eastAsia="zh-CN"/>
        </w:rPr>
        <w:t>10</w:t>
      </w:r>
      <w:r>
        <w:rPr>
          <w:rFonts w:hint="eastAsia" w:ascii="Times New Roman" w:hAnsi="Times New Roman" w:cs="仿宋_GB2312"/>
          <w:b/>
          <w:bCs/>
          <w:szCs w:val="32"/>
        </w:rPr>
        <w:t>分）</w:t>
      </w:r>
      <w:bookmarkEnd w:id="46"/>
      <w:bookmarkEnd w:id="47"/>
    </w:p>
    <w:p>
      <w:pPr>
        <w:spacing w:line="360" w:lineRule="auto"/>
        <w:ind w:firstLine="640"/>
        <w:rPr>
          <w:rFonts w:ascii="Times New Roman" w:hAnsi="Times New Roman" w:cs="仿宋_GB2312"/>
          <w:szCs w:val="32"/>
        </w:rPr>
      </w:pPr>
      <w:r>
        <w:rPr>
          <w:rFonts w:hint="eastAsia" w:ascii="Times New Roman" w:hAnsi="Times New Roman" w:cs="仿宋_GB2312"/>
          <w:szCs w:val="32"/>
        </w:rPr>
        <w:t>经济性主要考评预算控制、成本控制。</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（1）预算控制。</w:t>
      </w:r>
      <w:r>
        <w:rPr>
          <w:rFonts w:hint="eastAsia" w:ascii="Times New Roman" w:hAnsi="Times New Roman" w:cs="仿宋_GB2312"/>
          <w:sz w:val="32"/>
          <w:szCs w:val="32"/>
        </w:rPr>
        <w:t>（分值5分，得分</w:t>
      </w:r>
      <w:r>
        <w:rPr>
          <w:rFonts w:hint="eastAsia" w:ascii="Times New Roman" w:hAnsi="Times New Roman" w:cs="仿宋_GB2312"/>
          <w:sz w:val="32"/>
          <w:szCs w:val="32"/>
          <w:lang w:val="en-US" w:eastAsia="zh-CN"/>
        </w:rPr>
        <w:t>5</w:t>
      </w:r>
      <w:r>
        <w:rPr>
          <w:rFonts w:hint="eastAsia" w:ascii="Times New Roman" w:hAnsi="Times New Roman" w:cs="仿宋_GB2312"/>
          <w:sz w:val="32"/>
          <w:szCs w:val="32"/>
        </w:rPr>
        <w:t>分）</w:t>
      </w:r>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2021年根据预算下达资金24,762.30万元，资金累计支出金额约为9,638.75万元</w:t>
      </w:r>
      <w:r>
        <w:rPr>
          <w:rFonts w:hint="eastAsia" w:ascii="Times New Roman" w:hAnsi="Times New Roman" w:cs="仿宋_GB2312"/>
          <w:sz w:val="32"/>
          <w:szCs w:val="32"/>
          <w:lang w:eastAsia="zh-CN"/>
        </w:rPr>
        <w:t>，</w:t>
      </w:r>
      <w:r>
        <w:rPr>
          <w:rFonts w:hint="eastAsia" w:ascii="Times New Roman" w:hAnsi="Times New Roman" w:cs="仿宋_GB2312"/>
          <w:sz w:val="32"/>
          <w:szCs w:val="32"/>
          <w:lang w:val="en-US" w:eastAsia="zh-CN"/>
        </w:rPr>
        <w:t>资金支出未超过预算</w:t>
      </w:r>
      <w:r>
        <w:rPr>
          <w:rFonts w:hint="eastAsia" w:ascii="Times New Roman" w:hAnsi="Times New Roman" w:cs="仿宋_GB2312"/>
          <w:sz w:val="32"/>
          <w:szCs w:val="32"/>
        </w:rPr>
        <w:t>。</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（2）成本控制。</w:t>
      </w:r>
      <w:r>
        <w:rPr>
          <w:rFonts w:hint="eastAsia" w:ascii="Times New Roman" w:hAnsi="Times New Roman" w:cs="仿宋_GB2312"/>
          <w:sz w:val="32"/>
          <w:szCs w:val="32"/>
        </w:rPr>
        <w:t>（分值5分，得分5分）</w:t>
      </w:r>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根据提供的相关招投标资料显示，项目实施成本通过相关比价后确定，项目实施成本与同类项目或市场价格比较属于合理范围。</w:t>
      </w:r>
    </w:p>
    <w:p>
      <w:pPr>
        <w:spacing w:line="360" w:lineRule="auto"/>
        <w:ind w:firstLine="641"/>
        <w:jc w:val="left"/>
        <w:rPr>
          <w:rFonts w:ascii="Times New Roman" w:hAnsi="Times New Roman" w:cs="仿宋_GB2312"/>
          <w:b/>
          <w:bCs/>
          <w:szCs w:val="32"/>
        </w:rPr>
      </w:pPr>
      <w:bookmarkStart w:id="48" w:name="_Toc16486"/>
      <w:bookmarkStart w:id="49" w:name="_Toc86310889"/>
      <w:r>
        <w:rPr>
          <w:rFonts w:hint="eastAsia" w:ascii="Times New Roman" w:hAnsi="Times New Roman" w:cs="仿宋_GB2312"/>
          <w:b/>
          <w:bCs/>
          <w:szCs w:val="32"/>
        </w:rPr>
        <w:t>2.效率性。（分值20分，得分17.56分）</w:t>
      </w:r>
      <w:bookmarkEnd w:id="48"/>
      <w:bookmarkEnd w:id="49"/>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效率性主要考评完成进度、完成质量。</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（1）完成进度。</w:t>
      </w:r>
      <w:r>
        <w:rPr>
          <w:rFonts w:hint="eastAsia" w:ascii="Times New Roman" w:hAnsi="Times New Roman" w:cs="仿宋_GB2312"/>
          <w:sz w:val="32"/>
          <w:szCs w:val="32"/>
        </w:rPr>
        <w:t>（分值12分，得分9.56分）</w:t>
      </w:r>
    </w:p>
    <w:p>
      <w:pPr>
        <w:pStyle w:val="15"/>
        <w:spacing w:line="360" w:lineRule="auto"/>
        <w:ind w:firstLine="641"/>
        <w:jc w:val="left"/>
        <w:rPr>
          <w:rFonts w:ascii="Times New Roman" w:hAnsi="Times New Roman" w:cs="仿宋_GB2312"/>
          <w:b/>
          <w:bCs/>
          <w:sz w:val="32"/>
          <w:szCs w:val="32"/>
        </w:rPr>
      </w:pPr>
      <w:r>
        <w:rPr>
          <w:rFonts w:hint="eastAsia" w:ascii="Times New Roman" w:hAnsi="Times New Roman" w:cs="仿宋_GB2312"/>
          <w:b/>
          <w:bCs/>
          <w:sz w:val="32"/>
          <w:szCs w:val="32"/>
        </w:rPr>
        <w:t>完成进度。</w:t>
      </w:r>
      <w:r>
        <w:rPr>
          <w:rFonts w:hint="eastAsia" w:ascii="Times New Roman" w:hAnsi="Times New Roman" w:cs="仿宋_GB2312"/>
          <w:bCs/>
          <w:sz w:val="32"/>
          <w:szCs w:val="32"/>
        </w:rPr>
        <w:t>（分值8分，得分8分）</w:t>
      </w:r>
      <w:r>
        <w:rPr>
          <w:rFonts w:hint="eastAsia" w:ascii="Times New Roman" w:hAnsi="Times New Roman" w:cs="仿宋_GB2312"/>
          <w:sz w:val="32"/>
          <w:szCs w:val="32"/>
        </w:rPr>
        <w:t>。根据市住建局提供的梅州市城镇老旧小区改造工作简报（2021年12月29日）显示，</w:t>
      </w:r>
      <w:r>
        <w:rPr>
          <w:rFonts w:hint="eastAsia" w:ascii="Times New Roman" w:hAnsi="Times New Roman" w:cs="仿宋_GB2312"/>
          <w:sz w:val="32"/>
          <w:szCs w:val="32"/>
          <w:lang w:eastAsia="zh-CN"/>
        </w:rPr>
        <w:t>截至</w:t>
      </w:r>
      <w:r>
        <w:rPr>
          <w:rFonts w:hint="eastAsia" w:ascii="Times New Roman" w:hAnsi="Times New Roman" w:cs="仿宋_GB2312"/>
          <w:sz w:val="32"/>
          <w:szCs w:val="32"/>
        </w:rPr>
        <w:t>2021年12月29日，计划改造小区136个</w:t>
      </w:r>
      <w:r>
        <w:rPr>
          <w:rStyle w:val="23"/>
          <w:rFonts w:ascii="Times New Roman" w:hAnsi="Times New Roman" w:eastAsia="黑体" w:cs="仿宋"/>
          <w:sz w:val="28"/>
        </w:rPr>
        <w:footnoteReference w:id="3"/>
      </w:r>
      <w:r>
        <w:rPr>
          <w:rFonts w:hint="eastAsia" w:ascii="Times New Roman" w:hAnsi="Times New Roman" w:cs="仿宋_GB2312"/>
          <w:sz w:val="32"/>
          <w:szCs w:val="32"/>
        </w:rPr>
        <w:t>，涉及户数14736户，已完成前期准备、施工单位已进场施工的小区136个，涉及数14736户。所有项目已开工。</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计划推进及时性。</w:t>
      </w:r>
      <w:r>
        <w:rPr>
          <w:rFonts w:hint="eastAsia" w:ascii="Times New Roman" w:hAnsi="Times New Roman" w:cs="仿宋_GB2312"/>
          <w:bCs/>
          <w:sz w:val="32"/>
          <w:szCs w:val="32"/>
        </w:rPr>
        <w:t>（分值4分，得分1.56分）</w:t>
      </w:r>
      <w:r>
        <w:rPr>
          <w:rFonts w:hint="eastAsia" w:ascii="Times New Roman" w:hAnsi="Times New Roman" w:cs="仿宋_GB2312"/>
          <w:sz w:val="32"/>
          <w:szCs w:val="32"/>
        </w:rPr>
        <w:t>根据市住建局提供的2021年市政府重点工作和市十件民生实事每月推进计划细化分解表显示，第四季度末上级已下达资金用款不低于分配金额的100%，但根据相关单位提供的财务资料显示，</w:t>
      </w:r>
      <w:r>
        <w:rPr>
          <w:rFonts w:hint="eastAsia" w:ascii="Times New Roman" w:hAnsi="Times New Roman" w:cs="仿宋_GB2312"/>
          <w:sz w:val="32"/>
          <w:szCs w:val="32"/>
          <w:lang w:eastAsia="zh-CN"/>
        </w:rPr>
        <w:t>截至</w:t>
      </w:r>
      <w:r>
        <w:rPr>
          <w:rFonts w:hint="eastAsia" w:ascii="Times New Roman" w:hAnsi="Times New Roman" w:cs="仿宋_GB2312"/>
          <w:sz w:val="32"/>
          <w:szCs w:val="32"/>
        </w:rPr>
        <w:t>2021年12月资金支出率仅为38.93%。得分=（实际支出金额/已下达资金额度）*分值=38.93%*4=1.56分。</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（2）完成质量。</w:t>
      </w:r>
      <w:r>
        <w:rPr>
          <w:rFonts w:hint="eastAsia" w:ascii="Times New Roman" w:hAnsi="Times New Roman" w:cs="仿宋_GB2312"/>
          <w:sz w:val="32"/>
          <w:szCs w:val="32"/>
        </w:rPr>
        <w:t>（分值8分，得分8分）</w:t>
      </w:r>
    </w:p>
    <w:p>
      <w:pPr>
        <w:pStyle w:val="15"/>
        <w:spacing w:line="360" w:lineRule="auto"/>
        <w:ind w:firstLine="641"/>
        <w:rPr>
          <w:rFonts w:ascii="Times New Roman" w:hAnsi="Times New Roman" w:cs="仿宋_GB2312"/>
          <w:sz w:val="32"/>
          <w:szCs w:val="32"/>
        </w:rPr>
      </w:pPr>
      <w:r>
        <w:rPr>
          <w:rFonts w:hint="eastAsia" w:ascii="Times New Roman" w:hAnsi="Times New Roman" w:cs="仿宋_GB2312"/>
          <w:b/>
          <w:bCs/>
          <w:sz w:val="32"/>
          <w:szCs w:val="32"/>
        </w:rPr>
        <w:t>质量指标。</w:t>
      </w:r>
      <w:r>
        <w:rPr>
          <w:rFonts w:hint="eastAsia" w:ascii="Times New Roman" w:hAnsi="Times New Roman" w:cs="仿宋_GB2312"/>
          <w:bCs/>
          <w:sz w:val="32"/>
          <w:szCs w:val="32"/>
        </w:rPr>
        <w:t>（分值8分，得分8分）</w:t>
      </w:r>
      <w:r>
        <w:rPr>
          <w:rFonts w:hint="eastAsia" w:ascii="Times New Roman" w:hAnsi="Times New Roman" w:cs="仿宋_GB2312"/>
          <w:sz w:val="32"/>
          <w:szCs w:val="32"/>
        </w:rPr>
        <w:t>根据梅州市人民政府公开的2021市十件民生实事完成情况显示，全市新开工改造58个小区，惠及8731户居民，因地制宜确定改造内容，重点改造老旧小区配套基础设施、公共服务设施、建筑公共部位等。</w:t>
      </w:r>
    </w:p>
    <w:p>
      <w:pPr>
        <w:spacing w:line="360" w:lineRule="auto"/>
        <w:ind w:firstLine="643"/>
        <w:outlineLvl w:val="1"/>
        <w:rPr>
          <w:rFonts w:ascii="Times New Roman" w:hAnsi="Times New Roman" w:eastAsia="楷体" w:cs="楷体"/>
          <w:b/>
        </w:rPr>
      </w:pPr>
      <w:bookmarkStart w:id="50" w:name="_Toc25404"/>
      <w:r>
        <w:rPr>
          <w:rFonts w:hint="eastAsia" w:ascii="Times New Roman" w:hAnsi="Times New Roman" w:eastAsia="楷体" w:cs="楷体"/>
          <w:b/>
        </w:rPr>
        <w:t>（四）效益分析</w:t>
      </w:r>
      <w:bookmarkEnd w:id="50"/>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该指标分值30分，下设效果性、公平性两个二级指标。</w:t>
      </w:r>
    </w:p>
    <w:p>
      <w:pPr>
        <w:spacing w:line="360" w:lineRule="auto"/>
        <w:ind w:firstLine="641"/>
        <w:jc w:val="left"/>
        <w:rPr>
          <w:rFonts w:ascii="Times New Roman" w:hAnsi="Times New Roman" w:cs="仿宋_GB2312"/>
          <w:b/>
          <w:bCs/>
          <w:szCs w:val="32"/>
        </w:rPr>
      </w:pPr>
      <w:bookmarkStart w:id="51" w:name="_Toc86310891"/>
      <w:bookmarkStart w:id="52" w:name="_Toc6108"/>
      <w:r>
        <w:rPr>
          <w:rFonts w:hint="eastAsia" w:ascii="Times New Roman" w:hAnsi="Times New Roman" w:cs="仿宋_GB2312"/>
          <w:b/>
          <w:bCs/>
          <w:szCs w:val="32"/>
        </w:rPr>
        <w:t>1.效果性。（分值25分，得分</w:t>
      </w:r>
      <w:r>
        <w:rPr>
          <w:rFonts w:hint="eastAsia" w:ascii="Times New Roman" w:hAnsi="Times New Roman" w:cs="仿宋_GB2312"/>
          <w:b/>
          <w:bCs/>
          <w:szCs w:val="32"/>
          <w:lang w:val="en-US" w:eastAsia="zh-CN"/>
        </w:rPr>
        <w:t>23</w:t>
      </w:r>
      <w:r>
        <w:rPr>
          <w:rFonts w:hint="eastAsia" w:ascii="Times New Roman" w:hAnsi="Times New Roman" w:cs="仿宋_GB2312"/>
          <w:b/>
          <w:bCs/>
          <w:szCs w:val="32"/>
        </w:rPr>
        <w:t>分）</w:t>
      </w:r>
      <w:bookmarkEnd w:id="51"/>
      <w:bookmarkEnd w:id="52"/>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效果性主要考评经济效益、社会效益、生态效益、可持续影响。</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（1）经济效益。</w:t>
      </w:r>
      <w:r>
        <w:rPr>
          <w:rFonts w:hint="eastAsia" w:ascii="Times New Roman" w:hAnsi="Times New Roman" w:cs="仿宋_GB2312"/>
          <w:sz w:val="32"/>
          <w:szCs w:val="32"/>
        </w:rPr>
        <w:t>（分值5分，得分</w:t>
      </w:r>
      <w:r>
        <w:rPr>
          <w:rFonts w:hint="eastAsia" w:ascii="Times New Roman" w:hAnsi="Times New Roman" w:cs="仿宋_GB2312"/>
          <w:sz w:val="32"/>
          <w:szCs w:val="32"/>
          <w:lang w:val="en-US" w:eastAsia="zh-CN"/>
        </w:rPr>
        <w:t>5</w:t>
      </w:r>
      <w:r>
        <w:rPr>
          <w:rFonts w:hint="eastAsia" w:ascii="Times New Roman" w:hAnsi="Times New Roman" w:cs="仿宋_GB2312"/>
          <w:sz w:val="32"/>
          <w:szCs w:val="32"/>
        </w:rPr>
        <w:t>分）</w:t>
      </w:r>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于去年改造完成的梅县区西桥头小区对存量资源整合利用进行了探索，小区改造完成后，共有178个车位，在满足住户停车需求的前提下，还有剩余10个车位租赁给周边的商户，每月增收1200元</w:t>
      </w:r>
      <w:r>
        <w:rPr>
          <w:rFonts w:hint="eastAsia" w:ascii="Times New Roman" w:hAnsi="Times New Roman" w:cs="仿宋_GB2312"/>
          <w:sz w:val="32"/>
          <w:szCs w:val="32"/>
          <w:lang w:eastAsia="zh-CN"/>
        </w:rPr>
        <w:t>，</w:t>
      </w:r>
      <w:r>
        <w:rPr>
          <w:rFonts w:hint="eastAsia" w:ascii="Times New Roman" w:hAnsi="Times New Roman" w:cs="仿宋_GB2312"/>
          <w:sz w:val="32"/>
          <w:szCs w:val="32"/>
          <w:lang w:val="en-US" w:eastAsia="zh-CN"/>
        </w:rPr>
        <w:t>该项目实施具备一定的经济效益</w:t>
      </w:r>
      <w:r>
        <w:rPr>
          <w:rFonts w:hint="eastAsia" w:ascii="Times New Roman" w:hAnsi="Times New Roman" w:cs="仿宋_GB2312"/>
          <w:sz w:val="32"/>
          <w:szCs w:val="32"/>
        </w:rPr>
        <w:t>。</w:t>
      </w:r>
    </w:p>
    <w:p>
      <w:pPr>
        <w:pStyle w:val="15"/>
        <w:spacing w:line="360" w:lineRule="auto"/>
        <w:ind w:firstLine="641"/>
        <w:jc w:val="left"/>
        <w:rPr>
          <w:rFonts w:ascii="Times New Roman" w:hAnsi="Times New Roman" w:cs="仿宋_GB2312"/>
          <w:bCs/>
          <w:sz w:val="32"/>
          <w:szCs w:val="32"/>
        </w:rPr>
      </w:pPr>
      <w:r>
        <w:rPr>
          <w:rFonts w:hint="eastAsia" w:ascii="Times New Roman" w:hAnsi="Times New Roman" w:cs="仿宋_GB2312"/>
          <w:b/>
          <w:bCs/>
          <w:sz w:val="32"/>
          <w:szCs w:val="32"/>
        </w:rPr>
        <w:t>（2）生态效益。</w:t>
      </w:r>
      <w:r>
        <w:rPr>
          <w:rFonts w:hint="eastAsia" w:ascii="Times New Roman" w:hAnsi="Times New Roman" w:cs="仿宋_GB2312"/>
          <w:bCs/>
          <w:sz w:val="32"/>
          <w:szCs w:val="32"/>
        </w:rPr>
        <w:t>（分值7分，得分</w:t>
      </w:r>
      <w:r>
        <w:rPr>
          <w:rFonts w:hint="eastAsia" w:ascii="Times New Roman" w:hAnsi="Times New Roman" w:cs="仿宋_GB2312"/>
          <w:bCs/>
          <w:sz w:val="32"/>
          <w:szCs w:val="32"/>
          <w:lang w:val="en-US" w:eastAsia="zh-CN"/>
        </w:rPr>
        <w:t>6</w:t>
      </w:r>
      <w:r>
        <w:rPr>
          <w:rFonts w:hint="eastAsia" w:ascii="Times New Roman" w:hAnsi="Times New Roman" w:cs="仿宋_GB2312"/>
          <w:bCs/>
          <w:sz w:val="32"/>
          <w:szCs w:val="32"/>
        </w:rPr>
        <w:t>分）</w:t>
      </w:r>
    </w:p>
    <w:p>
      <w:pPr>
        <w:pStyle w:val="15"/>
        <w:spacing w:line="360" w:lineRule="auto"/>
        <w:ind w:firstLine="640"/>
        <w:rPr>
          <w:rFonts w:ascii="Times New Roman" w:hAnsi="Times New Roman" w:cs="仿宋_GB2312"/>
          <w:bCs/>
          <w:sz w:val="32"/>
          <w:szCs w:val="32"/>
        </w:rPr>
      </w:pPr>
      <w:r>
        <w:rPr>
          <w:rFonts w:hint="eastAsia" w:ascii="Times New Roman" w:hAnsi="Times New Roman" w:cs="仿宋_GB2312"/>
          <w:bCs/>
          <w:sz w:val="32"/>
          <w:szCs w:val="32"/>
        </w:rPr>
        <w:t>项目实施改善小区的生态景观，具有一定的生态改善效果，</w:t>
      </w:r>
      <w:r>
        <w:rPr>
          <w:rFonts w:hint="eastAsia" w:ascii="Times New Roman" w:hAnsi="Times New Roman" w:cs="仿宋_GB2312"/>
          <w:bCs/>
          <w:sz w:val="32"/>
          <w:szCs w:val="32"/>
          <w:lang w:val="en-US" w:eastAsia="zh-CN"/>
        </w:rPr>
        <w:t>该</w:t>
      </w:r>
      <w:r>
        <w:rPr>
          <w:rFonts w:hint="eastAsia" w:ascii="Times New Roman" w:hAnsi="Times New Roman" w:cs="仿宋_GB2312"/>
          <w:sz w:val="32"/>
          <w:szCs w:val="32"/>
        </w:rPr>
        <w:t>项目实施对生态环境</w:t>
      </w:r>
      <w:r>
        <w:rPr>
          <w:rFonts w:hint="eastAsia" w:ascii="Times New Roman" w:hAnsi="Times New Roman" w:cs="仿宋_GB2312"/>
          <w:sz w:val="32"/>
          <w:szCs w:val="32"/>
          <w:lang w:val="en-US" w:eastAsia="zh-CN"/>
        </w:rPr>
        <w:t>起到一定的</w:t>
      </w:r>
      <w:r>
        <w:rPr>
          <w:rFonts w:hint="eastAsia" w:ascii="Times New Roman" w:hAnsi="Times New Roman" w:cs="仿宋_GB2312"/>
          <w:sz w:val="32"/>
          <w:szCs w:val="32"/>
        </w:rPr>
        <w:t>改善作用</w:t>
      </w:r>
      <w:r>
        <w:rPr>
          <w:rFonts w:hint="eastAsia" w:ascii="Times New Roman" w:hAnsi="Times New Roman" w:cs="仿宋_GB2312"/>
          <w:sz w:val="32"/>
          <w:szCs w:val="32"/>
          <w:lang w:eastAsia="zh-CN"/>
        </w:rPr>
        <w:t>，</w:t>
      </w:r>
      <w:r>
        <w:rPr>
          <w:rFonts w:hint="eastAsia" w:ascii="Times New Roman" w:hAnsi="Times New Roman" w:cs="仿宋_GB2312"/>
          <w:sz w:val="32"/>
          <w:szCs w:val="32"/>
          <w:lang w:val="en-US" w:eastAsia="zh-CN"/>
        </w:rPr>
        <w:t>但</w:t>
      </w:r>
      <w:r>
        <w:rPr>
          <w:rFonts w:hint="eastAsia" w:ascii="Times New Roman" w:hAnsi="Times New Roman" w:cs="仿宋_GB2312"/>
          <w:bCs/>
          <w:sz w:val="32"/>
          <w:szCs w:val="32"/>
        </w:rPr>
        <w:t>从项目单位提供的现场照片看，对绿化工程选址规划有待进一步提升。</w:t>
      </w:r>
    </w:p>
    <w:p>
      <w:pPr>
        <w:pStyle w:val="15"/>
        <w:spacing w:line="360" w:lineRule="auto"/>
        <w:ind w:firstLine="0" w:firstLineChars="0"/>
        <w:rPr>
          <w:rFonts w:ascii="Times New Roman" w:hAnsi="Times New Roman" w:cs="仿宋_GB2312"/>
          <w:bCs/>
          <w:sz w:val="32"/>
          <w:szCs w:val="32"/>
        </w:rPr>
      </w:pPr>
      <w:r>
        <w:rPr>
          <w:rFonts w:hint="eastAsia" w:ascii="Times New Roman" w:hAnsi="Times New Roman" w:cs="仿宋_GB2312"/>
          <w:bCs/>
          <w:sz w:val="32"/>
          <w:szCs w:val="32"/>
        </w:rPr>
        <w:t xml:space="preserve">  </w:t>
      </w:r>
      <w:r>
        <w:rPr>
          <w:rFonts w:hint="eastAsia" w:ascii="Times New Roman" w:hAnsi="Times New Roman" w:cs="仿宋_GB2312"/>
          <w:bCs/>
          <w:sz w:val="32"/>
          <w:szCs w:val="32"/>
        </w:rPr>
        <w:drawing>
          <wp:inline distT="0" distB="0" distL="114300" distR="114300">
            <wp:extent cx="2463165" cy="1692275"/>
            <wp:effectExtent l="0" t="0" r="13335" b="3175"/>
            <wp:docPr id="2" name="图片 2" descr="页面从 图片等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页面从 图片等_1"/>
                    <pic:cNvPicPr>
                      <a:picLocks noChangeAspect="1"/>
                    </pic:cNvPicPr>
                  </pic:nvPicPr>
                  <pic:blipFill>
                    <a:blip r:embed="rId15"/>
                    <a:srcRect l="4473" t="26846" r="3728" b="10067"/>
                    <a:stretch>
                      <a:fillRect/>
                    </a:stretch>
                  </pic:blipFill>
                  <pic:spPr>
                    <a:xfrm>
                      <a:off x="0" y="0"/>
                      <a:ext cx="2463165" cy="1692275"/>
                    </a:xfrm>
                    <a:prstGeom prst="rect">
                      <a:avLst/>
                    </a:prstGeom>
                  </pic:spPr>
                </pic:pic>
              </a:graphicData>
            </a:graphic>
          </wp:inline>
        </w:drawing>
      </w:r>
      <w:r>
        <w:drawing>
          <wp:inline distT="0" distB="0" distL="114300" distR="114300">
            <wp:extent cx="2567305" cy="1692275"/>
            <wp:effectExtent l="0" t="0" r="4445"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rcRect t="4740" b="33593"/>
                    <a:stretch>
                      <a:fillRect/>
                    </a:stretch>
                  </pic:blipFill>
                  <pic:spPr>
                    <a:xfrm>
                      <a:off x="0" y="0"/>
                      <a:ext cx="2567305" cy="1692275"/>
                    </a:xfrm>
                    <a:prstGeom prst="rect">
                      <a:avLst/>
                    </a:prstGeom>
                    <a:noFill/>
                    <a:ln>
                      <a:noFill/>
                    </a:ln>
                  </pic:spPr>
                </pic:pic>
              </a:graphicData>
            </a:graphic>
          </wp:inline>
        </w:drawing>
      </w:r>
    </w:p>
    <w:p>
      <w:pPr>
        <w:pStyle w:val="15"/>
        <w:spacing w:line="360" w:lineRule="auto"/>
        <w:ind w:firstLine="640"/>
      </w:pPr>
      <w:r>
        <w:rPr>
          <w:rFonts w:hint="eastAsia" w:ascii="Times New Roman" w:hAnsi="Times New Roman" w:cs="仿宋_GB2312"/>
          <w:bCs/>
          <w:sz w:val="32"/>
          <w:szCs w:val="32"/>
        </w:rPr>
        <w:t xml:space="preserve">   </w:t>
      </w:r>
      <w:r>
        <w:t xml:space="preserve"> 增加小区绿化面积           绿化工程选址规划有待进一步提升</w:t>
      </w:r>
    </w:p>
    <w:p>
      <w:pPr>
        <w:pStyle w:val="15"/>
        <w:spacing w:line="360" w:lineRule="auto"/>
        <w:ind w:firstLine="641"/>
        <w:jc w:val="left"/>
        <w:rPr>
          <w:rFonts w:ascii="Times New Roman" w:hAnsi="Times New Roman" w:cs="仿宋_GB2312"/>
          <w:sz w:val="32"/>
          <w:szCs w:val="32"/>
        </w:rPr>
      </w:pPr>
      <w:r>
        <w:rPr>
          <w:rFonts w:hint="eastAsia" w:ascii="Times New Roman" w:hAnsi="Times New Roman" w:cs="仿宋_GB2312"/>
          <w:b/>
          <w:bCs/>
          <w:sz w:val="32"/>
          <w:szCs w:val="32"/>
        </w:rPr>
        <w:t>（3）社会效益。</w:t>
      </w:r>
      <w:r>
        <w:rPr>
          <w:rFonts w:hint="eastAsia" w:ascii="Times New Roman" w:hAnsi="Times New Roman" w:cs="仿宋_GB2312"/>
          <w:sz w:val="32"/>
          <w:szCs w:val="32"/>
        </w:rPr>
        <w:t>（分值8分，得分8分）</w:t>
      </w:r>
    </w:p>
    <w:p>
      <w:pPr>
        <w:pStyle w:val="15"/>
        <w:spacing w:line="360" w:lineRule="auto"/>
        <w:ind w:firstLine="640"/>
        <w:rPr>
          <w:rFonts w:ascii="Times New Roman" w:hAnsi="Times New Roman" w:cs="仿宋_GB2312"/>
          <w:sz w:val="32"/>
          <w:szCs w:val="32"/>
        </w:rPr>
      </w:pPr>
      <w:r>
        <w:rPr>
          <w:rFonts w:hint="eastAsia" w:ascii="Times New Roman" w:hAnsi="Times New Roman" w:cs="仿宋_GB2312"/>
          <w:sz w:val="32"/>
          <w:szCs w:val="32"/>
        </w:rPr>
        <w:t>该项目的实施一定程度上解决老旧小区管网老化、道路失修、绿化亮化缺乏、设施设备陈旧等问题，打造出了配套设施齐全、环境优美、功能完善的住宅小区，最终实现排水通、路面平、出行宽、环境美的目标，构建和谐社区。</w:t>
      </w:r>
    </w:p>
    <w:p>
      <w:pPr>
        <w:pStyle w:val="15"/>
        <w:spacing w:line="360" w:lineRule="auto"/>
        <w:ind w:firstLine="0" w:firstLineChars="0"/>
        <w:rPr>
          <w:rFonts w:ascii="Times New Roman" w:hAnsi="Times New Roman" w:cs="仿宋_GB2312"/>
          <w:sz w:val="32"/>
          <w:szCs w:val="32"/>
        </w:rPr>
      </w:pPr>
      <w:r>
        <w:rPr>
          <w:rFonts w:hint="eastAsia"/>
        </w:rPr>
        <w:t xml:space="preserve">    </w:t>
      </w:r>
      <w:r>
        <w:drawing>
          <wp:inline distT="0" distB="0" distL="114300" distR="114300">
            <wp:extent cx="2442845" cy="1692275"/>
            <wp:effectExtent l="0" t="0" r="14605"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rcRect l="5526" t="9698" b="19397"/>
                    <a:stretch>
                      <a:fillRect/>
                    </a:stretch>
                  </pic:blipFill>
                  <pic:spPr>
                    <a:xfrm>
                      <a:off x="0" y="0"/>
                      <a:ext cx="2442845" cy="1692275"/>
                    </a:xfrm>
                    <a:prstGeom prst="rect">
                      <a:avLst/>
                    </a:prstGeom>
                    <a:noFill/>
                    <a:ln>
                      <a:noFill/>
                    </a:ln>
                  </pic:spPr>
                </pic:pic>
              </a:graphicData>
            </a:graphic>
          </wp:inline>
        </w:drawing>
      </w:r>
      <w:r>
        <w:rPr>
          <w:rFonts w:hint="eastAsia" w:ascii="Times New Roman" w:hAnsi="Times New Roman" w:cs="仿宋_GB2312"/>
          <w:sz w:val="32"/>
          <w:szCs w:val="32"/>
        </w:rPr>
        <w:drawing>
          <wp:inline distT="0" distB="0" distL="114300" distR="114300">
            <wp:extent cx="2503805" cy="1692275"/>
            <wp:effectExtent l="0" t="0" r="10795" b="3175"/>
            <wp:docPr id="5" name="图片 5" descr="4e78764f67056192f6aae91b061e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e78764f67056192f6aae91b061ecef"/>
                    <pic:cNvPicPr>
                      <a:picLocks noChangeAspect="1"/>
                    </pic:cNvPicPr>
                  </pic:nvPicPr>
                  <pic:blipFill>
                    <a:blip r:embed="rId18"/>
                    <a:stretch>
                      <a:fillRect/>
                    </a:stretch>
                  </pic:blipFill>
                  <pic:spPr>
                    <a:xfrm>
                      <a:off x="0" y="0"/>
                      <a:ext cx="2503805" cy="1692275"/>
                    </a:xfrm>
                    <a:prstGeom prst="rect">
                      <a:avLst/>
                    </a:prstGeom>
                  </pic:spPr>
                </pic:pic>
              </a:graphicData>
            </a:graphic>
          </wp:inline>
        </w:drawing>
      </w:r>
    </w:p>
    <w:p>
      <w:pPr>
        <w:pStyle w:val="15"/>
        <w:spacing w:line="360" w:lineRule="auto"/>
        <w:ind w:firstLine="0" w:firstLineChars="0"/>
        <w:jc w:val="center"/>
        <w:rPr>
          <w:rFonts w:ascii="Times New Roman" w:hAnsi="Times New Roman" w:cs="仿宋_GB2312"/>
          <w:sz w:val="28"/>
          <w:szCs w:val="28"/>
        </w:rPr>
      </w:pPr>
      <w:r>
        <w:rPr>
          <w:rFonts w:hint="eastAsia" w:ascii="Times New Roman" w:hAnsi="Times New Roman" w:cs="仿宋_GB2312"/>
          <w:sz w:val="28"/>
          <w:szCs w:val="28"/>
        </w:rPr>
        <w:t>铺设沥青后道路由“洼”到“平”</w:t>
      </w:r>
    </w:p>
    <w:p>
      <w:pPr>
        <w:pStyle w:val="15"/>
        <w:spacing w:line="360" w:lineRule="auto"/>
        <w:ind w:firstLine="641"/>
        <w:jc w:val="left"/>
        <w:rPr>
          <w:rFonts w:ascii="Times New Roman" w:hAnsi="Times New Roman" w:cs="仿宋_GB2312"/>
          <w:b/>
          <w:bCs/>
          <w:sz w:val="32"/>
          <w:szCs w:val="32"/>
        </w:rPr>
      </w:pPr>
      <w:r>
        <w:rPr>
          <w:rFonts w:hint="eastAsia" w:ascii="Times New Roman" w:hAnsi="Times New Roman" w:cs="仿宋_GB2312"/>
          <w:b/>
          <w:bCs/>
          <w:sz w:val="32"/>
          <w:szCs w:val="32"/>
        </w:rPr>
        <w:t>（4）可持续发展。</w:t>
      </w:r>
      <w:r>
        <w:rPr>
          <w:rFonts w:hint="eastAsia" w:ascii="Times New Roman" w:hAnsi="Times New Roman" w:cs="仿宋_GB2312"/>
          <w:sz w:val="32"/>
          <w:szCs w:val="32"/>
        </w:rPr>
        <w:t>（分值5分，得分4分）</w:t>
      </w:r>
    </w:p>
    <w:p>
      <w:pPr>
        <w:spacing w:line="360" w:lineRule="auto"/>
        <w:ind w:firstLine="640"/>
        <w:rPr>
          <w:rFonts w:ascii="Times New Roman" w:hAnsi="Times New Roman" w:cs="仿宋_GB2312"/>
          <w:bCs/>
          <w:szCs w:val="32"/>
        </w:rPr>
      </w:pPr>
      <w:bookmarkStart w:id="53" w:name="_Toc86310892"/>
      <w:bookmarkStart w:id="54" w:name="_Toc25307"/>
      <w:r>
        <w:rPr>
          <w:rFonts w:hint="eastAsia" w:ascii="Times New Roman" w:hAnsi="Times New Roman" w:cs="仿宋_GB2312"/>
          <w:bCs/>
          <w:szCs w:val="32"/>
        </w:rPr>
        <w:t>市住建局编制梅州市党建引领城镇老旧小区改造工作流程图，提出后期运营管理阶段相关工作机制和管理制度。项目实施一定时期内能够产生提高居民获得感、幸福感的效果，但根据调查问卷显示“</w:t>
      </w:r>
      <w:r>
        <w:rPr>
          <w:rFonts w:hint="eastAsia"/>
        </w:rPr>
        <w:t>沙井盖有部分坏了应更换</w:t>
      </w:r>
      <w:r>
        <w:rPr>
          <w:rFonts w:hint="eastAsia" w:ascii="Times New Roman" w:hAnsi="Times New Roman" w:cs="仿宋_GB2312"/>
          <w:bCs/>
          <w:szCs w:val="32"/>
        </w:rPr>
        <w:t>”，项目后续管理有待提高，应建立改造后的常态维护管理制度。</w:t>
      </w:r>
    </w:p>
    <w:p>
      <w:pPr>
        <w:spacing w:line="360" w:lineRule="auto"/>
        <w:ind w:firstLine="641"/>
        <w:jc w:val="left"/>
        <w:rPr>
          <w:rFonts w:ascii="Times New Roman" w:hAnsi="Times New Roman" w:cs="仿宋_GB2312"/>
          <w:b/>
          <w:bCs/>
          <w:szCs w:val="32"/>
        </w:rPr>
      </w:pPr>
      <w:r>
        <w:rPr>
          <w:rFonts w:hint="eastAsia" w:ascii="Times New Roman" w:hAnsi="Times New Roman" w:cs="仿宋_GB2312"/>
          <w:b/>
          <w:bCs/>
          <w:szCs w:val="32"/>
        </w:rPr>
        <w:t>2.公平性。（分值5分，得分4.95分）</w:t>
      </w:r>
      <w:bookmarkEnd w:id="53"/>
      <w:bookmarkEnd w:id="54"/>
    </w:p>
    <w:p>
      <w:pPr>
        <w:pStyle w:val="15"/>
        <w:spacing w:line="360" w:lineRule="auto"/>
        <w:ind w:firstLine="640"/>
        <w:jc w:val="left"/>
        <w:rPr>
          <w:rFonts w:ascii="Times New Roman" w:hAnsi="Times New Roman" w:cs="仿宋_GB2312"/>
          <w:sz w:val="32"/>
          <w:szCs w:val="32"/>
        </w:rPr>
      </w:pPr>
      <w:r>
        <w:rPr>
          <w:rFonts w:hint="eastAsia" w:ascii="Times New Roman" w:hAnsi="Times New Roman" w:cs="仿宋_GB2312"/>
          <w:sz w:val="32"/>
          <w:szCs w:val="32"/>
        </w:rPr>
        <w:t>公平性主要考评满意度。</w:t>
      </w:r>
    </w:p>
    <w:p>
      <w:pPr>
        <w:pStyle w:val="15"/>
        <w:spacing w:line="360" w:lineRule="auto"/>
        <w:ind w:firstLine="641"/>
        <w:jc w:val="left"/>
        <w:rPr>
          <w:rFonts w:ascii="Times New Roman" w:hAnsi="Times New Roman"/>
        </w:rPr>
      </w:pPr>
      <w:r>
        <w:rPr>
          <w:rFonts w:hint="eastAsia" w:ascii="Times New Roman" w:hAnsi="Times New Roman" w:cs="仿宋_GB2312"/>
          <w:b/>
          <w:bCs/>
          <w:sz w:val="32"/>
          <w:szCs w:val="32"/>
        </w:rPr>
        <w:t>满意度。</w:t>
      </w:r>
      <w:r>
        <w:rPr>
          <w:rFonts w:hint="eastAsia" w:ascii="Times New Roman" w:hAnsi="Times New Roman" w:cs="仿宋_GB2312"/>
          <w:sz w:val="32"/>
          <w:szCs w:val="32"/>
        </w:rPr>
        <w:t>（分值5分，得分4.95分）本次满意度调查由评价组设计问卷，项目单位配合发放，共计收回有效问卷101份，对小区改造总体表示“满意或非常满意”的共100份，“不满意”的1份，居民总体满意度约为99%。得分=99%*5</w:t>
      </w:r>
      <w:r>
        <w:rPr>
          <w:rFonts w:hint="eastAsia" w:ascii="Times New Roman" w:hAnsi="Times New Roman" w:eastAsia="宋体" w:cs="仿宋_GB2312"/>
          <w:sz w:val="32"/>
          <w:szCs w:val="32"/>
        </w:rPr>
        <w:t>≈</w:t>
      </w:r>
      <w:r>
        <w:rPr>
          <w:rFonts w:hint="eastAsia" w:ascii="Times New Roman" w:hAnsi="Times New Roman" w:cs="仿宋_GB2312"/>
          <w:sz w:val="32"/>
          <w:szCs w:val="32"/>
        </w:rPr>
        <w:t>4.95。</w:t>
      </w:r>
    </w:p>
    <w:p>
      <w:pPr>
        <w:spacing w:line="360" w:lineRule="auto"/>
        <w:ind w:firstLine="640"/>
        <w:outlineLvl w:val="0"/>
        <w:rPr>
          <w:rFonts w:ascii="Times New Roman" w:hAnsi="Times New Roman" w:eastAsia="黑体"/>
        </w:rPr>
      </w:pPr>
      <w:bookmarkStart w:id="55" w:name="_Toc20301"/>
      <w:r>
        <w:rPr>
          <w:rFonts w:hint="eastAsia" w:ascii="Times New Roman" w:hAnsi="Times New Roman" w:eastAsia="黑体"/>
        </w:rPr>
        <w:t>四、主要绩效</w:t>
      </w:r>
      <w:bookmarkEnd w:id="55"/>
    </w:p>
    <w:p>
      <w:pPr>
        <w:spacing w:line="360" w:lineRule="auto"/>
        <w:ind w:firstLine="640"/>
        <w:rPr>
          <w:rFonts w:ascii="Times New Roman" w:hAnsi="Times New Roman" w:cs="仿宋_GB2312"/>
          <w:szCs w:val="32"/>
        </w:rPr>
      </w:pPr>
      <w:bookmarkStart w:id="56" w:name="_Toc4402"/>
      <w:r>
        <w:rPr>
          <w:rFonts w:hint="eastAsia" w:ascii="Times New Roman" w:hAnsi="Times New Roman" w:cs="仿宋_GB2312"/>
          <w:szCs w:val="32"/>
          <w:lang w:eastAsia="zh-CN"/>
        </w:rPr>
        <w:t>（</w:t>
      </w:r>
      <w:r>
        <w:rPr>
          <w:rFonts w:hint="eastAsia" w:ascii="Times New Roman" w:hAnsi="Times New Roman" w:cs="仿宋_GB2312"/>
          <w:szCs w:val="32"/>
          <w:lang w:val="en-US" w:eastAsia="zh-CN"/>
        </w:rPr>
        <w:t>一</w:t>
      </w:r>
      <w:r>
        <w:rPr>
          <w:rFonts w:hint="eastAsia" w:ascii="Times New Roman" w:hAnsi="Times New Roman" w:cs="仿宋_GB2312"/>
          <w:szCs w:val="32"/>
          <w:lang w:eastAsia="zh-CN"/>
        </w:rPr>
        <w:t>）</w:t>
      </w:r>
      <w:r>
        <w:rPr>
          <w:rFonts w:hint="eastAsia" w:ascii="Times New Roman" w:hAnsi="Times New Roman" w:cs="仿宋_GB2312"/>
          <w:szCs w:val="32"/>
        </w:rPr>
        <w:t>着力改善老旧小区居住环境，提升老旧小区居民的生活品质，造福人民群众、满足人民群众对美好生活需要，提升人民群众的获得感、幸福感、安全感。</w:t>
      </w:r>
      <w:bookmarkEnd w:id="56"/>
    </w:p>
    <w:p>
      <w:pPr>
        <w:keepNext w:val="0"/>
        <w:keepLines w:val="0"/>
        <w:pageBreakBefore w:val="0"/>
        <w:widowControl/>
        <w:kinsoku/>
        <w:wordWrap/>
        <w:overflowPunct/>
        <w:topLinePunct w:val="0"/>
        <w:autoSpaceDE/>
        <w:autoSpaceDN/>
        <w:bidi w:val="0"/>
        <w:adjustRightInd w:val="0"/>
        <w:snapToGrid w:val="0"/>
        <w:ind w:firstLine="640"/>
        <w:jc w:val="left"/>
        <w:textAlignment w:val="auto"/>
        <w:rPr>
          <w:rFonts w:hint="eastAsia" w:ascii="Times New Roman" w:hAnsi="Times New Roman" w:cs="Times New Roman"/>
          <w:szCs w:val="32"/>
        </w:rPr>
      </w:pPr>
      <w:bookmarkStart w:id="57" w:name="_Toc23688"/>
      <w:r>
        <w:rPr>
          <w:rFonts w:hint="eastAsia" w:ascii="Times New Roman" w:hAnsi="Times New Roman" w:cs="Times New Roman"/>
          <w:szCs w:val="32"/>
        </w:rPr>
        <w:t xml:space="preserve">2021年城镇老旧小区改造项目梅州市已完成前期准备、施工单位已进场施工的小区136个，涉及数14736户，通过对道路和路面、排水沟、园林绿化、路面照明工程等综合改造，将老旧小区道路由“洼”到“平” ，管线由“乱”到“齐” ，环境由 </w:t>
      </w:r>
      <w:r>
        <w:rPr>
          <w:rFonts w:hint="eastAsia"/>
          <w:szCs w:val="32"/>
        </w:rPr>
        <w:t>“</w:t>
      </w:r>
      <w:r>
        <w:rPr>
          <w:rFonts w:ascii="Times New Roman" w:hAnsi="Times New Roman" w:cs="Times New Roman"/>
          <w:szCs w:val="32"/>
        </w:rPr>
        <w:t>差</w:t>
      </w:r>
      <w:r>
        <w:rPr>
          <w:rFonts w:hint="eastAsia"/>
          <w:szCs w:val="32"/>
        </w:rPr>
        <w:t>”</w:t>
      </w:r>
      <w:r>
        <w:rPr>
          <w:rFonts w:ascii="Times New Roman" w:hAnsi="Times New Roman" w:cs="Times New Roman"/>
          <w:szCs w:val="32"/>
        </w:rPr>
        <w:t>到</w:t>
      </w:r>
      <w:r>
        <w:rPr>
          <w:rFonts w:hint="eastAsia"/>
          <w:szCs w:val="32"/>
        </w:rPr>
        <w:t>“</w:t>
      </w:r>
      <w:r>
        <w:rPr>
          <w:rFonts w:ascii="Times New Roman" w:hAnsi="Times New Roman" w:cs="Times New Roman"/>
          <w:szCs w:val="32"/>
        </w:rPr>
        <w:t>美</w:t>
      </w:r>
      <w:r>
        <w:rPr>
          <w:rFonts w:hint="eastAsia"/>
          <w:szCs w:val="32"/>
        </w:rPr>
        <w:t>”</w:t>
      </w:r>
      <w:r>
        <w:rPr>
          <w:rFonts w:ascii="Times New Roman" w:hAnsi="Times New Roman" w:cs="Times New Roman"/>
          <w:szCs w:val="32"/>
        </w:rPr>
        <w:t>，绿化由</w:t>
      </w:r>
      <w:r>
        <w:rPr>
          <w:rFonts w:hint="eastAsia"/>
          <w:szCs w:val="32"/>
        </w:rPr>
        <w:t>“</w:t>
      </w:r>
      <w:r>
        <w:rPr>
          <w:rFonts w:ascii="Times New Roman" w:hAnsi="Times New Roman" w:cs="Times New Roman"/>
          <w:szCs w:val="32"/>
        </w:rPr>
        <w:t>缺</w:t>
      </w:r>
      <w:r>
        <w:rPr>
          <w:rFonts w:hint="eastAsia"/>
          <w:szCs w:val="32"/>
        </w:rPr>
        <w:t>”</w:t>
      </w:r>
      <w:r>
        <w:rPr>
          <w:rFonts w:ascii="Times New Roman" w:hAnsi="Times New Roman" w:cs="Times New Roman"/>
          <w:szCs w:val="32"/>
        </w:rPr>
        <w:t>到</w:t>
      </w:r>
      <w:r>
        <w:rPr>
          <w:rFonts w:hint="eastAsia"/>
          <w:szCs w:val="32"/>
        </w:rPr>
        <w:t>“</w:t>
      </w:r>
      <w:r>
        <w:rPr>
          <w:rFonts w:ascii="Times New Roman" w:hAnsi="Times New Roman" w:cs="Times New Roman"/>
          <w:szCs w:val="32"/>
        </w:rPr>
        <w:t>全</w:t>
      </w:r>
      <w:r>
        <w:rPr>
          <w:rFonts w:hint="eastAsia"/>
          <w:szCs w:val="32"/>
        </w:rPr>
        <w:t>”</w:t>
      </w:r>
      <w:r>
        <w:rPr>
          <w:rFonts w:ascii="Times New Roman" w:hAnsi="Times New Roman" w:cs="Times New Roman"/>
          <w:szCs w:val="32"/>
        </w:rPr>
        <w:t xml:space="preserve"> ，配套设施由</w:t>
      </w:r>
      <w:r>
        <w:rPr>
          <w:rFonts w:hint="eastAsia"/>
          <w:szCs w:val="32"/>
        </w:rPr>
        <w:t>“</w:t>
      </w:r>
      <w:r>
        <w:rPr>
          <w:rFonts w:ascii="Times New Roman" w:hAnsi="Times New Roman" w:cs="Times New Roman"/>
          <w:szCs w:val="32"/>
        </w:rPr>
        <w:t>粗</w:t>
      </w:r>
      <w:r>
        <w:rPr>
          <w:rFonts w:hint="eastAsia"/>
          <w:szCs w:val="32"/>
        </w:rPr>
        <w:t>”</w:t>
      </w:r>
      <w:r>
        <w:rPr>
          <w:rFonts w:ascii="Times New Roman" w:hAnsi="Times New Roman" w:cs="Times New Roman"/>
          <w:szCs w:val="32"/>
        </w:rPr>
        <w:t>到</w:t>
      </w:r>
      <w:r>
        <w:rPr>
          <w:rFonts w:hint="eastAsia"/>
          <w:szCs w:val="32"/>
        </w:rPr>
        <w:t>“</w:t>
      </w:r>
      <w:r>
        <w:rPr>
          <w:rFonts w:ascii="Times New Roman" w:hAnsi="Times New Roman" w:cs="Times New Roman"/>
          <w:szCs w:val="32"/>
        </w:rPr>
        <w:t>精</w:t>
      </w:r>
      <w:r>
        <w:rPr>
          <w:rFonts w:hint="eastAsia"/>
          <w:szCs w:val="32"/>
        </w:rPr>
        <w:t>”</w:t>
      </w:r>
      <w:r>
        <w:rPr>
          <w:rFonts w:ascii="Times New Roman" w:hAnsi="Times New Roman" w:cs="Times New Roman"/>
          <w:szCs w:val="32"/>
        </w:rPr>
        <w:t>，居民脸上的笑容由</w:t>
      </w:r>
      <w:r>
        <w:rPr>
          <w:rFonts w:hint="eastAsia"/>
          <w:szCs w:val="32"/>
        </w:rPr>
        <w:t>“</w:t>
      </w:r>
      <w:r>
        <w:rPr>
          <w:rFonts w:ascii="Times New Roman" w:hAnsi="Times New Roman" w:cs="Times New Roman"/>
          <w:szCs w:val="32"/>
        </w:rPr>
        <w:t>少</w:t>
      </w:r>
      <w:r>
        <w:rPr>
          <w:rFonts w:hint="eastAsia"/>
          <w:szCs w:val="32"/>
        </w:rPr>
        <w:t>”</w:t>
      </w:r>
      <w:r>
        <w:rPr>
          <w:rFonts w:ascii="Times New Roman" w:hAnsi="Times New Roman" w:cs="Times New Roman"/>
          <w:szCs w:val="32"/>
        </w:rPr>
        <w:t>到</w:t>
      </w:r>
      <w:r>
        <w:rPr>
          <w:rFonts w:hint="eastAsia"/>
          <w:szCs w:val="32"/>
        </w:rPr>
        <w:t>“</w:t>
      </w:r>
      <w:r>
        <w:rPr>
          <w:rFonts w:ascii="Times New Roman" w:hAnsi="Times New Roman" w:cs="Times New Roman"/>
          <w:szCs w:val="32"/>
        </w:rPr>
        <w:t>多</w:t>
      </w:r>
      <w:r>
        <w:rPr>
          <w:rFonts w:hint="eastAsia"/>
          <w:szCs w:val="32"/>
        </w:rPr>
        <w:t>”</w:t>
      </w:r>
      <w:r>
        <w:rPr>
          <w:rFonts w:ascii="Times New Roman" w:hAnsi="Times New Roman" w:cs="Times New Roman"/>
          <w:szCs w:val="32"/>
        </w:rPr>
        <w:t xml:space="preserve"> ，小区人居环境换新颜</w:t>
      </w:r>
      <w:r>
        <w:rPr>
          <w:rFonts w:hint="eastAsia" w:ascii="Times New Roman" w:hAnsi="Times New Roman" w:cs="Times New Roman"/>
          <w:szCs w:val="32"/>
        </w:rPr>
        <w:t>。</w:t>
      </w:r>
    </w:p>
    <w:tbl>
      <w:tblPr>
        <w:tblStyle w:val="18"/>
        <w:tblW w:w="9440" w:type="dxa"/>
        <w:tblInd w:w="-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2"/>
        <w:gridCol w:w="4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2" w:type="dxa"/>
            <w:tcBorders>
              <w:top w:val="nil"/>
              <w:left w:val="nil"/>
              <w:bottom w:val="nil"/>
              <w:right w:val="nil"/>
            </w:tcBorders>
          </w:tcPr>
          <w:p>
            <w:pPr>
              <w:widowControl/>
              <w:spacing w:line="240" w:lineRule="auto"/>
              <w:ind w:firstLine="640"/>
              <w:jc w:val="left"/>
            </w:pPr>
            <w:r>
              <w:drawing>
                <wp:anchor distT="0" distB="0" distL="0" distR="0" simplePos="0" relativeHeight="251659264" behindDoc="0" locked="0" layoutInCell="1" allowOverlap="1">
                  <wp:simplePos x="0" y="0"/>
                  <wp:positionH relativeFrom="page">
                    <wp:posOffset>7632065</wp:posOffset>
                  </wp:positionH>
                  <wp:positionV relativeFrom="paragraph">
                    <wp:posOffset>-3813175</wp:posOffset>
                  </wp:positionV>
                  <wp:extent cx="6912610" cy="6563995"/>
                  <wp:effectExtent l="0" t="0" r="6350" b="4445"/>
                  <wp:wrapNone/>
                  <wp:docPr id="14"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1.jpeg"/>
                          <pic:cNvPicPr>
                            <a:picLocks noChangeAspect="1"/>
                          </pic:cNvPicPr>
                        </pic:nvPicPr>
                        <pic:blipFill>
                          <a:blip r:embed="rId19" cstate="print"/>
                          <a:stretch>
                            <a:fillRect/>
                          </a:stretch>
                        </pic:blipFill>
                        <pic:spPr>
                          <a:xfrm>
                            <a:off x="0" y="0"/>
                            <a:ext cx="6912610" cy="6563995"/>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7632065</wp:posOffset>
                  </wp:positionH>
                  <wp:positionV relativeFrom="paragraph">
                    <wp:posOffset>-3813175</wp:posOffset>
                  </wp:positionV>
                  <wp:extent cx="6912610" cy="8180705"/>
                  <wp:effectExtent l="0" t="0" r="6350" b="3175"/>
                  <wp:wrapNone/>
                  <wp:docPr id="1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1.jpeg"/>
                          <pic:cNvPicPr>
                            <a:picLocks noChangeAspect="1"/>
                          </pic:cNvPicPr>
                        </pic:nvPicPr>
                        <pic:blipFill>
                          <a:blip r:embed="rId19" cstate="print"/>
                          <a:stretch>
                            <a:fillRect/>
                          </a:stretch>
                        </pic:blipFill>
                        <pic:spPr>
                          <a:xfrm>
                            <a:off x="0" y="0"/>
                            <a:ext cx="6912610" cy="8180705"/>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7632065</wp:posOffset>
                  </wp:positionH>
                  <wp:positionV relativeFrom="paragraph">
                    <wp:posOffset>-3813175</wp:posOffset>
                  </wp:positionV>
                  <wp:extent cx="6912610" cy="8180705"/>
                  <wp:effectExtent l="0" t="0" r="6350" b="3175"/>
                  <wp:wrapNone/>
                  <wp:docPr id="2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1.jpeg"/>
                          <pic:cNvPicPr>
                            <a:picLocks noChangeAspect="1"/>
                          </pic:cNvPicPr>
                        </pic:nvPicPr>
                        <pic:blipFill>
                          <a:blip r:embed="rId19" cstate="print"/>
                          <a:stretch>
                            <a:fillRect/>
                          </a:stretch>
                        </pic:blipFill>
                        <pic:spPr>
                          <a:xfrm>
                            <a:off x="0" y="0"/>
                            <a:ext cx="6912610" cy="8180705"/>
                          </a:xfrm>
                          <a:prstGeom prst="rect">
                            <a:avLst/>
                          </a:prstGeom>
                        </pic:spPr>
                      </pic:pic>
                    </a:graphicData>
                  </a:graphic>
                </wp:anchor>
              </w:drawing>
            </w:r>
            <w:r>
              <w:drawing>
                <wp:inline distT="0" distB="0" distL="114300" distR="114300">
                  <wp:extent cx="2345690" cy="1727835"/>
                  <wp:effectExtent l="0" t="0" r="16510" b="5715"/>
                  <wp:docPr id="1" name="图片 1" descr="7838e7e6fd54aec4d0342ebb95bf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38e7e6fd54aec4d0342ebb95bf903"/>
                          <pic:cNvPicPr>
                            <a:picLocks noChangeAspect="1"/>
                          </pic:cNvPicPr>
                        </pic:nvPicPr>
                        <pic:blipFill>
                          <a:blip r:embed="rId20"/>
                          <a:srcRect t="20736" b="8516"/>
                          <a:stretch>
                            <a:fillRect/>
                          </a:stretch>
                        </pic:blipFill>
                        <pic:spPr>
                          <a:xfrm>
                            <a:off x="0" y="0"/>
                            <a:ext cx="2345690" cy="1727835"/>
                          </a:xfrm>
                          <a:prstGeom prst="rect">
                            <a:avLst/>
                          </a:prstGeom>
                        </pic:spPr>
                      </pic:pic>
                    </a:graphicData>
                  </a:graphic>
                </wp:inline>
              </w:drawing>
            </w:r>
          </w:p>
        </w:tc>
        <w:tc>
          <w:tcPr>
            <w:tcW w:w="4778" w:type="dxa"/>
            <w:tcBorders>
              <w:top w:val="nil"/>
              <w:left w:val="nil"/>
              <w:bottom w:val="nil"/>
              <w:right w:val="nil"/>
            </w:tcBorders>
          </w:tcPr>
          <w:p>
            <w:pPr>
              <w:widowControl/>
              <w:spacing w:line="240" w:lineRule="auto"/>
              <w:ind w:firstLine="0" w:firstLineChars="0"/>
            </w:pPr>
            <w:r>
              <w:rPr>
                <w:rFonts w:hint="eastAsia" w:ascii="Times New Roman" w:hAnsi="Times New Roman"/>
                <w:b/>
                <w:szCs w:val="32"/>
              </w:rPr>
              <w:drawing>
                <wp:inline distT="0" distB="0" distL="114300" distR="114300">
                  <wp:extent cx="2398395" cy="1727835"/>
                  <wp:effectExtent l="0" t="0" r="1905" b="5715"/>
                  <wp:docPr id="3" name="图片 3" descr="72564510c2e7113c4e012c4e4ac8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2564510c2e7113c4e012c4e4ac8c84"/>
                          <pic:cNvPicPr>
                            <a:picLocks noChangeAspect="1"/>
                          </pic:cNvPicPr>
                        </pic:nvPicPr>
                        <pic:blipFill>
                          <a:blip r:embed="rId21"/>
                          <a:srcRect t="19038" b="6346"/>
                          <a:stretch>
                            <a:fillRect/>
                          </a:stretch>
                        </pic:blipFill>
                        <pic:spPr>
                          <a:xfrm>
                            <a:off x="0" y="0"/>
                            <a:ext cx="2398395" cy="1727835"/>
                          </a:xfrm>
                          <a:prstGeom prst="rect">
                            <a:avLst/>
                          </a:prstGeom>
                        </pic:spPr>
                      </pic:pic>
                    </a:graphicData>
                  </a:graphic>
                </wp:inline>
              </w:drawing>
            </w:r>
          </w:p>
        </w:tc>
      </w:tr>
    </w:tbl>
    <w:p>
      <w:pPr>
        <w:widowControl/>
        <w:spacing w:line="240" w:lineRule="auto"/>
        <w:ind w:firstLine="0" w:firstLineChars="0"/>
        <w:jc w:val="center"/>
        <w:rPr>
          <w:rFonts w:hint="eastAsia"/>
        </w:rPr>
      </w:pPr>
      <w:r>
        <w:rPr>
          <w:rFonts w:hint="eastAsia"/>
        </w:rPr>
        <w:t>改造后的小区照片</w:t>
      </w:r>
    </w:p>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kern w:val="0"/>
          <w:sz w:val="31"/>
          <w:szCs w:val="31"/>
          <w:lang w:val="en-US" w:eastAsia="zh-CN" w:bidi="ar"/>
        </w:rPr>
      </w:pPr>
      <w:r>
        <w:rPr>
          <w:rFonts w:hint="eastAsia" w:ascii="Times New Roman" w:hAnsi="Times New Roman" w:cs="Times New Roman"/>
          <w:szCs w:val="32"/>
          <w:lang w:eastAsia="zh-CN"/>
        </w:rPr>
        <w:t>（</w:t>
      </w:r>
      <w:r>
        <w:rPr>
          <w:rFonts w:hint="eastAsia" w:ascii="Times New Roman" w:hAnsi="Times New Roman" w:cs="Times New Roman"/>
          <w:szCs w:val="32"/>
          <w:lang w:val="en-US" w:eastAsia="zh-CN"/>
        </w:rPr>
        <w:t>二</w:t>
      </w:r>
      <w:r>
        <w:rPr>
          <w:rFonts w:hint="eastAsia" w:ascii="Times New Roman" w:hAnsi="Times New Roman" w:cs="Times New Roman"/>
          <w:szCs w:val="32"/>
          <w:lang w:eastAsia="zh-CN"/>
        </w:rPr>
        <w:t>）</w:t>
      </w:r>
      <w:r>
        <w:rPr>
          <w:rFonts w:hint="eastAsia" w:ascii="Times New Roman" w:hAnsi="Times New Roman" w:cs="Times New Roman"/>
          <w:szCs w:val="32"/>
          <w:lang w:val="en-US" w:eastAsia="zh-CN"/>
        </w:rPr>
        <w:t>创新“</w:t>
      </w:r>
      <w:r>
        <w:rPr>
          <w:rFonts w:ascii="仿宋_GB2312" w:hAnsi="仿宋_GB2312" w:eastAsia="仿宋_GB2312" w:cs="仿宋_GB2312"/>
          <w:color w:val="000000"/>
          <w:kern w:val="0"/>
          <w:sz w:val="31"/>
          <w:szCs w:val="31"/>
          <w:lang w:val="en-US" w:eastAsia="zh-CN" w:bidi="ar"/>
        </w:rPr>
        <w:t>党建引领、多方联动，共建美好家园”的理念</w:t>
      </w:r>
      <w:r>
        <w:rPr>
          <w:rFonts w:hint="eastAsia" w:ascii="仿宋_GB2312" w:hAnsi="仿宋_GB2312" w:eastAsia="仿宋_GB2312" w:cs="仿宋_GB2312"/>
          <w:color w:val="000000"/>
          <w:kern w:val="0"/>
          <w:sz w:val="31"/>
          <w:szCs w:val="31"/>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left="0" w:leftChars="0" w:firstLine="620" w:firstLineChars="200"/>
        <w:jc w:val="both"/>
        <w:textAlignment w:val="auto"/>
        <w:rPr>
          <w:rFonts w:hint="default" w:ascii="Times New Roman" w:hAnsi="Times New Roman" w:eastAsia="仿宋_GB2312" w:cs="Times New Roman"/>
          <w:szCs w:val="32"/>
          <w:lang w:val="en-US" w:eastAsia="zh-CN"/>
        </w:rPr>
      </w:pPr>
      <w:r>
        <w:rPr>
          <w:rFonts w:ascii="仿宋_GB2312" w:hAnsi="仿宋_GB2312" w:eastAsia="仿宋_GB2312" w:cs="仿宋_GB2312"/>
          <w:color w:val="000000"/>
          <w:kern w:val="0"/>
          <w:sz w:val="31"/>
          <w:szCs w:val="31"/>
          <w:lang w:val="en-US" w:eastAsia="zh-CN" w:bidi="ar"/>
        </w:rPr>
        <w:t>市</w:t>
      </w:r>
      <w:r>
        <w:rPr>
          <w:rFonts w:hint="eastAsia" w:ascii="仿宋_GB2312" w:hAnsi="仿宋_GB2312" w:eastAsia="仿宋_GB2312" w:cs="仿宋_GB2312"/>
          <w:color w:val="000000"/>
          <w:kern w:val="0"/>
          <w:sz w:val="31"/>
          <w:szCs w:val="31"/>
          <w:lang w:val="en-US" w:eastAsia="zh-CN" w:bidi="ar"/>
        </w:rPr>
        <w:t>住建局创新</w:t>
      </w:r>
      <w:r>
        <w:rPr>
          <w:rFonts w:ascii="仿宋_GB2312" w:hAnsi="仿宋_GB2312" w:eastAsia="仿宋_GB2312" w:cs="仿宋_GB2312"/>
          <w:color w:val="000000"/>
          <w:kern w:val="0"/>
          <w:sz w:val="31"/>
          <w:szCs w:val="31"/>
          <w:lang w:val="en-US" w:eastAsia="zh-CN" w:bidi="ar"/>
        </w:rPr>
        <w:t>“党建引领、多方联动，共建美好家园”的理念，将党建引领贯穿全市老旧小区改造全过程，形成了“12345678”的梅州模式</w:t>
      </w:r>
      <w:r>
        <w:rPr>
          <w:rFonts w:hint="eastAsia" w:ascii="仿宋_GB2312" w:hAnsi="仿宋_GB2312" w:eastAsia="仿宋_GB2312" w:cs="仿宋_GB2312"/>
          <w:color w:val="000000"/>
          <w:kern w:val="0"/>
          <w:sz w:val="31"/>
          <w:szCs w:val="31"/>
          <w:lang w:val="en-US" w:eastAsia="zh-CN" w:bidi="ar"/>
        </w:rPr>
        <w:t>，</w:t>
      </w:r>
      <w:r>
        <w:rPr>
          <w:rFonts w:ascii="仿宋_GB2312" w:hAnsi="仿宋_GB2312" w:eastAsia="仿宋_GB2312" w:cs="仿宋_GB2312"/>
          <w:color w:val="000000"/>
          <w:kern w:val="0"/>
          <w:sz w:val="31"/>
          <w:szCs w:val="31"/>
          <w:lang w:val="en-US" w:eastAsia="zh-CN" w:bidi="ar"/>
        </w:rPr>
        <w:t>主要是：“1”是组建一个工作专班，“2”是党组织和党员“双报到、双服务”，“3”是“三 同步”，“4”是四级联动组织框架，“5”是建立五支先锋队， “6”是做好“六个一”，“7”是创新“党建+”七种工作模式，“8”是党员“八带头”作用</w:t>
      </w:r>
      <w:r>
        <w:rPr>
          <w:rFonts w:hint="eastAsia" w:ascii="仿宋_GB2312" w:hAnsi="仿宋_GB2312" w:eastAsia="仿宋_GB2312" w:cs="仿宋_GB2312"/>
          <w:color w:val="000000"/>
          <w:kern w:val="0"/>
          <w:sz w:val="31"/>
          <w:szCs w:val="31"/>
          <w:lang w:val="en-US" w:eastAsia="zh-CN" w:bidi="ar"/>
        </w:rPr>
        <w:t>，被广东省住房和城乡建设厅作为可复制、可推广的政策机制供广东省各市城镇老旧小区改造主管部门学习借鉴。</w:t>
      </w:r>
    </w:p>
    <w:p>
      <w:pPr>
        <w:widowControl/>
        <w:spacing w:line="240" w:lineRule="auto"/>
        <w:ind w:firstLine="0" w:firstLineChars="0"/>
        <w:jc w:val="center"/>
        <w:rPr>
          <w:rFonts w:hint="eastAsia"/>
        </w:rPr>
      </w:pPr>
    </w:p>
    <w:bookmarkEnd w:id="57"/>
    <w:p>
      <w:pPr>
        <w:spacing w:line="360" w:lineRule="auto"/>
        <w:ind w:firstLine="640"/>
        <w:outlineLvl w:val="0"/>
        <w:rPr>
          <w:rFonts w:ascii="Times New Roman" w:hAnsi="Times New Roman" w:eastAsia="黑体"/>
        </w:rPr>
      </w:pPr>
      <w:bookmarkStart w:id="58" w:name="_Toc25914"/>
      <w:r>
        <w:rPr>
          <w:rFonts w:hint="eastAsia" w:ascii="Times New Roman" w:hAnsi="Times New Roman" w:eastAsia="黑体"/>
        </w:rPr>
        <w:t>五、存在主要问题</w:t>
      </w:r>
      <w:bookmarkEnd w:id="58"/>
    </w:p>
    <w:p>
      <w:pPr>
        <w:pStyle w:val="3"/>
        <w:keepNext w:val="0"/>
        <w:keepLines w:val="0"/>
        <w:spacing w:line="360" w:lineRule="auto"/>
        <w:ind w:firstLine="641"/>
        <w:rPr>
          <w:rFonts w:ascii="Times New Roman" w:hAnsi="Times New Roman"/>
        </w:rPr>
      </w:pPr>
      <w:bookmarkStart w:id="59" w:name="_Toc707"/>
      <w:bookmarkStart w:id="60" w:name="_Toc3295"/>
      <w:r>
        <w:rPr>
          <w:rFonts w:hint="eastAsia" w:ascii="Times New Roman" w:hAnsi="Times New Roman"/>
        </w:rPr>
        <w:t>（一）项目保障措施欠完善。</w:t>
      </w:r>
      <w:bookmarkEnd w:id="59"/>
      <w:bookmarkEnd w:id="60"/>
    </w:p>
    <w:p>
      <w:pPr>
        <w:spacing w:line="360" w:lineRule="auto"/>
        <w:ind w:firstLine="640"/>
        <w:rPr>
          <w:rFonts w:ascii="Times New Roman" w:hAnsi="Times New Roman"/>
          <w:b/>
          <w:bCs/>
          <w:szCs w:val="32"/>
        </w:rPr>
      </w:pPr>
      <w:r>
        <w:rPr>
          <w:rFonts w:hint="eastAsia" w:ascii="Times New Roman" w:hAnsi="Times New Roman" w:cs="仿宋_GB2312"/>
          <w:szCs w:val="32"/>
        </w:rPr>
        <w:t>市住建局提供了《梅州市城镇老旧小区改造试点工作方案》，但该方案试点时间为2020年5月至2020年12月；2021年9月梅州市住房和城乡建设局将《关于征求&lt;梅州市城镇老旧小区改造建设技术指引（征求意见稿）&gt;意见的函》印发相关单位征求意见，2022年1月《梅州市城镇老旧小区改造建设技术指引》通过专家评审。项目实施保障性不足，作为涉及多参与部门、多实施单位、多资金渠道、多改造建设点的民生项目，缺乏系统性、连续性、及时性的项目管理制度或办法，难以保障项目目标实现。</w:t>
      </w:r>
    </w:p>
    <w:p>
      <w:pPr>
        <w:pStyle w:val="3"/>
        <w:keepNext w:val="0"/>
        <w:keepLines w:val="0"/>
        <w:spacing w:line="360" w:lineRule="auto"/>
        <w:ind w:firstLine="641"/>
        <w:rPr>
          <w:rFonts w:ascii="Times New Roman" w:hAnsi="Times New Roman"/>
        </w:rPr>
      </w:pPr>
      <w:bookmarkStart w:id="61" w:name="_Toc805"/>
      <w:bookmarkStart w:id="62" w:name="_Toc21110"/>
      <w:r>
        <w:rPr>
          <w:rFonts w:hint="eastAsia" w:ascii="Times New Roman" w:hAnsi="Times New Roman"/>
        </w:rPr>
        <w:t>（二）项目资金支出进度滞后，</w:t>
      </w:r>
      <w:r>
        <w:rPr>
          <w:rFonts w:hint="eastAsia" w:ascii="Times New Roman" w:hAnsi="Times New Roman"/>
          <w:lang w:val="en-US" w:eastAsia="zh-CN"/>
        </w:rPr>
        <w:t>资金支出及会计核算</w:t>
      </w:r>
      <w:r>
        <w:rPr>
          <w:rFonts w:hint="eastAsia" w:ascii="Times New Roman" w:hAnsi="Times New Roman"/>
        </w:rPr>
        <w:t>规范性不足。</w:t>
      </w:r>
      <w:bookmarkEnd w:id="61"/>
      <w:bookmarkEnd w:id="62"/>
    </w:p>
    <w:p>
      <w:pPr>
        <w:spacing w:line="360" w:lineRule="auto"/>
        <w:ind w:firstLine="641"/>
        <w:rPr>
          <w:rFonts w:ascii="Times New Roman" w:hAnsi="Times New Roman" w:cs="仿宋_GB2312"/>
          <w:szCs w:val="32"/>
        </w:rPr>
      </w:pPr>
      <w:r>
        <w:rPr>
          <w:rFonts w:hint="eastAsia" w:ascii="Times New Roman" w:hAnsi="Times New Roman"/>
          <w:b/>
          <w:bCs/>
          <w:szCs w:val="32"/>
        </w:rPr>
        <w:t>一是</w:t>
      </w:r>
      <w:r>
        <w:rPr>
          <w:rFonts w:hint="eastAsia" w:ascii="Times New Roman" w:hAnsi="Times New Roman"/>
          <w:bCs/>
          <w:szCs w:val="32"/>
        </w:rPr>
        <w:t>项目资金支出进度滞后。</w:t>
      </w:r>
      <w:r>
        <w:rPr>
          <w:rFonts w:hint="eastAsia" w:ascii="Times New Roman" w:hAnsi="Times New Roman"/>
          <w:szCs w:val="32"/>
          <w:lang w:eastAsia="zh-CN"/>
        </w:rPr>
        <w:t>截至</w:t>
      </w:r>
      <w:r>
        <w:rPr>
          <w:rFonts w:hint="eastAsia" w:ascii="Times New Roman" w:hAnsi="Times New Roman"/>
          <w:szCs w:val="32"/>
        </w:rPr>
        <w:t>评价基准日，</w:t>
      </w:r>
      <w:r>
        <w:rPr>
          <w:rFonts w:hint="eastAsia" w:ascii="Times New Roman" w:hAnsi="Times New Roman" w:cs="仿宋_GB2312"/>
          <w:szCs w:val="32"/>
        </w:rPr>
        <w:t>中央、省级财政统筹安排项目资金累计24,762.30万元，资金累计支出金额约为9,638.75万元，资金支出率仅为38.93%，资金支出进度严重滞后</w:t>
      </w:r>
      <w:r>
        <w:rPr>
          <w:rFonts w:ascii="Times New Roman" w:hAnsi="Times New Roman"/>
          <w:szCs w:val="32"/>
        </w:rPr>
        <w:t>。其中</w:t>
      </w:r>
      <w:r>
        <w:rPr>
          <w:rFonts w:hint="eastAsia" w:ascii="Times New Roman" w:hAnsi="Times New Roman"/>
          <w:szCs w:val="32"/>
        </w:rPr>
        <w:t>兴宁市2021年收到下达资金10,794.03万元，支出金额约为3,318.63万元，资金支出率为30.75%；五华县2021年收到下达资金3,256.43万元，支出金额约为1,186.41万元，资金支出率为36.43%，支出进度缓慢。</w:t>
      </w:r>
    </w:p>
    <w:p>
      <w:pPr>
        <w:spacing w:line="360" w:lineRule="auto"/>
        <w:ind w:firstLine="641"/>
        <w:rPr>
          <w:rFonts w:ascii="Times New Roman" w:hAnsi="Times New Roman"/>
          <w:szCs w:val="32"/>
        </w:rPr>
      </w:pPr>
      <w:r>
        <w:rPr>
          <w:rFonts w:hint="eastAsia" w:ascii="Times New Roman" w:hAnsi="Times New Roman"/>
          <w:b/>
          <w:szCs w:val="32"/>
          <w:lang w:val="en-US" w:eastAsia="zh-CN"/>
        </w:rPr>
        <w:t>二</w:t>
      </w:r>
      <w:r>
        <w:rPr>
          <w:rFonts w:hint="eastAsia" w:ascii="Times New Roman" w:hAnsi="Times New Roman"/>
          <w:b/>
          <w:szCs w:val="32"/>
        </w:rPr>
        <w:t>是</w:t>
      </w:r>
      <w:r>
        <w:rPr>
          <w:rFonts w:hint="eastAsia" w:ascii="Times New Roman" w:hAnsi="Times New Roman"/>
          <w:szCs w:val="32"/>
        </w:rPr>
        <w:t>会计核算规范性不足。部分实施单位未及时根据业务进度进行会计核算，如：梅县区住房和城乡建设局，</w:t>
      </w:r>
      <w:r>
        <w:rPr>
          <w:rFonts w:hint="eastAsia" w:ascii="Times New Roman" w:hAnsi="Times New Roman"/>
          <w:szCs w:val="32"/>
          <w:lang w:eastAsia="zh-CN"/>
        </w:rPr>
        <w:t>截至</w:t>
      </w:r>
      <w:r>
        <w:rPr>
          <w:rFonts w:hint="eastAsia" w:ascii="Times New Roman" w:hAnsi="Times New Roman"/>
          <w:szCs w:val="32"/>
        </w:rPr>
        <w:t>评价基准日，仍未编制2021年度城镇老旧小区改造项目支出的相应记账凭证。</w:t>
      </w:r>
    </w:p>
    <w:p>
      <w:pPr>
        <w:pStyle w:val="3"/>
        <w:spacing w:line="360" w:lineRule="auto"/>
        <w:ind w:firstLine="641"/>
        <w:rPr>
          <w:rFonts w:ascii="Times New Roman" w:hAnsi="Times New Roman" w:cs="仿宋_GB2312"/>
          <w:sz w:val="28"/>
        </w:rPr>
      </w:pPr>
      <w:bookmarkStart w:id="63" w:name="_Toc21049"/>
      <w:bookmarkStart w:id="64" w:name="_Toc3752"/>
      <w:r>
        <w:rPr>
          <w:rFonts w:hint="eastAsia" w:ascii="Times New Roman" w:hAnsi="Times New Roman"/>
        </w:rPr>
        <w:t>（三）项目实施规范性有待提高。</w:t>
      </w:r>
      <w:bookmarkEnd w:id="63"/>
      <w:bookmarkEnd w:id="64"/>
    </w:p>
    <w:p>
      <w:pPr>
        <w:spacing w:line="360" w:lineRule="auto"/>
        <w:ind w:firstLine="641"/>
        <w:jc w:val="left"/>
        <w:rPr>
          <w:rFonts w:ascii="Times New Roman" w:hAnsi="Times New Roman"/>
          <w:b/>
          <w:bCs/>
          <w:szCs w:val="32"/>
        </w:rPr>
      </w:pPr>
      <w:r>
        <w:rPr>
          <w:rFonts w:hint="eastAsia" w:ascii="Times New Roman" w:hAnsi="Times New Roman" w:cs="仿宋_GB2312"/>
          <w:b/>
          <w:bCs/>
          <w:szCs w:val="32"/>
        </w:rPr>
        <w:t>一是</w:t>
      </w:r>
      <w:r>
        <w:rPr>
          <w:rFonts w:hint="eastAsia" w:ascii="Times New Roman" w:hAnsi="Times New Roman" w:cs="仿宋_GB2312"/>
          <w:szCs w:val="32"/>
        </w:rPr>
        <w:t>项目部分工程实施欠规范。根据梅江区西阳镇人民政府提供的施工现场相关图片，发现花池改造项目现场未按规定进行围蔽、未立安全警示牌，该施工未严格执行安全文明施工措施，存在一定的安全隐患，施工建设仍欠规范。</w:t>
      </w:r>
    </w:p>
    <w:p>
      <w:pPr>
        <w:spacing w:after="120" w:afterLines="50" w:line="360" w:lineRule="auto"/>
        <w:ind w:firstLine="0" w:firstLineChars="0"/>
        <w:jc w:val="center"/>
        <w:rPr>
          <w:rFonts w:ascii="Times New Roman" w:hAnsi="Times New Roman"/>
          <w:bCs/>
          <w:sz w:val="28"/>
          <w:szCs w:val="32"/>
        </w:rPr>
      </w:pPr>
      <w:r>
        <w:rPr>
          <w:rFonts w:hint="eastAsia" w:ascii="Times New Roman" w:hAnsi="Times New Roman"/>
          <w:bCs/>
          <w:sz w:val="28"/>
          <w:szCs w:val="32"/>
        </w:rPr>
        <w:drawing>
          <wp:inline distT="0" distB="0" distL="114300" distR="114300">
            <wp:extent cx="3419475" cy="2503805"/>
            <wp:effectExtent l="0" t="0" r="9525" b="10795"/>
            <wp:docPr id="17" name="图片 17" descr="900b1fb1d992e8ceafa1d1798e7a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00b1fb1d992e8ceafa1d1798e7a8db"/>
                    <pic:cNvPicPr>
                      <a:picLocks noChangeAspect="1"/>
                    </pic:cNvPicPr>
                  </pic:nvPicPr>
                  <pic:blipFill>
                    <a:blip r:embed="rId22"/>
                    <a:stretch>
                      <a:fillRect/>
                    </a:stretch>
                  </pic:blipFill>
                  <pic:spPr>
                    <a:xfrm>
                      <a:off x="0" y="0"/>
                      <a:ext cx="3419475" cy="2503805"/>
                    </a:xfrm>
                    <a:prstGeom prst="rect">
                      <a:avLst/>
                    </a:prstGeom>
                  </pic:spPr>
                </pic:pic>
              </a:graphicData>
            </a:graphic>
          </wp:inline>
        </w:drawing>
      </w:r>
    </w:p>
    <w:p>
      <w:pPr>
        <w:spacing w:after="120" w:afterLines="50" w:line="360" w:lineRule="auto"/>
        <w:ind w:firstLine="0" w:firstLineChars="0"/>
        <w:jc w:val="center"/>
        <w:rPr>
          <w:rFonts w:ascii="Times New Roman" w:hAnsi="Times New Roman"/>
          <w:bCs/>
          <w:sz w:val="28"/>
          <w:szCs w:val="32"/>
        </w:rPr>
      </w:pPr>
      <w:r>
        <w:rPr>
          <w:rFonts w:hint="eastAsia" w:ascii="Times New Roman" w:hAnsi="Times New Roman"/>
          <w:bCs/>
          <w:sz w:val="28"/>
          <w:szCs w:val="32"/>
        </w:rPr>
        <w:t>施工中未进行任何围蔽</w:t>
      </w:r>
    </w:p>
    <w:p>
      <w:pPr>
        <w:spacing w:line="360" w:lineRule="auto"/>
        <w:ind w:firstLine="641"/>
        <w:rPr>
          <w:rFonts w:ascii="Times New Roman" w:hAnsi="Times New Roman" w:cs="仿宋_GB2312"/>
          <w:bCs/>
          <w:szCs w:val="32"/>
        </w:rPr>
      </w:pPr>
      <w:r>
        <w:rPr>
          <w:rFonts w:hint="eastAsia" w:ascii="Times New Roman" w:hAnsi="Times New Roman" w:cs="仿宋_GB2312"/>
          <w:b/>
          <w:bCs/>
          <w:szCs w:val="32"/>
          <w:lang w:val="en-US" w:eastAsia="zh-CN"/>
        </w:rPr>
        <w:t>二</w:t>
      </w:r>
      <w:r>
        <w:rPr>
          <w:rFonts w:hint="eastAsia" w:ascii="Times New Roman" w:hAnsi="Times New Roman" w:cs="仿宋_GB2312"/>
          <w:b/>
          <w:bCs/>
          <w:szCs w:val="32"/>
        </w:rPr>
        <w:t>是</w:t>
      </w:r>
      <w:r>
        <w:rPr>
          <w:rFonts w:hint="eastAsia" w:ascii="Times New Roman" w:hAnsi="Times New Roman" w:cs="仿宋_GB2312"/>
          <w:bCs/>
          <w:szCs w:val="32"/>
        </w:rPr>
        <w:t>监控管理成效不</w:t>
      </w:r>
      <w:r>
        <w:rPr>
          <w:rFonts w:hint="eastAsia" w:ascii="Times New Roman" w:hAnsi="Times New Roman" w:cs="仿宋_GB2312"/>
          <w:bCs/>
          <w:szCs w:val="32"/>
          <w:lang w:val="en-US" w:eastAsia="zh-CN"/>
        </w:rPr>
        <w:t>够</w:t>
      </w:r>
      <w:r>
        <w:rPr>
          <w:rFonts w:hint="eastAsia" w:ascii="Times New Roman" w:hAnsi="Times New Roman" w:cs="仿宋_GB2312"/>
          <w:bCs/>
          <w:szCs w:val="32"/>
        </w:rPr>
        <w:t>明显。监管执行上，2021年9月24日，副市长调研梅州城区老旧小区改造和生活垃圾分类工作，实地了解老旧小区改造、生活垃圾分类试点等工作情况；丰顺县住房和城乡建设局2021年12月30日对单位工程进行监督检查，发现相关问题并下达建设工程质量整改情况报告书给施工单位，项目有开展一定的监管行动。但实际监控管理成效不</w:t>
      </w:r>
      <w:r>
        <w:rPr>
          <w:rFonts w:hint="eastAsia" w:ascii="Times New Roman" w:hAnsi="Times New Roman" w:cs="仿宋_GB2312"/>
          <w:bCs/>
          <w:szCs w:val="32"/>
          <w:lang w:val="en-US" w:eastAsia="zh-CN"/>
        </w:rPr>
        <w:t>够</w:t>
      </w:r>
      <w:r>
        <w:rPr>
          <w:rFonts w:hint="eastAsia" w:ascii="Times New Roman" w:hAnsi="Times New Roman" w:cs="仿宋_GB2312"/>
          <w:bCs/>
          <w:szCs w:val="32"/>
        </w:rPr>
        <w:t>明显，共9个实施单位，</w:t>
      </w:r>
      <w:r>
        <w:rPr>
          <w:rFonts w:hint="eastAsia" w:ascii="Times New Roman" w:hAnsi="Times New Roman" w:cs="仿宋_GB2312"/>
          <w:bCs/>
          <w:szCs w:val="32"/>
          <w:lang w:eastAsia="zh-CN"/>
        </w:rPr>
        <w:t>截至</w:t>
      </w:r>
      <w:r>
        <w:rPr>
          <w:rFonts w:hint="eastAsia" w:ascii="Times New Roman" w:hAnsi="Times New Roman" w:cs="仿宋_GB2312"/>
          <w:bCs/>
          <w:szCs w:val="32"/>
        </w:rPr>
        <w:t>评价基准日，仅3个实施单位100%支付完毕当年度下达资金，资金支付进度严重滞后。</w:t>
      </w:r>
    </w:p>
    <w:p>
      <w:pPr>
        <w:pStyle w:val="3"/>
        <w:spacing w:line="360" w:lineRule="auto"/>
        <w:ind w:firstLine="641"/>
        <w:rPr>
          <w:rFonts w:ascii="Times New Roman" w:hAnsi="Times New Roman"/>
        </w:rPr>
      </w:pPr>
      <w:bookmarkStart w:id="65" w:name="_Toc21598"/>
      <w:bookmarkStart w:id="66" w:name="_Toc8899"/>
      <w:r>
        <w:rPr>
          <w:rFonts w:hint="eastAsia" w:ascii="Times New Roman" w:hAnsi="Times New Roman"/>
        </w:rPr>
        <w:t>（四）老旧小区改造后长效作用与后续维护管理机制待加强。</w:t>
      </w:r>
      <w:bookmarkEnd w:id="65"/>
      <w:bookmarkEnd w:id="66"/>
    </w:p>
    <w:p>
      <w:pPr>
        <w:spacing w:line="360" w:lineRule="auto"/>
        <w:ind w:firstLine="640"/>
        <w:rPr>
          <w:rFonts w:ascii="Times New Roman" w:hAnsi="Times New Roman" w:cs="仿宋_GB2312"/>
          <w:bCs/>
          <w:szCs w:val="32"/>
        </w:rPr>
      </w:pPr>
      <w:r>
        <w:rPr>
          <w:rFonts w:hint="eastAsia" w:ascii="Times New Roman" w:hAnsi="Times New Roman" w:cs="仿宋_GB2312"/>
          <w:bCs/>
          <w:szCs w:val="32"/>
        </w:rPr>
        <w:t>项目实施一定时期内能够产生提高居民获得感、幸福感的效果，但根据调查问卷显示“</w:t>
      </w:r>
      <w:r>
        <w:rPr>
          <w:rFonts w:hint="eastAsia"/>
        </w:rPr>
        <w:t>沙井盖有部分坏了应更换</w:t>
      </w:r>
      <w:r>
        <w:rPr>
          <w:rFonts w:hint="eastAsia" w:ascii="Times New Roman" w:hAnsi="Times New Roman" w:cs="仿宋_GB2312"/>
          <w:bCs/>
          <w:szCs w:val="32"/>
        </w:rPr>
        <w:t>”，项目后续管理有待提高，应建立改造后的常态维护管理制度。</w:t>
      </w:r>
    </w:p>
    <w:p>
      <w:pPr>
        <w:spacing w:line="360" w:lineRule="auto"/>
        <w:ind w:firstLine="640"/>
        <w:outlineLvl w:val="0"/>
        <w:rPr>
          <w:rFonts w:ascii="Times New Roman" w:hAnsi="Times New Roman" w:eastAsia="黑体"/>
        </w:rPr>
      </w:pPr>
      <w:bookmarkStart w:id="67" w:name="_Toc11398"/>
      <w:r>
        <w:rPr>
          <w:rFonts w:hint="eastAsia" w:ascii="Times New Roman" w:hAnsi="Times New Roman" w:eastAsia="黑体"/>
        </w:rPr>
        <w:t>六、相关建议</w:t>
      </w:r>
      <w:bookmarkEnd w:id="67"/>
    </w:p>
    <w:p>
      <w:pPr>
        <w:pStyle w:val="3"/>
        <w:keepNext w:val="0"/>
        <w:keepLines w:val="0"/>
        <w:spacing w:line="360" w:lineRule="auto"/>
        <w:ind w:firstLine="641"/>
        <w:rPr>
          <w:rFonts w:ascii="Times New Roman" w:hAnsi="Times New Roman"/>
        </w:rPr>
      </w:pPr>
      <w:bookmarkStart w:id="68" w:name="_Toc32157"/>
      <w:bookmarkStart w:id="69" w:name="_Toc16141"/>
      <w:r>
        <w:rPr>
          <w:rFonts w:hint="eastAsia" w:ascii="Times New Roman" w:hAnsi="Times New Roman"/>
        </w:rPr>
        <w:t>（一）完善项目相关管理制度，加强改造项目实施保障。</w:t>
      </w:r>
      <w:bookmarkEnd w:id="68"/>
      <w:bookmarkEnd w:id="69"/>
    </w:p>
    <w:p>
      <w:pPr>
        <w:spacing w:line="360" w:lineRule="auto"/>
        <w:ind w:firstLine="641"/>
        <w:rPr>
          <w:rFonts w:ascii="Times New Roman" w:hAnsi="Times New Roman"/>
          <w:b/>
          <w:bCs/>
          <w:szCs w:val="32"/>
        </w:rPr>
      </w:pPr>
      <w:r>
        <w:rPr>
          <w:rFonts w:hint="eastAsia" w:ascii="Times New Roman" w:hAnsi="Times New Roman"/>
          <w:b/>
          <w:bCs/>
          <w:szCs w:val="32"/>
        </w:rPr>
        <w:t>1.及时制定项目相关管理制度，加强项目实施保障。</w:t>
      </w:r>
    </w:p>
    <w:p>
      <w:pPr>
        <w:spacing w:line="360" w:lineRule="auto"/>
        <w:ind w:firstLine="641"/>
        <w:rPr>
          <w:rFonts w:ascii="Times New Roman" w:hAnsi="Times New Roman" w:cs="仿宋_GB2312"/>
          <w:szCs w:val="32"/>
        </w:rPr>
      </w:pPr>
      <w:r>
        <w:rPr>
          <w:rFonts w:hint="eastAsia" w:ascii="Times New Roman" w:hAnsi="Times New Roman" w:cs="仿宋_GB2312"/>
          <w:b/>
          <w:szCs w:val="32"/>
        </w:rPr>
        <w:t>一是</w:t>
      </w:r>
      <w:r>
        <w:rPr>
          <w:rFonts w:hint="eastAsia" w:ascii="Times New Roman" w:hAnsi="Times New Roman" w:cs="仿宋_GB2312"/>
          <w:szCs w:val="32"/>
        </w:rPr>
        <w:t>在充分摸底调查基础上制定系统全面的项目保障制度或措施。城镇老旧小区改造项目作为涉及多参与部门、多实施单位、多资金渠道、多改造项目的民生项目，建议市住建局在进行充分摸底调查基础上，与相关部门如市发改局、各县区人民政府等联合进行科学研判，制定系统全面的项目保障措施或制度，如项目专项资金管理制度或办法、项目进度及质量管理制度、项目问效问责监管制度、项目绩效评价办法、项目开发及后续管理制度等以保障项目资金、进度、质量、成效等问题的有效解决，促进项目目标实现。</w:t>
      </w:r>
    </w:p>
    <w:p>
      <w:pPr>
        <w:spacing w:line="360" w:lineRule="auto"/>
        <w:ind w:firstLine="641"/>
        <w:rPr>
          <w:rFonts w:ascii="Times New Roman" w:hAnsi="Times New Roman"/>
          <w:b/>
          <w:bCs/>
          <w:szCs w:val="32"/>
        </w:rPr>
      </w:pPr>
      <w:r>
        <w:rPr>
          <w:rFonts w:hint="eastAsia" w:ascii="Times New Roman" w:hAnsi="Times New Roman"/>
          <w:b/>
          <w:bCs/>
          <w:szCs w:val="32"/>
        </w:rPr>
        <w:t>2.提升绩效管理意识，制定年度绩效目标和指标。</w:t>
      </w:r>
    </w:p>
    <w:p>
      <w:pPr>
        <w:spacing w:line="360" w:lineRule="auto"/>
        <w:ind w:firstLine="640"/>
        <w:rPr>
          <w:rFonts w:ascii="Times New Roman" w:hAnsi="Times New Roman"/>
          <w:szCs w:val="32"/>
          <w:highlight w:val="yellow"/>
        </w:rPr>
      </w:pPr>
      <w:r>
        <w:rPr>
          <w:rFonts w:hint="eastAsia" w:ascii="Times New Roman" w:hAnsi="Times New Roman" w:cs="仿宋_GB2312"/>
          <w:bCs/>
          <w:szCs w:val="32"/>
        </w:rPr>
        <w:t>建议市住建局作为牵头单位督促、指导各县区实施单位加强绩效管理意识，合理设置各县区项目的预期阶段性目标，明确产出数量、质量、成本、时效及效果，设置符合客观实际的绩效指标，并能够积极开展项目内部的绩效评价或绩效运行监控，落实中央或省有关专项资金管理办法的要求。</w:t>
      </w:r>
    </w:p>
    <w:p>
      <w:pPr>
        <w:pStyle w:val="3"/>
        <w:keepNext w:val="0"/>
        <w:keepLines w:val="0"/>
        <w:spacing w:line="360" w:lineRule="auto"/>
        <w:ind w:firstLine="641"/>
        <w:rPr>
          <w:rFonts w:ascii="Times New Roman" w:hAnsi="Times New Roman"/>
        </w:rPr>
      </w:pPr>
      <w:bookmarkStart w:id="70" w:name="_Toc21046"/>
      <w:bookmarkStart w:id="71" w:name="_Toc28893"/>
      <w:r>
        <w:rPr>
          <w:rFonts w:hint="eastAsia" w:ascii="Times New Roman" w:hAnsi="Times New Roman"/>
        </w:rPr>
        <w:t>（二）规范资金支出管理，加强</w:t>
      </w:r>
      <w:r>
        <w:rPr>
          <w:rFonts w:hint="eastAsia" w:ascii="Times New Roman" w:hAnsi="Times New Roman"/>
          <w:lang w:val="en-US" w:eastAsia="zh-CN"/>
        </w:rPr>
        <w:t>改造过程</w:t>
      </w:r>
      <w:r>
        <w:rPr>
          <w:rFonts w:hint="eastAsia" w:ascii="Times New Roman" w:hAnsi="Times New Roman"/>
        </w:rPr>
        <w:t>的有效监管。</w:t>
      </w:r>
      <w:bookmarkEnd w:id="70"/>
      <w:bookmarkEnd w:id="71"/>
    </w:p>
    <w:p>
      <w:pPr>
        <w:spacing w:line="360" w:lineRule="auto"/>
        <w:ind w:firstLine="641"/>
        <w:rPr>
          <w:rFonts w:ascii="Times New Roman" w:hAnsi="Times New Roman"/>
          <w:b/>
          <w:szCs w:val="32"/>
        </w:rPr>
      </w:pPr>
      <w:r>
        <w:rPr>
          <w:rFonts w:hint="eastAsia" w:ascii="Times New Roman" w:hAnsi="Times New Roman"/>
          <w:b/>
          <w:szCs w:val="32"/>
        </w:rPr>
        <w:t>1.规范资金支出管理</w:t>
      </w:r>
    </w:p>
    <w:p>
      <w:pPr>
        <w:spacing w:line="360" w:lineRule="auto"/>
        <w:ind w:firstLine="640"/>
        <w:rPr>
          <w:rFonts w:ascii="Times New Roman" w:hAnsi="Times New Roman" w:cs="仿宋_GB2312"/>
          <w:szCs w:val="32"/>
        </w:rPr>
      </w:pPr>
      <w:r>
        <w:rPr>
          <w:rFonts w:hint="eastAsia" w:ascii="Times New Roman" w:hAnsi="Times New Roman"/>
          <w:szCs w:val="32"/>
        </w:rPr>
        <w:t>规范资金支出进度。建议市住建局</w:t>
      </w:r>
      <w:r>
        <w:rPr>
          <w:rFonts w:hint="eastAsia" w:ascii="Times New Roman" w:hAnsi="Times New Roman" w:cs="仿宋_GB2312"/>
          <w:szCs w:val="32"/>
        </w:rPr>
        <w:t>对各个项目的资金支出进行摸底，</w:t>
      </w:r>
      <w:r>
        <w:rPr>
          <w:rFonts w:hint="eastAsia" w:ascii="Times New Roman" w:hAnsi="Times New Roman"/>
          <w:szCs w:val="32"/>
        </w:rPr>
        <w:t>收集了解目前实施项目的资金支付进度情况，排查未按合同要求支付工程款项的项目，</w:t>
      </w:r>
      <w:r>
        <w:rPr>
          <w:rFonts w:hint="eastAsia" w:ascii="Times New Roman" w:hAnsi="Times New Roman" w:cs="仿宋_GB2312"/>
          <w:szCs w:val="32"/>
        </w:rPr>
        <w:t>了解未按照工程进度支付完成款项的原因，</w:t>
      </w:r>
      <w:r>
        <w:rPr>
          <w:rFonts w:hint="eastAsia" w:ascii="Times New Roman" w:hAnsi="Times New Roman"/>
          <w:szCs w:val="32"/>
        </w:rPr>
        <w:t>督促</w:t>
      </w:r>
      <w:r>
        <w:rPr>
          <w:rFonts w:hint="eastAsia" w:ascii="Times New Roman" w:hAnsi="Times New Roman" w:cs="仿宋_GB2312"/>
          <w:szCs w:val="32"/>
        </w:rPr>
        <w:t>各县区实施单位按照合同要求、工程进度支付工程进度款，加快项目进度，尽快支付项目资金。</w:t>
      </w:r>
    </w:p>
    <w:p>
      <w:pPr>
        <w:spacing w:line="360" w:lineRule="auto"/>
        <w:ind w:firstLine="641"/>
        <w:rPr>
          <w:rFonts w:ascii="Times New Roman" w:hAnsi="Times New Roman"/>
          <w:b/>
          <w:szCs w:val="32"/>
        </w:rPr>
      </w:pPr>
      <w:r>
        <w:rPr>
          <w:rFonts w:hint="eastAsia" w:ascii="Times New Roman" w:hAnsi="Times New Roman"/>
          <w:b/>
          <w:szCs w:val="32"/>
        </w:rPr>
        <w:t>2.加强改造</w:t>
      </w:r>
      <w:r>
        <w:rPr>
          <w:rFonts w:hint="eastAsia" w:ascii="Times New Roman" w:hAnsi="Times New Roman"/>
          <w:b/>
          <w:szCs w:val="32"/>
          <w:lang w:val="en-US" w:eastAsia="zh-CN"/>
        </w:rPr>
        <w:t>过程</w:t>
      </w:r>
      <w:r>
        <w:rPr>
          <w:rFonts w:hint="eastAsia" w:ascii="Times New Roman" w:hAnsi="Times New Roman"/>
          <w:b/>
          <w:szCs w:val="32"/>
        </w:rPr>
        <w:t>的有效监管。</w:t>
      </w:r>
    </w:p>
    <w:p>
      <w:pPr>
        <w:spacing w:line="360" w:lineRule="auto"/>
        <w:ind w:firstLine="641"/>
        <w:rPr>
          <w:rFonts w:ascii="Times New Roman" w:hAnsi="Times New Roman"/>
          <w:szCs w:val="32"/>
        </w:rPr>
      </w:pPr>
      <w:r>
        <w:rPr>
          <w:rFonts w:hint="eastAsia" w:ascii="Times New Roman" w:hAnsi="Times New Roman" w:cs="仿宋_GB2312"/>
          <w:szCs w:val="32"/>
        </w:rPr>
        <w:t>规范改造工程实施程序。建议实施单位加强对工程施工建设、监理的监督管理，施工现场要严格执行安全文明施工措施、环保措施等，监理单位要落实好监理责任，对于违反相关措施、责任落实不到位的进行相应提醒警告、通报或费用扣减。</w:t>
      </w:r>
    </w:p>
    <w:p>
      <w:pPr>
        <w:pStyle w:val="3"/>
        <w:keepNext w:val="0"/>
        <w:keepLines w:val="0"/>
        <w:spacing w:line="360" w:lineRule="auto"/>
        <w:ind w:firstLine="641"/>
        <w:rPr>
          <w:rFonts w:ascii="Times New Roman" w:hAnsi="Times New Roman"/>
        </w:rPr>
      </w:pPr>
      <w:bookmarkStart w:id="72" w:name="_Toc27123"/>
      <w:bookmarkStart w:id="73" w:name="_Toc18950"/>
      <w:r>
        <w:rPr>
          <w:rFonts w:hint="eastAsia" w:ascii="Times New Roman" w:hAnsi="Times New Roman"/>
        </w:rPr>
        <w:t>（三）建立改造项目长效作用发挥与后续维护管理机制。</w:t>
      </w:r>
      <w:bookmarkEnd w:id="72"/>
      <w:bookmarkEnd w:id="73"/>
    </w:p>
    <w:p>
      <w:pPr>
        <w:spacing w:line="360" w:lineRule="auto"/>
        <w:ind w:firstLine="640"/>
        <w:rPr>
          <w:rFonts w:ascii="Times New Roman" w:hAnsi="Times New Roman"/>
          <w:szCs w:val="32"/>
        </w:rPr>
      </w:pPr>
      <w:bookmarkStart w:id="74" w:name="_Toc13663"/>
      <w:r>
        <w:rPr>
          <w:rFonts w:hint="eastAsia" w:ascii="Times New Roman" w:hAnsi="Times New Roman" w:cs="仿宋_GB2312"/>
          <w:bCs/>
          <w:szCs w:val="32"/>
        </w:rPr>
        <w:t>建立项目改造后的常态维护管理制度。建议市住建局牵头，与各实施单位或其他相关部门沟通探讨，制定在完成改造后对于如消防工程、下水井盖等关键工程内容的常态维护管理制度，明确维护的具体内容、维护频率、方式、费用开支标准或来源、责任分工等，保障改造工程长效作用的发挥。</w:t>
      </w:r>
    </w:p>
    <w:p>
      <w:pPr>
        <w:spacing w:line="360" w:lineRule="auto"/>
        <w:ind w:left="0" w:leftChars="0" w:firstLine="0" w:firstLineChars="0"/>
        <w:jc w:val="left"/>
        <w:rPr>
          <w:rFonts w:ascii="Times New Roman" w:hAnsi="Times New Roman"/>
          <w:szCs w:val="32"/>
        </w:rPr>
      </w:pPr>
    </w:p>
    <w:p>
      <w:pPr>
        <w:spacing w:line="360" w:lineRule="auto"/>
        <w:ind w:left="0" w:leftChars="0" w:firstLine="0" w:firstLineChars="0"/>
        <w:jc w:val="left"/>
        <w:rPr>
          <w:rFonts w:ascii="Times New Roman" w:hAnsi="Times New Roman"/>
          <w:szCs w:val="32"/>
        </w:rPr>
      </w:pPr>
    </w:p>
    <w:p>
      <w:pPr>
        <w:spacing w:line="360" w:lineRule="auto"/>
        <w:ind w:left="0" w:leftChars="0" w:firstLine="0" w:firstLineChars="0"/>
        <w:jc w:val="left"/>
        <w:rPr>
          <w:rFonts w:ascii="Times New Roman" w:hAnsi="Times New Roman"/>
          <w:szCs w:val="32"/>
        </w:rPr>
      </w:pPr>
    </w:p>
    <w:p>
      <w:pPr>
        <w:spacing w:line="360" w:lineRule="auto"/>
        <w:ind w:left="0" w:leftChars="0" w:firstLine="0" w:firstLineChars="0"/>
        <w:jc w:val="left"/>
        <w:rPr>
          <w:rFonts w:ascii="Times New Roman" w:hAnsi="Times New Roman"/>
          <w:szCs w:val="32"/>
        </w:rPr>
      </w:pPr>
    </w:p>
    <w:p>
      <w:pPr>
        <w:spacing w:line="360" w:lineRule="auto"/>
        <w:ind w:left="0" w:leftChars="0" w:firstLine="0" w:firstLineChars="0"/>
        <w:jc w:val="left"/>
        <w:rPr>
          <w:rFonts w:ascii="Times New Roman" w:hAnsi="Times New Roman"/>
          <w:szCs w:val="32"/>
        </w:rPr>
      </w:pPr>
    </w:p>
    <w:p>
      <w:pPr>
        <w:spacing w:line="360" w:lineRule="auto"/>
        <w:ind w:left="0" w:leftChars="0" w:firstLine="0" w:firstLineChars="0"/>
        <w:jc w:val="left"/>
        <w:rPr>
          <w:rFonts w:ascii="Times New Roman" w:hAnsi="Times New Roman"/>
          <w:szCs w:val="32"/>
        </w:rPr>
      </w:pPr>
    </w:p>
    <w:p>
      <w:pPr>
        <w:spacing w:line="360" w:lineRule="auto"/>
        <w:ind w:left="0" w:leftChars="0" w:firstLine="0" w:firstLineChars="0"/>
        <w:jc w:val="left"/>
        <w:rPr>
          <w:rFonts w:ascii="Times New Roman" w:hAnsi="Times New Roman"/>
          <w:szCs w:val="32"/>
        </w:rPr>
      </w:pPr>
    </w:p>
    <w:p>
      <w:pPr>
        <w:spacing w:line="360" w:lineRule="auto"/>
        <w:ind w:left="0" w:leftChars="0" w:firstLine="0" w:firstLineChars="0"/>
        <w:jc w:val="left"/>
        <w:rPr>
          <w:rFonts w:ascii="Times New Roman" w:hAnsi="Times New Roman"/>
          <w:szCs w:val="32"/>
        </w:rPr>
      </w:pPr>
    </w:p>
    <w:p>
      <w:pPr>
        <w:spacing w:line="360" w:lineRule="auto"/>
        <w:ind w:firstLine="640"/>
        <w:jc w:val="left"/>
        <w:rPr>
          <w:rFonts w:ascii="Times New Roman" w:hAnsi="Times New Roman"/>
          <w:szCs w:val="32"/>
        </w:rPr>
      </w:pPr>
      <w:r>
        <w:rPr>
          <w:rFonts w:ascii="Times New Roman" w:hAnsi="Times New Roman"/>
          <w:szCs w:val="32"/>
        </w:rPr>
        <w:t>附件</w:t>
      </w:r>
      <w:r>
        <w:rPr>
          <w:rFonts w:hint="eastAsia" w:ascii="Times New Roman" w:hAnsi="Times New Roman"/>
          <w:szCs w:val="32"/>
        </w:rPr>
        <w:t>：1</w:t>
      </w:r>
      <w:r>
        <w:rPr>
          <w:rFonts w:ascii="Times New Roman" w:hAnsi="Times New Roman"/>
          <w:szCs w:val="32"/>
        </w:rPr>
        <w:t>.</w:t>
      </w:r>
      <w:r>
        <w:rPr>
          <w:rFonts w:hint="eastAsia" w:ascii="Times New Roman" w:hAnsi="Times New Roman"/>
          <w:szCs w:val="32"/>
        </w:rPr>
        <w:t>绩效评价工作开展情况</w:t>
      </w:r>
      <w:bookmarkEnd w:id="74"/>
    </w:p>
    <w:p>
      <w:pPr>
        <w:widowControl/>
        <w:spacing w:line="360" w:lineRule="auto"/>
        <w:ind w:firstLine="1600" w:firstLineChars="500"/>
        <w:jc w:val="left"/>
        <w:rPr>
          <w:rFonts w:ascii="Times New Roman" w:hAnsi="Times New Roman"/>
          <w:szCs w:val="32"/>
        </w:rPr>
      </w:pPr>
      <w:r>
        <w:rPr>
          <w:rFonts w:hint="eastAsia" w:ascii="Times New Roman" w:hAnsi="Times New Roman"/>
          <w:szCs w:val="32"/>
        </w:rPr>
        <w:t>2</w:t>
      </w:r>
      <w:r>
        <w:rPr>
          <w:rFonts w:ascii="Times New Roman" w:hAnsi="Times New Roman"/>
          <w:szCs w:val="32"/>
        </w:rPr>
        <w:t>.梅州市财政支出项目重点</w:t>
      </w:r>
      <w:r>
        <w:rPr>
          <w:rFonts w:hint="eastAsia" w:ascii="Times New Roman" w:hAnsi="Times New Roman"/>
          <w:szCs w:val="32"/>
        </w:rPr>
        <w:t>绩效评价指标评分表</w:t>
      </w:r>
    </w:p>
    <w:p>
      <w:pPr>
        <w:widowControl/>
        <w:spacing w:line="360" w:lineRule="auto"/>
        <w:ind w:firstLine="1600" w:firstLineChars="500"/>
        <w:jc w:val="left"/>
        <w:rPr>
          <w:rFonts w:ascii="Times New Roman" w:hAnsi="Times New Roman"/>
          <w:szCs w:val="32"/>
        </w:rPr>
      </w:pPr>
      <w:r>
        <w:rPr>
          <w:rFonts w:hint="eastAsia" w:ascii="Times New Roman" w:hAnsi="Times New Roman"/>
          <w:szCs w:val="32"/>
        </w:rPr>
        <w:t>3</w:t>
      </w:r>
      <w:r>
        <w:rPr>
          <w:rFonts w:ascii="Times New Roman" w:hAnsi="Times New Roman"/>
          <w:szCs w:val="32"/>
        </w:rPr>
        <w:t>.公众或服务对象满意度</w:t>
      </w:r>
      <w:r>
        <w:rPr>
          <w:rFonts w:hint="eastAsia" w:ascii="Times New Roman" w:hAnsi="Times New Roman"/>
          <w:szCs w:val="32"/>
        </w:rPr>
        <w:t>调查结果</w:t>
      </w:r>
    </w:p>
    <w:p>
      <w:pPr>
        <w:spacing w:line="360" w:lineRule="auto"/>
        <w:ind w:firstLine="0" w:firstLineChars="0"/>
        <w:rPr>
          <w:rFonts w:ascii="Times New Roman" w:hAnsi="Times New Roman"/>
          <w:szCs w:val="32"/>
        </w:rPr>
      </w:pPr>
    </w:p>
    <w:p>
      <w:pPr>
        <w:spacing w:line="360" w:lineRule="auto"/>
        <w:ind w:firstLine="0" w:firstLineChars="0"/>
        <w:rPr>
          <w:rFonts w:ascii="Times New Roman" w:hAnsi="Times New Roman"/>
          <w:szCs w:val="32"/>
        </w:rPr>
      </w:pPr>
    </w:p>
    <w:p>
      <w:pPr>
        <w:spacing w:line="360" w:lineRule="auto"/>
        <w:ind w:firstLine="0" w:firstLineChars="0"/>
        <w:rPr>
          <w:rFonts w:ascii="Times New Roman" w:hAnsi="Times New Roman"/>
          <w:szCs w:val="32"/>
        </w:rPr>
      </w:pPr>
    </w:p>
    <w:p>
      <w:pPr>
        <w:spacing w:line="360" w:lineRule="auto"/>
        <w:ind w:firstLine="640"/>
        <w:jc w:val="right"/>
        <w:rPr>
          <w:rFonts w:ascii="Times New Roman" w:hAnsi="Times New Roman"/>
          <w:szCs w:val="32"/>
        </w:rPr>
      </w:pPr>
      <w:r>
        <w:rPr>
          <w:rFonts w:hint="eastAsia" w:ascii="Times New Roman" w:hAnsi="Times New Roman"/>
          <w:szCs w:val="32"/>
        </w:rPr>
        <w:t>梅州同政会计师事务所（普通合伙）</w:t>
      </w:r>
    </w:p>
    <w:p>
      <w:pPr>
        <w:spacing w:line="360" w:lineRule="auto"/>
        <w:ind w:right="640" w:firstLine="640"/>
        <w:jc w:val="right"/>
        <w:rPr>
          <w:rFonts w:hint="default" w:ascii="Times New Roman" w:hAnsi="Times New Roman" w:eastAsia="仿宋_GB2312"/>
          <w:szCs w:val="32"/>
          <w:lang w:val="en-US" w:eastAsia="zh-CN"/>
        </w:rPr>
        <w:sectPr>
          <w:footerReference r:id="rId13" w:type="default"/>
          <w:pgSz w:w="11907" w:h="16840"/>
          <w:pgMar w:top="1440" w:right="1797" w:bottom="1440" w:left="1797" w:header="851" w:footer="992" w:gutter="0"/>
          <w:pgNumType w:start="1"/>
          <w:cols w:space="720" w:num="1"/>
          <w:docGrid w:linePitch="626" w:charSpace="1638"/>
        </w:sectPr>
      </w:pPr>
      <w:r>
        <w:rPr>
          <w:rFonts w:hint="eastAsia" w:ascii="Times New Roman" w:hAnsi="Times New Roman"/>
          <w:szCs w:val="32"/>
        </w:rPr>
        <w:t>2022年11月</w:t>
      </w:r>
      <w:r>
        <w:rPr>
          <w:rFonts w:hint="eastAsia" w:ascii="Times New Roman" w:hAnsi="Times New Roman"/>
          <w:szCs w:val="32"/>
          <w:lang w:val="en-US" w:eastAsia="zh-CN"/>
        </w:rPr>
        <w:t>10日</w:t>
      </w:r>
    </w:p>
    <w:p>
      <w:pPr>
        <w:spacing w:line="360" w:lineRule="auto"/>
        <w:ind w:firstLine="0" w:firstLineChars="0"/>
        <w:outlineLvl w:val="0"/>
        <w:rPr>
          <w:rFonts w:ascii="Times New Roman" w:hAnsi="Times New Roman" w:eastAsia="黑体"/>
        </w:rPr>
      </w:pPr>
      <w:bookmarkStart w:id="75" w:name="_Toc25920"/>
      <w:bookmarkStart w:id="76" w:name="_Toc23238"/>
      <w:r>
        <w:rPr>
          <w:rFonts w:hint="eastAsia" w:ascii="Times New Roman" w:hAnsi="Times New Roman" w:eastAsia="黑体"/>
        </w:rPr>
        <w:t>附件1：</w:t>
      </w:r>
      <w:r>
        <w:rPr>
          <w:rFonts w:ascii="Times New Roman" w:hAnsi="Times New Roman" w:eastAsia="黑体"/>
        </w:rPr>
        <w:t>绩效评价</w:t>
      </w:r>
      <w:r>
        <w:rPr>
          <w:rFonts w:hint="eastAsia" w:ascii="Times New Roman" w:hAnsi="Times New Roman" w:eastAsia="黑体"/>
        </w:rPr>
        <w:t>工作开展</w:t>
      </w:r>
      <w:r>
        <w:rPr>
          <w:rFonts w:ascii="Times New Roman" w:hAnsi="Times New Roman" w:eastAsia="黑体"/>
        </w:rPr>
        <w:t>情况</w:t>
      </w:r>
      <w:bookmarkEnd w:id="75"/>
      <w:bookmarkEnd w:id="76"/>
    </w:p>
    <w:p>
      <w:pPr>
        <w:spacing w:line="360" w:lineRule="auto"/>
        <w:ind w:firstLine="641"/>
        <w:rPr>
          <w:rFonts w:ascii="Times New Roman" w:hAnsi="Times New Roman"/>
          <w:b/>
        </w:rPr>
      </w:pPr>
      <w:bookmarkStart w:id="77" w:name="_Toc8484"/>
      <w:r>
        <w:rPr>
          <w:rFonts w:hint="eastAsia" w:ascii="Times New Roman" w:hAnsi="Times New Roman"/>
          <w:b/>
        </w:rPr>
        <w:t>一、</w:t>
      </w:r>
      <w:r>
        <w:rPr>
          <w:rFonts w:ascii="Times New Roman" w:hAnsi="Times New Roman"/>
          <w:b/>
        </w:rPr>
        <w:t>绩效评价目的</w:t>
      </w:r>
      <w:r>
        <w:rPr>
          <w:rFonts w:hint="eastAsia" w:ascii="Times New Roman" w:hAnsi="Times New Roman"/>
          <w:b/>
        </w:rPr>
        <w:t>。</w:t>
      </w:r>
      <w:bookmarkEnd w:id="77"/>
    </w:p>
    <w:p>
      <w:pPr>
        <w:pStyle w:val="28"/>
        <w:adjustRightInd w:val="0"/>
        <w:spacing w:line="360" w:lineRule="auto"/>
        <w:ind w:firstLine="640"/>
        <w:rPr>
          <w:rFonts w:eastAsia="仿宋_GB2312"/>
          <w:kern w:val="2"/>
          <w:sz w:val="32"/>
          <w:szCs w:val="32"/>
        </w:rPr>
      </w:pPr>
      <w:r>
        <w:rPr>
          <w:rFonts w:hint="eastAsia" w:eastAsia="仿宋_GB2312"/>
          <w:kern w:val="2"/>
          <w:sz w:val="32"/>
          <w:szCs w:val="32"/>
        </w:rPr>
        <w:t>通过开展本次绩效评价工作，检验梅州市2021年度市十件民生实事项目“推进城镇老旧小区改造”使用的绩效目标实现程度，衡量财政资金的支出效益，及时总结经验，分析存在的问题及原因，切实采取相应措施进一步改进和加强专项资金的管理，从而建立健全激励和约束机制，切实提高资金使用效益。</w:t>
      </w:r>
    </w:p>
    <w:p>
      <w:pPr>
        <w:spacing w:line="360" w:lineRule="auto"/>
        <w:ind w:firstLine="641"/>
        <w:rPr>
          <w:rFonts w:ascii="Times New Roman" w:hAnsi="Times New Roman"/>
          <w:b/>
        </w:rPr>
      </w:pPr>
      <w:bookmarkStart w:id="78" w:name="_Toc32689"/>
      <w:r>
        <w:rPr>
          <w:rFonts w:hint="eastAsia" w:ascii="Times New Roman" w:hAnsi="Times New Roman"/>
          <w:b/>
        </w:rPr>
        <w:t>二、评价范围及对象。</w:t>
      </w:r>
      <w:bookmarkEnd w:id="78"/>
    </w:p>
    <w:p>
      <w:pPr>
        <w:pStyle w:val="28"/>
        <w:adjustRightInd w:val="0"/>
        <w:spacing w:line="360" w:lineRule="auto"/>
        <w:ind w:firstLine="640"/>
        <w:rPr>
          <w:rFonts w:eastAsia="仿宋_GB2312"/>
          <w:kern w:val="2"/>
          <w:sz w:val="32"/>
          <w:szCs w:val="32"/>
        </w:rPr>
      </w:pPr>
      <w:r>
        <w:rPr>
          <w:rFonts w:hint="eastAsia" w:eastAsia="仿宋_GB2312"/>
          <w:kern w:val="2"/>
          <w:sz w:val="32"/>
          <w:szCs w:val="32"/>
        </w:rPr>
        <w:t>本次绩效评价对象为梅州市2021年度市十件民生实事项目“推进城镇老旧小区改造”。项目包含58个城镇老旧小区，涉及中央、省级财政统筹资金总额为24,762.30万元。本项目评价基准日为2021年12月31日。具体从项目决策、管理、产出、效益四个方面内容进行综合评价与分析。</w:t>
      </w:r>
    </w:p>
    <w:p>
      <w:pPr>
        <w:spacing w:line="360" w:lineRule="auto"/>
        <w:ind w:firstLine="641"/>
        <w:rPr>
          <w:rFonts w:ascii="Times New Roman" w:hAnsi="Times New Roman"/>
          <w:b/>
        </w:rPr>
      </w:pPr>
      <w:bookmarkStart w:id="79" w:name="_Toc15500"/>
      <w:r>
        <w:rPr>
          <w:rFonts w:hint="eastAsia" w:ascii="Times New Roman" w:hAnsi="Times New Roman"/>
          <w:b/>
        </w:rPr>
        <w:t>三、</w:t>
      </w:r>
      <w:r>
        <w:rPr>
          <w:rFonts w:ascii="Times New Roman" w:hAnsi="Times New Roman"/>
          <w:b/>
        </w:rPr>
        <w:t>绩效评价</w:t>
      </w:r>
      <w:r>
        <w:rPr>
          <w:rFonts w:hint="eastAsia" w:ascii="Times New Roman" w:hAnsi="Times New Roman"/>
          <w:b/>
        </w:rPr>
        <w:t>工作</w:t>
      </w:r>
      <w:r>
        <w:rPr>
          <w:rFonts w:ascii="Times New Roman" w:hAnsi="Times New Roman"/>
          <w:b/>
        </w:rPr>
        <w:t>思路</w:t>
      </w:r>
      <w:r>
        <w:rPr>
          <w:rFonts w:hint="eastAsia" w:ascii="Times New Roman" w:hAnsi="Times New Roman"/>
          <w:b/>
        </w:rPr>
        <w:t>。</w:t>
      </w:r>
      <w:bookmarkEnd w:id="79"/>
    </w:p>
    <w:p>
      <w:pPr>
        <w:pStyle w:val="28"/>
        <w:adjustRightInd w:val="0"/>
        <w:spacing w:line="360" w:lineRule="auto"/>
        <w:ind w:firstLine="641"/>
        <w:rPr>
          <w:rFonts w:eastAsia="仿宋_GB2312"/>
          <w:b/>
          <w:kern w:val="2"/>
          <w:sz w:val="32"/>
          <w:szCs w:val="32"/>
        </w:rPr>
      </w:pPr>
      <w:r>
        <w:rPr>
          <w:rFonts w:hint="eastAsia" w:eastAsia="仿宋_GB2312"/>
          <w:b/>
          <w:kern w:val="2"/>
          <w:sz w:val="32"/>
          <w:szCs w:val="32"/>
        </w:rPr>
        <w:t>（一）</w:t>
      </w:r>
      <w:r>
        <w:rPr>
          <w:rFonts w:eastAsia="仿宋_GB2312"/>
          <w:b/>
          <w:kern w:val="2"/>
          <w:sz w:val="32"/>
          <w:szCs w:val="32"/>
        </w:rPr>
        <w:t>评价依据。</w:t>
      </w:r>
    </w:p>
    <w:p>
      <w:pPr>
        <w:spacing w:line="360" w:lineRule="auto"/>
        <w:ind w:firstLine="640"/>
        <w:rPr>
          <w:rFonts w:ascii="Times New Roman" w:hAnsi="Times New Roman" w:cs="仿宋_GB2312"/>
          <w:szCs w:val="32"/>
        </w:rPr>
      </w:pPr>
      <w:r>
        <w:rPr>
          <w:rFonts w:hint="eastAsia" w:ascii="Times New Roman" w:hAnsi="Times New Roman"/>
          <w:szCs w:val="32"/>
        </w:rPr>
        <w:t>（1）</w:t>
      </w:r>
      <w:r>
        <w:rPr>
          <w:rFonts w:hint="eastAsia" w:ascii="Times New Roman" w:hAnsi="Times New Roman" w:cs="仿宋_GB2312"/>
          <w:szCs w:val="32"/>
        </w:rPr>
        <w:t>中央、省有关财政资金管理、预算绩效管理的法律、法规、规章、制度、政策文件等；</w:t>
      </w:r>
    </w:p>
    <w:p>
      <w:pPr>
        <w:spacing w:line="360" w:lineRule="auto"/>
        <w:ind w:firstLine="640"/>
        <w:rPr>
          <w:rFonts w:ascii="Times New Roman" w:hAnsi="Times New Roman" w:cs="仿宋_GB2312"/>
          <w:szCs w:val="32"/>
        </w:rPr>
      </w:pPr>
      <w:r>
        <w:rPr>
          <w:rFonts w:hint="eastAsia" w:ascii="Times New Roman" w:hAnsi="Times New Roman" w:cs="仿宋_GB2312"/>
          <w:szCs w:val="32"/>
        </w:rPr>
        <w:t>（2）《广东省政府集中采购目录及标准》；</w:t>
      </w:r>
    </w:p>
    <w:p>
      <w:pPr>
        <w:spacing w:line="360" w:lineRule="auto"/>
        <w:ind w:firstLine="640"/>
        <w:rPr>
          <w:rFonts w:ascii="Times New Roman" w:hAnsi="Times New Roman" w:cs="仿宋_GB2312"/>
          <w:szCs w:val="32"/>
        </w:rPr>
      </w:pPr>
      <w:r>
        <w:rPr>
          <w:rFonts w:hint="eastAsia" w:ascii="Times New Roman" w:hAnsi="Times New Roman" w:cs="仿宋_GB2312"/>
          <w:szCs w:val="32"/>
        </w:rPr>
        <w:t>（3）《梅州市财政局关于印发&lt;梅州市财政支出绩效评价实施办法&gt;的通知》（梅市财评〔</w:t>
      </w:r>
      <w:r>
        <w:rPr>
          <w:rFonts w:ascii="Times New Roman" w:hAnsi="Times New Roman" w:cs="仿宋_GB2312"/>
          <w:szCs w:val="32"/>
        </w:rPr>
        <w:t>2015〕9号）</w:t>
      </w:r>
      <w:r>
        <w:rPr>
          <w:rFonts w:hint="eastAsia" w:ascii="Times New Roman" w:hAnsi="Times New Roman" w:cs="仿宋_GB2312"/>
          <w:szCs w:val="32"/>
        </w:rPr>
        <w:t>；</w:t>
      </w:r>
    </w:p>
    <w:p>
      <w:pPr>
        <w:spacing w:line="360" w:lineRule="auto"/>
        <w:ind w:firstLine="640"/>
        <w:rPr>
          <w:rFonts w:ascii="Times New Roman" w:hAnsi="Times New Roman" w:cs="仿宋_GB2312"/>
          <w:szCs w:val="32"/>
        </w:rPr>
      </w:pPr>
      <w:r>
        <w:rPr>
          <w:rFonts w:hint="eastAsia" w:ascii="Times New Roman" w:hAnsi="Times New Roman" w:cs="仿宋_GB2312"/>
          <w:szCs w:val="32"/>
        </w:rPr>
        <w:t>（4）《中共梅州市委梅州市人民政府印发〈关于全面实施预算绩效管理的实施意见〉的通知》（梅市明电〔</w:t>
      </w:r>
      <w:r>
        <w:rPr>
          <w:rFonts w:ascii="Times New Roman" w:hAnsi="Times New Roman" w:cs="仿宋_GB2312"/>
          <w:szCs w:val="32"/>
        </w:rPr>
        <w:t>2019〕229号）</w:t>
      </w:r>
      <w:r>
        <w:rPr>
          <w:rFonts w:hint="eastAsia" w:ascii="Times New Roman" w:hAnsi="Times New Roman" w:cs="仿宋_GB2312"/>
          <w:szCs w:val="32"/>
        </w:rPr>
        <w:t>；</w:t>
      </w:r>
    </w:p>
    <w:p>
      <w:pPr>
        <w:spacing w:line="360" w:lineRule="auto"/>
        <w:ind w:firstLine="640"/>
        <w:rPr>
          <w:rFonts w:ascii="Times New Roman" w:hAnsi="Times New Roman" w:cs="仿宋_GB2312"/>
          <w:szCs w:val="32"/>
        </w:rPr>
      </w:pPr>
      <w:r>
        <w:rPr>
          <w:rFonts w:hint="eastAsia" w:ascii="Times New Roman" w:hAnsi="Times New Roman" w:cs="仿宋_GB2312"/>
          <w:szCs w:val="32"/>
        </w:rPr>
        <w:t>（5）</w:t>
      </w:r>
      <w:r>
        <w:rPr>
          <w:rFonts w:hint="eastAsia" w:ascii="Times New Roman" w:hAnsi="Times New Roman" w:cs="Times New Roman"/>
        </w:rPr>
        <w:t>《梅州市财政局关于开展2022年市级财政资金绩效自评工作的通知》（梅市财评〔2022〕3号）</w:t>
      </w:r>
      <w:r>
        <w:rPr>
          <w:rFonts w:hint="eastAsia" w:ascii="Times New Roman" w:hAnsi="Times New Roman" w:cs="仿宋_GB2312"/>
          <w:szCs w:val="32"/>
        </w:rPr>
        <w:t>；</w:t>
      </w:r>
    </w:p>
    <w:p>
      <w:pPr>
        <w:spacing w:line="360" w:lineRule="auto"/>
        <w:ind w:firstLine="640"/>
        <w:rPr>
          <w:rFonts w:ascii="Times New Roman" w:hAnsi="Times New Roman" w:cs="仿宋_GB2312"/>
          <w:szCs w:val="32"/>
        </w:rPr>
      </w:pPr>
      <w:r>
        <w:rPr>
          <w:rFonts w:hint="eastAsia" w:ascii="Times New Roman" w:hAnsi="Times New Roman" w:cs="仿宋_GB2312"/>
          <w:szCs w:val="32"/>
        </w:rPr>
        <w:t>（6）其它与本次评价工作相关的法律、法规、规章、制度、政策文件等。</w:t>
      </w:r>
    </w:p>
    <w:p>
      <w:pPr>
        <w:pStyle w:val="28"/>
        <w:adjustRightInd w:val="0"/>
        <w:spacing w:line="360" w:lineRule="auto"/>
        <w:ind w:firstLine="641"/>
        <w:rPr>
          <w:rFonts w:eastAsia="仿宋_GB2312"/>
          <w:b/>
          <w:kern w:val="2"/>
          <w:sz w:val="32"/>
          <w:szCs w:val="32"/>
        </w:rPr>
      </w:pPr>
      <w:r>
        <w:rPr>
          <w:rFonts w:hint="eastAsia" w:eastAsia="仿宋_GB2312"/>
          <w:b/>
          <w:kern w:val="2"/>
          <w:sz w:val="32"/>
          <w:szCs w:val="32"/>
        </w:rPr>
        <w:t>（二）</w:t>
      </w:r>
      <w:r>
        <w:rPr>
          <w:rFonts w:eastAsia="仿宋_GB2312"/>
          <w:b/>
          <w:kern w:val="2"/>
          <w:sz w:val="32"/>
          <w:szCs w:val="32"/>
        </w:rPr>
        <w:t>评价原则</w:t>
      </w:r>
      <w:r>
        <w:rPr>
          <w:rFonts w:hint="eastAsia" w:eastAsia="仿宋_GB2312"/>
          <w:b/>
          <w:kern w:val="2"/>
          <w:sz w:val="32"/>
          <w:szCs w:val="32"/>
        </w:rPr>
        <w:t>。</w:t>
      </w:r>
    </w:p>
    <w:p>
      <w:pPr>
        <w:spacing w:line="360" w:lineRule="auto"/>
        <w:ind w:firstLine="640"/>
        <w:rPr>
          <w:rFonts w:ascii="Times New Roman" w:hAnsi="Times New Roman"/>
          <w:szCs w:val="32"/>
        </w:rPr>
      </w:pPr>
      <w:r>
        <w:rPr>
          <w:rFonts w:ascii="Times New Roman" w:hAnsi="Times New Roman"/>
          <w:szCs w:val="32"/>
        </w:rPr>
        <w:t>（1）科学、规范、客观、公正原则。严格执行财政部门规定的评价程序，以项目实际情况为主，按照科学可行的评价操作方案和统一的标准，准确、全面、系统地评价资金和项目的绩效情况。</w:t>
      </w:r>
    </w:p>
    <w:p>
      <w:pPr>
        <w:spacing w:line="360" w:lineRule="auto"/>
        <w:ind w:firstLine="640"/>
        <w:rPr>
          <w:rFonts w:ascii="Times New Roman" w:hAnsi="Times New Roman"/>
          <w:szCs w:val="32"/>
        </w:rPr>
      </w:pPr>
      <w:r>
        <w:rPr>
          <w:rFonts w:ascii="Times New Roman" w:hAnsi="Times New Roman"/>
          <w:szCs w:val="32"/>
        </w:rPr>
        <w:t>（2）经济性、效率性、效益性原则。即把财政支出行为及其过程的实际情况，通过对其经济性、效率性、效益性的比较和评价分析，判断支出的行为过程和执行的业绩、效果优劣。</w:t>
      </w:r>
    </w:p>
    <w:p>
      <w:pPr>
        <w:spacing w:line="360" w:lineRule="auto"/>
        <w:ind w:firstLine="640"/>
        <w:rPr>
          <w:rFonts w:ascii="Times New Roman" w:hAnsi="Times New Roman"/>
          <w:szCs w:val="32"/>
        </w:rPr>
      </w:pPr>
      <w:r>
        <w:rPr>
          <w:rFonts w:ascii="Times New Roman" w:hAnsi="Times New Roman"/>
          <w:szCs w:val="32"/>
        </w:rPr>
        <w:t>（3）定量分析和定性分析相结合的原则。定量分析建立在财政支出项目的资金投入和资金执行后的绩效上，主要通过对项目绩效量化指标的统计分析进行评价。定性分析主要是根据绩效评价材料及有关信息数据，结合专家评价意见，全面、合理、准确地评价支出的实际绩效。</w:t>
      </w:r>
    </w:p>
    <w:p>
      <w:pPr>
        <w:spacing w:line="360" w:lineRule="auto"/>
        <w:ind w:firstLine="640"/>
        <w:rPr>
          <w:rFonts w:ascii="Times New Roman" w:hAnsi="Times New Roman"/>
          <w:szCs w:val="32"/>
        </w:rPr>
      </w:pPr>
      <w:r>
        <w:rPr>
          <w:rFonts w:ascii="Times New Roman" w:hAnsi="Times New Roman"/>
          <w:szCs w:val="32"/>
        </w:rPr>
        <w:t>（4）绩效相关原则。绩效评价能够针对项目管理、资金使用及其产出绩效进行，评价结果能够清晰反映支出和产出绩效之间的对应关系。</w:t>
      </w:r>
    </w:p>
    <w:p>
      <w:pPr>
        <w:spacing w:line="360" w:lineRule="auto"/>
        <w:ind w:firstLine="640"/>
        <w:rPr>
          <w:rFonts w:ascii="Times New Roman" w:hAnsi="Times New Roman"/>
          <w:szCs w:val="32"/>
        </w:rPr>
      </w:pPr>
      <w:r>
        <w:rPr>
          <w:rFonts w:ascii="Times New Roman" w:hAnsi="Times New Roman"/>
          <w:szCs w:val="32"/>
        </w:rPr>
        <w:t>（5）注重实效原则。绩效评价要立足为提高</w:t>
      </w:r>
      <w:r>
        <w:rPr>
          <w:rFonts w:hint="eastAsia" w:ascii="Times New Roman" w:hAnsi="Times New Roman"/>
          <w:szCs w:val="32"/>
        </w:rPr>
        <w:t>群众获得感和幸福感、保障可持续发展</w:t>
      </w:r>
      <w:r>
        <w:rPr>
          <w:rFonts w:ascii="Times New Roman" w:hAnsi="Times New Roman"/>
          <w:szCs w:val="32"/>
        </w:rPr>
        <w:t>和资金使用效益服务，发挥引导作用。</w:t>
      </w:r>
    </w:p>
    <w:p>
      <w:pPr>
        <w:pStyle w:val="28"/>
        <w:adjustRightInd w:val="0"/>
        <w:spacing w:line="360" w:lineRule="auto"/>
        <w:ind w:firstLine="641"/>
        <w:rPr>
          <w:rFonts w:eastAsia="仿宋_GB2312"/>
          <w:b/>
          <w:kern w:val="2"/>
          <w:sz w:val="32"/>
          <w:szCs w:val="32"/>
        </w:rPr>
      </w:pPr>
      <w:r>
        <w:rPr>
          <w:rFonts w:hint="eastAsia" w:eastAsia="仿宋_GB2312"/>
          <w:b/>
          <w:kern w:val="2"/>
          <w:sz w:val="32"/>
          <w:szCs w:val="32"/>
        </w:rPr>
        <w:t>（三）</w:t>
      </w:r>
      <w:r>
        <w:rPr>
          <w:rFonts w:eastAsia="仿宋_GB2312"/>
          <w:b/>
          <w:kern w:val="2"/>
          <w:sz w:val="32"/>
          <w:szCs w:val="32"/>
        </w:rPr>
        <w:t>评价指标体系。</w:t>
      </w:r>
    </w:p>
    <w:p>
      <w:pPr>
        <w:spacing w:line="360" w:lineRule="auto"/>
        <w:ind w:firstLine="640"/>
        <w:rPr>
          <w:rFonts w:ascii="Times New Roman" w:hAnsi="Times New Roman"/>
          <w:szCs w:val="32"/>
        </w:rPr>
      </w:pPr>
      <w:r>
        <w:rPr>
          <w:rFonts w:ascii="Times New Roman" w:hAnsi="Times New Roman"/>
          <w:szCs w:val="32"/>
        </w:rPr>
        <w:t>根据绩效评价工作相关管理办法，结合项目资金支出特点及资金使用的具体方向，确定评价内容并相应选设指标及权重，形成本次包含</w:t>
      </w:r>
      <w:r>
        <w:rPr>
          <w:rFonts w:hint="eastAsia" w:ascii="Times New Roman" w:hAnsi="Times New Roman"/>
          <w:szCs w:val="32"/>
        </w:rPr>
        <w:t>4</w:t>
      </w:r>
      <w:r>
        <w:rPr>
          <w:rFonts w:ascii="Times New Roman" w:hAnsi="Times New Roman"/>
          <w:szCs w:val="32"/>
        </w:rPr>
        <w:t>个一级指标、</w:t>
      </w:r>
      <w:r>
        <w:rPr>
          <w:rFonts w:hint="eastAsia" w:ascii="Times New Roman" w:hAnsi="Times New Roman"/>
          <w:szCs w:val="32"/>
        </w:rPr>
        <w:t>8</w:t>
      </w:r>
      <w:r>
        <w:rPr>
          <w:rFonts w:ascii="Times New Roman" w:hAnsi="Times New Roman"/>
          <w:szCs w:val="32"/>
        </w:rPr>
        <w:t>个二级指标、1</w:t>
      </w:r>
      <w:r>
        <w:rPr>
          <w:rFonts w:hint="eastAsia" w:ascii="Times New Roman" w:hAnsi="Times New Roman"/>
          <w:szCs w:val="32"/>
        </w:rPr>
        <w:t>8</w:t>
      </w:r>
      <w:r>
        <w:rPr>
          <w:rFonts w:ascii="Times New Roman" w:hAnsi="Times New Roman"/>
          <w:szCs w:val="32"/>
        </w:rPr>
        <w:t>个三级指标</w:t>
      </w:r>
      <w:r>
        <w:rPr>
          <w:rFonts w:hint="eastAsia" w:ascii="Times New Roman" w:hAnsi="Times New Roman"/>
          <w:szCs w:val="32"/>
        </w:rPr>
        <w:t>、21个四级指标</w:t>
      </w:r>
      <w:r>
        <w:rPr>
          <w:rFonts w:ascii="Times New Roman" w:hAnsi="Times New Roman"/>
          <w:szCs w:val="32"/>
        </w:rPr>
        <w:t>的评价指标体系。综合评价重点为项目</w:t>
      </w:r>
      <w:r>
        <w:rPr>
          <w:rFonts w:hint="eastAsia" w:ascii="Times New Roman" w:hAnsi="Times New Roman"/>
          <w:szCs w:val="32"/>
        </w:rPr>
        <w:t>决策</w:t>
      </w:r>
      <w:r>
        <w:rPr>
          <w:rFonts w:ascii="Times New Roman" w:hAnsi="Times New Roman"/>
          <w:szCs w:val="32"/>
        </w:rPr>
        <w:t>、管理、</w:t>
      </w:r>
      <w:r>
        <w:rPr>
          <w:rFonts w:hint="eastAsia" w:ascii="Times New Roman" w:hAnsi="Times New Roman"/>
          <w:szCs w:val="32"/>
        </w:rPr>
        <w:t>产出、效益四</w:t>
      </w:r>
      <w:r>
        <w:rPr>
          <w:rFonts w:ascii="Times New Roman" w:hAnsi="Times New Roman"/>
          <w:szCs w:val="32"/>
        </w:rPr>
        <w:t>大方面，其权重分别为：决策</w:t>
      </w:r>
      <w:r>
        <w:rPr>
          <w:rFonts w:hint="eastAsia" w:ascii="Times New Roman" w:hAnsi="Times New Roman"/>
          <w:szCs w:val="32"/>
        </w:rPr>
        <w:t>15</w:t>
      </w:r>
      <w:r>
        <w:rPr>
          <w:rFonts w:ascii="Times New Roman" w:hAnsi="Times New Roman"/>
          <w:szCs w:val="32"/>
        </w:rPr>
        <w:t>%，管理2</w:t>
      </w:r>
      <w:r>
        <w:rPr>
          <w:rFonts w:hint="eastAsia" w:ascii="Times New Roman" w:hAnsi="Times New Roman"/>
          <w:szCs w:val="32"/>
        </w:rPr>
        <w:t>5</w:t>
      </w:r>
      <w:r>
        <w:rPr>
          <w:rFonts w:ascii="Times New Roman" w:hAnsi="Times New Roman"/>
          <w:szCs w:val="32"/>
        </w:rPr>
        <w:t>%，</w:t>
      </w:r>
      <w:r>
        <w:rPr>
          <w:rFonts w:hint="eastAsia" w:ascii="Times New Roman" w:hAnsi="Times New Roman"/>
          <w:szCs w:val="32"/>
        </w:rPr>
        <w:t>产出30</w:t>
      </w:r>
      <w:r>
        <w:rPr>
          <w:rFonts w:ascii="Times New Roman" w:hAnsi="Times New Roman"/>
          <w:szCs w:val="32"/>
        </w:rPr>
        <w:t>%，</w:t>
      </w:r>
      <w:r>
        <w:rPr>
          <w:rFonts w:hint="eastAsia" w:ascii="Times New Roman" w:hAnsi="Times New Roman"/>
          <w:szCs w:val="32"/>
        </w:rPr>
        <w:t>效益</w:t>
      </w:r>
      <w:r>
        <w:rPr>
          <w:rFonts w:ascii="Times New Roman" w:hAnsi="Times New Roman"/>
          <w:szCs w:val="32"/>
        </w:rPr>
        <w:t>30%</w:t>
      </w:r>
      <w:r>
        <w:rPr>
          <w:rFonts w:hint="eastAsia" w:ascii="Times New Roman" w:hAnsi="Times New Roman"/>
          <w:szCs w:val="32"/>
        </w:rPr>
        <w:t>，</w:t>
      </w:r>
      <w:r>
        <w:rPr>
          <w:rFonts w:ascii="Times New Roman" w:hAnsi="Times New Roman"/>
          <w:szCs w:val="32"/>
        </w:rPr>
        <w:t>详见</w:t>
      </w:r>
      <w:r>
        <w:rPr>
          <w:rFonts w:hint="eastAsia" w:ascii="Times New Roman" w:hAnsi="Times New Roman"/>
          <w:szCs w:val="32"/>
        </w:rPr>
        <w:t>下表</w:t>
      </w:r>
      <w:r>
        <w:rPr>
          <w:rFonts w:ascii="Times New Roman" w:hAnsi="Times New Roman"/>
          <w:szCs w:val="32"/>
        </w:rPr>
        <w:t>。本次</w:t>
      </w:r>
      <w:r>
        <w:rPr>
          <w:rFonts w:hint="eastAsia" w:ascii="Times New Roman" w:hAnsi="Times New Roman"/>
          <w:szCs w:val="32"/>
        </w:rPr>
        <w:t>评价结果分为四个等级:优〔90分～100分〕，良〔80分～90分</w:t>
      </w:r>
      <w:r>
        <w:rPr>
          <w:rFonts w:hint="eastAsia" w:ascii="Times New Roman" w:hAnsi="Times New Roman"/>
          <w:szCs w:val="32"/>
          <w:lang w:eastAsia="zh-CN"/>
        </w:rPr>
        <w:t>）</w:t>
      </w:r>
      <w:r>
        <w:rPr>
          <w:rFonts w:hint="eastAsia" w:ascii="Times New Roman" w:hAnsi="Times New Roman"/>
          <w:szCs w:val="32"/>
        </w:rPr>
        <w:t>，中〔60分～80分</w:t>
      </w:r>
      <w:r>
        <w:rPr>
          <w:rFonts w:hint="eastAsia" w:ascii="Times New Roman" w:hAnsi="Times New Roman"/>
          <w:szCs w:val="32"/>
          <w:lang w:eastAsia="zh-CN"/>
        </w:rPr>
        <w:t>）</w:t>
      </w:r>
      <w:r>
        <w:rPr>
          <w:rFonts w:hint="eastAsia" w:ascii="Times New Roman" w:hAnsi="Times New Roman"/>
          <w:szCs w:val="32"/>
        </w:rPr>
        <w:t>，差</w:t>
      </w:r>
      <w:r>
        <w:rPr>
          <w:rFonts w:hint="eastAsia" w:ascii="Times New Roman" w:hAnsi="Times New Roman"/>
          <w:szCs w:val="32"/>
          <w:lang w:eastAsia="zh-CN"/>
        </w:rPr>
        <w:t>（</w:t>
      </w:r>
      <w:r>
        <w:rPr>
          <w:rFonts w:hint="eastAsia" w:ascii="Times New Roman" w:hAnsi="Times New Roman"/>
          <w:szCs w:val="32"/>
        </w:rPr>
        <w:t>60分以下</w:t>
      </w:r>
      <w:r>
        <w:rPr>
          <w:rFonts w:hint="eastAsia" w:ascii="Times New Roman" w:hAnsi="Times New Roman"/>
          <w:szCs w:val="32"/>
          <w:lang w:eastAsia="zh-CN"/>
        </w:rPr>
        <w:t>）</w:t>
      </w:r>
      <w:r>
        <w:rPr>
          <w:rFonts w:hint="eastAsia" w:ascii="Times New Roman" w:hAnsi="Times New Roman"/>
          <w:szCs w:val="32"/>
        </w:rPr>
        <w:t>。</w:t>
      </w:r>
    </w:p>
    <w:p>
      <w:pPr>
        <w:spacing w:line="360" w:lineRule="auto"/>
        <w:ind w:firstLine="640"/>
        <w:jc w:val="center"/>
        <w:rPr>
          <w:rFonts w:ascii="Times New Roman" w:hAnsi="Times New Roman"/>
          <w:szCs w:val="28"/>
        </w:rPr>
      </w:pPr>
      <w:r>
        <w:rPr>
          <w:rFonts w:hint="eastAsia" w:ascii="Times New Roman" w:hAnsi="Times New Roman"/>
          <w:szCs w:val="28"/>
        </w:rPr>
        <w:t>绩效评价指标体系</w:t>
      </w:r>
    </w:p>
    <w:tbl>
      <w:tblPr>
        <w:tblStyle w:val="17"/>
        <w:tblW w:w="9598" w:type="dxa"/>
        <w:jc w:val="center"/>
        <w:tblLayout w:type="fixed"/>
        <w:tblCellMar>
          <w:top w:w="0" w:type="dxa"/>
          <w:left w:w="108" w:type="dxa"/>
          <w:bottom w:w="0" w:type="dxa"/>
          <w:right w:w="108" w:type="dxa"/>
        </w:tblCellMar>
      </w:tblPr>
      <w:tblGrid>
        <w:gridCol w:w="1008"/>
        <w:gridCol w:w="1009"/>
        <w:gridCol w:w="1071"/>
        <w:gridCol w:w="1053"/>
        <w:gridCol w:w="1607"/>
        <w:gridCol w:w="957"/>
        <w:gridCol w:w="1931"/>
        <w:gridCol w:w="962"/>
      </w:tblGrid>
      <w:tr>
        <w:tblPrEx>
          <w:tblCellMar>
            <w:top w:w="0" w:type="dxa"/>
            <w:left w:w="108" w:type="dxa"/>
            <w:bottom w:w="0" w:type="dxa"/>
            <w:right w:w="108" w:type="dxa"/>
          </w:tblCellMar>
        </w:tblPrEx>
        <w:trPr>
          <w:trHeight w:val="454" w:hRule="atLeast"/>
          <w:tblHeader/>
          <w:jc w:val="center"/>
        </w:trPr>
        <w:tc>
          <w:tcPr>
            <w:tcW w:w="20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一级指标</w:t>
            </w:r>
          </w:p>
        </w:tc>
        <w:tc>
          <w:tcPr>
            <w:tcW w:w="2124" w:type="dxa"/>
            <w:gridSpan w:val="2"/>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二级指标</w:t>
            </w:r>
          </w:p>
        </w:tc>
        <w:tc>
          <w:tcPr>
            <w:tcW w:w="2564" w:type="dxa"/>
            <w:gridSpan w:val="2"/>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三级指标</w:t>
            </w:r>
          </w:p>
        </w:tc>
        <w:tc>
          <w:tcPr>
            <w:tcW w:w="2893" w:type="dxa"/>
            <w:gridSpan w:val="2"/>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四级指标</w:t>
            </w:r>
          </w:p>
        </w:tc>
      </w:tr>
      <w:tr>
        <w:tblPrEx>
          <w:tblCellMar>
            <w:top w:w="0" w:type="dxa"/>
            <w:left w:w="108" w:type="dxa"/>
            <w:bottom w:w="0" w:type="dxa"/>
            <w:right w:w="108" w:type="dxa"/>
          </w:tblCellMar>
        </w:tblPrEx>
        <w:trPr>
          <w:trHeight w:val="454" w:hRule="atLeast"/>
          <w:tblHeader/>
          <w:jc w:val="center"/>
        </w:trPr>
        <w:tc>
          <w:tcPr>
            <w:tcW w:w="1008"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名称</w:t>
            </w:r>
          </w:p>
        </w:tc>
        <w:tc>
          <w:tcPr>
            <w:tcW w:w="1009"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权重(%)</w:t>
            </w:r>
          </w:p>
        </w:tc>
        <w:tc>
          <w:tcPr>
            <w:tcW w:w="1071"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名称</w:t>
            </w:r>
          </w:p>
        </w:tc>
        <w:tc>
          <w:tcPr>
            <w:tcW w:w="1053"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权重(%)</w:t>
            </w:r>
          </w:p>
        </w:tc>
        <w:tc>
          <w:tcPr>
            <w:tcW w:w="1607"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名称</w:t>
            </w:r>
          </w:p>
        </w:tc>
        <w:tc>
          <w:tcPr>
            <w:tcW w:w="957"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权重(%)</w:t>
            </w:r>
          </w:p>
        </w:tc>
        <w:tc>
          <w:tcPr>
            <w:tcW w:w="1931"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名称</w:t>
            </w:r>
          </w:p>
        </w:tc>
        <w:tc>
          <w:tcPr>
            <w:tcW w:w="962"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Times New Roman" w:hAnsi="Times New Roman" w:cs="宋体"/>
                <w:b/>
                <w:bCs/>
                <w:color w:val="000000"/>
                <w:kern w:val="0"/>
                <w:sz w:val="21"/>
                <w:szCs w:val="21"/>
              </w:rPr>
            </w:pPr>
            <w:r>
              <w:rPr>
                <w:rFonts w:hint="eastAsia" w:ascii="宋体" w:hAnsi="宋体" w:eastAsia="宋体" w:cs="宋体"/>
                <w:b/>
                <w:bCs/>
                <w:color w:val="000000"/>
                <w:kern w:val="0"/>
                <w:sz w:val="20"/>
                <w:szCs w:val="20"/>
                <w:lang w:bidi="ar"/>
              </w:rPr>
              <w:t>权重(%)</w:t>
            </w:r>
          </w:p>
        </w:tc>
      </w:tr>
      <w:tr>
        <w:tblPrEx>
          <w:tblCellMar>
            <w:top w:w="0" w:type="dxa"/>
            <w:left w:w="108" w:type="dxa"/>
            <w:bottom w:w="0" w:type="dxa"/>
            <w:right w:w="108" w:type="dxa"/>
          </w:tblCellMar>
        </w:tblPrEx>
        <w:trPr>
          <w:trHeight w:val="460" w:hRule="atLeast"/>
          <w:jc w:val="center"/>
        </w:trPr>
        <w:tc>
          <w:tcPr>
            <w:tcW w:w="1008"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决策</w:t>
            </w:r>
          </w:p>
        </w:tc>
        <w:tc>
          <w:tcPr>
            <w:tcW w:w="1009"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15</w:t>
            </w:r>
          </w:p>
        </w:tc>
        <w:tc>
          <w:tcPr>
            <w:tcW w:w="107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项目</w:t>
            </w:r>
          </w:p>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立项</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12</w:t>
            </w:r>
          </w:p>
        </w:tc>
        <w:tc>
          <w:tcPr>
            <w:tcW w:w="160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论证决策</w:t>
            </w:r>
          </w:p>
        </w:tc>
        <w:tc>
          <w:tcPr>
            <w:tcW w:w="95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4</w:t>
            </w:r>
          </w:p>
        </w:tc>
        <w:tc>
          <w:tcPr>
            <w:tcW w:w="193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论证充分性</w:t>
            </w:r>
          </w:p>
        </w:tc>
        <w:tc>
          <w:tcPr>
            <w:tcW w:w="962"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4</w:t>
            </w:r>
          </w:p>
        </w:tc>
      </w:tr>
      <w:tr>
        <w:tblPrEx>
          <w:tblCellMar>
            <w:top w:w="0" w:type="dxa"/>
            <w:left w:w="108" w:type="dxa"/>
            <w:bottom w:w="0" w:type="dxa"/>
            <w:right w:w="108" w:type="dxa"/>
          </w:tblCellMar>
        </w:tblPrEx>
        <w:trPr>
          <w:trHeight w:val="460"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607"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目标设置</w:t>
            </w:r>
          </w:p>
        </w:tc>
        <w:tc>
          <w:tcPr>
            <w:tcW w:w="957"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6</w:t>
            </w:r>
          </w:p>
        </w:tc>
        <w:tc>
          <w:tcPr>
            <w:tcW w:w="1931"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完整性</w:t>
            </w:r>
          </w:p>
        </w:tc>
        <w:tc>
          <w:tcPr>
            <w:tcW w:w="962"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2</w:t>
            </w:r>
          </w:p>
        </w:tc>
      </w:tr>
      <w:tr>
        <w:tblPrEx>
          <w:tblCellMar>
            <w:top w:w="0" w:type="dxa"/>
            <w:left w:w="108" w:type="dxa"/>
            <w:bottom w:w="0" w:type="dxa"/>
            <w:right w:w="108" w:type="dxa"/>
          </w:tblCellMar>
        </w:tblPrEx>
        <w:trPr>
          <w:trHeight w:val="460"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607"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957"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931"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合理性</w:t>
            </w:r>
          </w:p>
        </w:tc>
        <w:tc>
          <w:tcPr>
            <w:tcW w:w="962"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2</w:t>
            </w:r>
          </w:p>
        </w:tc>
      </w:tr>
      <w:tr>
        <w:tblPrEx>
          <w:tblCellMar>
            <w:top w:w="0" w:type="dxa"/>
            <w:left w:w="108" w:type="dxa"/>
            <w:bottom w:w="0" w:type="dxa"/>
            <w:right w:w="108" w:type="dxa"/>
          </w:tblCellMar>
        </w:tblPrEx>
        <w:trPr>
          <w:trHeight w:val="454"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607"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957"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931"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可衡量性</w:t>
            </w:r>
          </w:p>
        </w:tc>
        <w:tc>
          <w:tcPr>
            <w:tcW w:w="962"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2</w:t>
            </w:r>
          </w:p>
        </w:tc>
      </w:tr>
      <w:tr>
        <w:tblPrEx>
          <w:tblCellMar>
            <w:top w:w="0" w:type="dxa"/>
            <w:left w:w="108" w:type="dxa"/>
            <w:bottom w:w="0" w:type="dxa"/>
            <w:right w:w="108" w:type="dxa"/>
          </w:tblCellMar>
        </w:tblPrEx>
        <w:trPr>
          <w:trHeight w:val="460"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607"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保障措施</w:t>
            </w:r>
          </w:p>
        </w:tc>
        <w:tc>
          <w:tcPr>
            <w:tcW w:w="957"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2</w:t>
            </w:r>
          </w:p>
        </w:tc>
        <w:tc>
          <w:tcPr>
            <w:tcW w:w="1931"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制度完整性</w:t>
            </w:r>
          </w:p>
        </w:tc>
        <w:tc>
          <w:tcPr>
            <w:tcW w:w="962" w:type="dxa"/>
            <w:tcBorders>
              <w:top w:val="nil"/>
              <w:left w:val="nil"/>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1</w:t>
            </w:r>
          </w:p>
        </w:tc>
      </w:tr>
      <w:tr>
        <w:tblPrEx>
          <w:tblCellMar>
            <w:top w:w="0" w:type="dxa"/>
            <w:left w:w="108" w:type="dxa"/>
            <w:bottom w:w="0" w:type="dxa"/>
            <w:right w:w="108" w:type="dxa"/>
          </w:tblCellMar>
        </w:tblPrEx>
        <w:trPr>
          <w:trHeight w:val="460"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607"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957"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93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计划安排合理性</w:t>
            </w:r>
          </w:p>
        </w:tc>
        <w:tc>
          <w:tcPr>
            <w:tcW w:w="962"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1</w:t>
            </w:r>
          </w:p>
        </w:tc>
      </w:tr>
      <w:tr>
        <w:tblPrEx>
          <w:tblCellMar>
            <w:top w:w="0" w:type="dxa"/>
            <w:left w:w="108" w:type="dxa"/>
            <w:bottom w:w="0" w:type="dxa"/>
            <w:right w:w="108" w:type="dxa"/>
          </w:tblCellMar>
        </w:tblPrEx>
        <w:trPr>
          <w:trHeight w:val="521"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71" w:type="dxa"/>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资金</w:t>
            </w:r>
          </w:p>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落实</w:t>
            </w:r>
          </w:p>
        </w:tc>
        <w:tc>
          <w:tcPr>
            <w:tcW w:w="1053"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3</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资金分配</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3</w:t>
            </w:r>
          </w:p>
        </w:tc>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资金分配合理性</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3</w:t>
            </w:r>
          </w:p>
        </w:tc>
      </w:tr>
      <w:tr>
        <w:tblPrEx>
          <w:tblCellMar>
            <w:top w:w="0" w:type="dxa"/>
            <w:left w:w="108" w:type="dxa"/>
            <w:bottom w:w="0" w:type="dxa"/>
            <w:right w:w="108" w:type="dxa"/>
          </w:tblCellMar>
        </w:tblPrEx>
        <w:trPr>
          <w:trHeight w:val="460" w:hRule="atLeast"/>
          <w:jc w:val="center"/>
        </w:trPr>
        <w:tc>
          <w:tcPr>
            <w:tcW w:w="1008"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管理</w:t>
            </w:r>
          </w:p>
        </w:tc>
        <w:tc>
          <w:tcPr>
            <w:tcW w:w="1009"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25</w:t>
            </w:r>
          </w:p>
        </w:tc>
        <w:tc>
          <w:tcPr>
            <w:tcW w:w="107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资金</w:t>
            </w:r>
          </w:p>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管理</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15</w:t>
            </w:r>
          </w:p>
        </w:tc>
        <w:tc>
          <w:tcPr>
            <w:tcW w:w="1607"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资金支付</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3</w:t>
            </w:r>
          </w:p>
        </w:tc>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资金支出率</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3</w:t>
            </w:r>
          </w:p>
        </w:tc>
      </w:tr>
      <w:tr>
        <w:tblPrEx>
          <w:tblCellMar>
            <w:top w:w="0" w:type="dxa"/>
            <w:left w:w="108" w:type="dxa"/>
            <w:bottom w:w="0" w:type="dxa"/>
            <w:right w:w="108" w:type="dxa"/>
          </w:tblCellMar>
        </w:tblPrEx>
        <w:trPr>
          <w:trHeight w:val="454"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607" w:type="dxa"/>
            <w:tcBorders>
              <w:top w:val="nil"/>
              <w:left w:val="single" w:color="auto" w:sz="4" w:space="0"/>
              <w:bottom w:val="single" w:color="000000"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支出规范性</w:t>
            </w:r>
          </w:p>
        </w:tc>
        <w:tc>
          <w:tcPr>
            <w:tcW w:w="95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12</w:t>
            </w:r>
          </w:p>
        </w:tc>
        <w:tc>
          <w:tcPr>
            <w:tcW w:w="193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支出规范性</w:t>
            </w:r>
          </w:p>
        </w:tc>
        <w:tc>
          <w:tcPr>
            <w:tcW w:w="962"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12</w:t>
            </w:r>
          </w:p>
        </w:tc>
      </w:tr>
      <w:tr>
        <w:tblPrEx>
          <w:tblCellMar>
            <w:top w:w="0" w:type="dxa"/>
            <w:left w:w="108" w:type="dxa"/>
            <w:bottom w:w="0" w:type="dxa"/>
            <w:right w:w="108" w:type="dxa"/>
          </w:tblCellMar>
        </w:tblPrEx>
        <w:trPr>
          <w:trHeight w:val="454"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color w:val="000000"/>
                <w:kern w:val="0"/>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color w:val="000000"/>
                <w:kern w:val="0"/>
                <w:sz w:val="24"/>
                <w:szCs w:val="24"/>
              </w:rPr>
            </w:pPr>
          </w:p>
        </w:tc>
        <w:tc>
          <w:tcPr>
            <w:tcW w:w="107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事项</w:t>
            </w:r>
          </w:p>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管理</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10</w:t>
            </w:r>
          </w:p>
        </w:tc>
        <w:tc>
          <w:tcPr>
            <w:tcW w:w="1607" w:type="dxa"/>
            <w:tcBorders>
              <w:top w:val="nil"/>
              <w:left w:val="single" w:color="auto" w:sz="4" w:space="0"/>
              <w:bottom w:val="single" w:color="000000"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实施程序</w:t>
            </w:r>
          </w:p>
        </w:tc>
        <w:tc>
          <w:tcPr>
            <w:tcW w:w="95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5</w:t>
            </w:r>
          </w:p>
        </w:tc>
        <w:tc>
          <w:tcPr>
            <w:tcW w:w="193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程序规范性</w:t>
            </w:r>
          </w:p>
        </w:tc>
        <w:tc>
          <w:tcPr>
            <w:tcW w:w="962"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5</w:t>
            </w:r>
          </w:p>
        </w:tc>
      </w:tr>
      <w:tr>
        <w:tblPrEx>
          <w:tblCellMar>
            <w:top w:w="0" w:type="dxa"/>
            <w:left w:w="108" w:type="dxa"/>
            <w:bottom w:w="0" w:type="dxa"/>
            <w:right w:w="108" w:type="dxa"/>
          </w:tblCellMar>
        </w:tblPrEx>
        <w:trPr>
          <w:trHeight w:val="460"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60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管理情况</w:t>
            </w:r>
          </w:p>
        </w:tc>
        <w:tc>
          <w:tcPr>
            <w:tcW w:w="95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5</w:t>
            </w:r>
          </w:p>
        </w:tc>
        <w:tc>
          <w:tcPr>
            <w:tcW w:w="193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监管有效性</w:t>
            </w:r>
          </w:p>
        </w:tc>
        <w:tc>
          <w:tcPr>
            <w:tcW w:w="962"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5</w:t>
            </w:r>
          </w:p>
        </w:tc>
      </w:tr>
      <w:tr>
        <w:tblPrEx>
          <w:tblCellMar>
            <w:top w:w="0" w:type="dxa"/>
            <w:left w:w="108" w:type="dxa"/>
            <w:bottom w:w="0" w:type="dxa"/>
            <w:right w:w="108" w:type="dxa"/>
          </w:tblCellMar>
        </w:tblPrEx>
        <w:trPr>
          <w:trHeight w:val="460" w:hRule="atLeast"/>
          <w:jc w:val="center"/>
        </w:trPr>
        <w:tc>
          <w:tcPr>
            <w:tcW w:w="1008"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sz w:val="24"/>
                <w:szCs w:val="24"/>
              </w:rPr>
            </w:pPr>
            <w:r>
              <w:rPr>
                <w:rFonts w:hint="eastAsia" w:ascii="仿宋" w:hAnsi="仿宋" w:eastAsia="仿宋" w:cs="仿宋"/>
                <w:color w:val="000000"/>
                <w:kern w:val="0"/>
                <w:sz w:val="24"/>
                <w:szCs w:val="24"/>
                <w:lang w:bidi="ar"/>
              </w:rPr>
              <w:t>产出</w:t>
            </w:r>
          </w:p>
        </w:tc>
        <w:tc>
          <w:tcPr>
            <w:tcW w:w="1009"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sz w:val="24"/>
                <w:szCs w:val="24"/>
              </w:rPr>
            </w:pPr>
            <w:r>
              <w:rPr>
                <w:rFonts w:hint="eastAsia" w:ascii="仿宋" w:hAnsi="仿宋" w:eastAsia="仿宋" w:cs="仿宋"/>
                <w:color w:val="000000"/>
                <w:kern w:val="0"/>
                <w:sz w:val="24"/>
                <w:szCs w:val="24"/>
                <w:lang w:bidi="ar"/>
              </w:rPr>
              <w:t>30</w:t>
            </w:r>
          </w:p>
        </w:tc>
        <w:tc>
          <w:tcPr>
            <w:tcW w:w="1071" w:type="dxa"/>
            <w:vMerge w:val="restart"/>
            <w:tcBorders>
              <w:top w:val="nil"/>
              <w:left w:val="single" w:color="auto" w:sz="4" w:space="0"/>
              <w:bottom w:val="single" w:color="000000"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经济性</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10</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预算控制</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5</w:t>
            </w:r>
          </w:p>
        </w:tc>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预算控制</w:t>
            </w:r>
          </w:p>
        </w:tc>
        <w:tc>
          <w:tcPr>
            <w:tcW w:w="962"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5</w:t>
            </w:r>
          </w:p>
        </w:tc>
      </w:tr>
      <w:tr>
        <w:tblPrEx>
          <w:tblCellMar>
            <w:top w:w="0" w:type="dxa"/>
            <w:left w:w="108" w:type="dxa"/>
            <w:bottom w:w="0" w:type="dxa"/>
            <w:right w:w="108" w:type="dxa"/>
          </w:tblCellMar>
        </w:tblPrEx>
        <w:trPr>
          <w:trHeight w:val="587"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ind w:firstLine="480"/>
              <w:jc w:val="center"/>
              <w:rPr>
                <w:rFonts w:ascii="仿宋" w:hAnsi="仿宋" w:eastAsia="仿宋" w:cs="仿宋"/>
                <w:color w:val="000000"/>
                <w:kern w:val="0"/>
                <w:sz w:val="24"/>
                <w:szCs w:val="24"/>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color w:val="000000"/>
                <w:kern w:val="0"/>
                <w:sz w:val="24"/>
                <w:szCs w:val="24"/>
              </w:rPr>
            </w:pP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成本控制</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5</w:t>
            </w:r>
          </w:p>
        </w:tc>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成本节约</w:t>
            </w:r>
          </w:p>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（成本指标）</w:t>
            </w:r>
          </w:p>
        </w:tc>
        <w:tc>
          <w:tcPr>
            <w:tcW w:w="962"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5</w:t>
            </w:r>
          </w:p>
        </w:tc>
      </w:tr>
      <w:tr>
        <w:tblPrEx>
          <w:tblCellMar>
            <w:top w:w="0" w:type="dxa"/>
            <w:left w:w="108" w:type="dxa"/>
            <w:bottom w:w="0" w:type="dxa"/>
            <w:right w:w="108" w:type="dxa"/>
          </w:tblCellMar>
        </w:tblPrEx>
        <w:trPr>
          <w:trHeight w:val="460"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71" w:type="dxa"/>
            <w:vMerge w:val="restart"/>
            <w:tcBorders>
              <w:top w:val="nil"/>
              <w:left w:val="single" w:color="auto" w:sz="4" w:space="0"/>
              <w:bottom w:val="single" w:color="000000"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sz w:val="24"/>
                <w:szCs w:val="24"/>
              </w:rPr>
            </w:pPr>
            <w:r>
              <w:rPr>
                <w:rFonts w:hint="eastAsia" w:ascii="仿宋" w:hAnsi="仿宋" w:eastAsia="仿宋" w:cs="仿宋"/>
                <w:color w:val="000000"/>
                <w:kern w:val="0"/>
                <w:sz w:val="24"/>
                <w:szCs w:val="24"/>
                <w:lang w:bidi="ar"/>
              </w:rPr>
              <w:t>效率性</w:t>
            </w:r>
          </w:p>
        </w:tc>
        <w:tc>
          <w:tcPr>
            <w:tcW w:w="1053"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sz w:val="24"/>
                <w:szCs w:val="24"/>
              </w:rPr>
            </w:pPr>
            <w:r>
              <w:rPr>
                <w:rFonts w:hint="eastAsia" w:ascii="仿宋" w:hAnsi="仿宋" w:eastAsia="仿宋" w:cs="仿宋"/>
                <w:color w:val="000000"/>
                <w:kern w:val="0"/>
                <w:sz w:val="24"/>
                <w:szCs w:val="24"/>
                <w:lang w:bidi="ar"/>
              </w:rPr>
              <w:t>20</w:t>
            </w:r>
          </w:p>
        </w:tc>
        <w:tc>
          <w:tcPr>
            <w:tcW w:w="1607"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完成进度</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sz w:val="24"/>
                <w:szCs w:val="24"/>
              </w:rPr>
            </w:pPr>
            <w:r>
              <w:rPr>
                <w:rFonts w:hint="eastAsia" w:ascii="仿宋" w:hAnsi="仿宋" w:eastAsia="仿宋" w:cs="仿宋"/>
                <w:color w:val="000000"/>
                <w:kern w:val="0"/>
                <w:sz w:val="24"/>
                <w:szCs w:val="24"/>
                <w:lang w:bidi="ar"/>
              </w:rPr>
              <w:t>8</w:t>
            </w:r>
          </w:p>
        </w:tc>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开工率</w:t>
            </w:r>
          </w:p>
        </w:tc>
        <w:tc>
          <w:tcPr>
            <w:tcW w:w="962"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sz w:val="24"/>
                <w:szCs w:val="24"/>
              </w:rPr>
            </w:pPr>
            <w:r>
              <w:rPr>
                <w:rFonts w:hint="eastAsia" w:ascii="仿宋" w:hAnsi="仿宋" w:eastAsia="仿宋" w:cs="仿宋"/>
                <w:color w:val="000000"/>
                <w:kern w:val="0"/>
                <w:sz w:val="24"/>
                <w:szCs w:val="24"/>
                <w:lang w:bidi="ar"/>
              </w:rPr>
              <w:t>8</w:t>
            </w:r>
          </w:p>
        </w:tc>
      </w:tr>
      <w:tr>
        <w:tblPrEx>
          <w:tblCellMar>
            <w:top w:w="0" w:type="dxa"/>
            <w:left w:w="108" w:type="dxa"/>
            <w:bottom w:w="0" w:type="dxa"/>
            <w:right w:w="108" w:type="dxa"/>
          </w:tblCellMar>
        </w:tblPrEx>
        <w:trPr>
          <w:trHeight w:val="504"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color w:val="000000"/>
                <w:kern w:val="0"/>
                <w:sz w:val="24"/>
                <w:szCs w:val="24"/>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color w:val="000000"/>
                <w:kern w:val="0"/>
                <w:sz w:val="24"/>
                <w:szCs w:val="24"/>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ind w:firstLine="480"/>
              <w:jc w:val="center"/>
              <w:rPr>
                <w:rFonts w:ascii="仿宋" w:hAnsi="仿宋" w:eastAsia="仿宋" w:cs="仿宋"/>
                <w:color w:val="000000"/>
                <w:kern w:val="0"/>
                <w:sz w:val="24"/>
                <w:szCs w:val="24"/>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color w:val="000000"/>
                <w:kern w:val="0"/>
                <w:sz w:val="24"/>
                <w:szCs w:val="24"/>
              </w:rPr>
            </w:pPr>
          </w:p>
        </w:tc>
        <w:tc>
          <w:tcPr>
            <w:tcW w:w="1607" w:type="dxa"/>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完成时间</w:t>
            </w:r>
          </w:p>
        </w:tc>
        <w:tc>
          <w:tcPr>
            <w:tcW w:w="95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4</w:t>
            </w:r>
          </w:p>
        </w:tc>
        <w:tc>
          <w:tcPr>
            <w:tcW w:w="193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计划推进及时性</w:t>
            </w:r>
          </w:p>
        </w:tc>
        <w:tc>
          <w:tcPr>
            <w:tcW w:w="96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bidi="ar"/>
              </w:rPr>
              <w:t>4</w:t>
            </w:r>
          </w:p>
        </w:tc>
      </w:tr>
      <w:tr>
        <w:tblPrEx>
          <w:tblCellMar>
            <w:top w:w="0" w:type="dxa"/>
            <w:left w:w="108" w:type="dxa"/>
            <w:bottom w:w="0" w:type="dxa"/>
            <w:right w:w="108" w:type="dxa"/>
          </w:tblCellMar>
        </w:tblPrEx>
        <w:trPr>
          <w:trHeight w:val="504"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highlight w:val="yellow"/>
              </w:rPr>
            </w:pPr>
          </w:p>
        </w:tc>
        <w:tc>
          <w:tcPr>
            <w:tcW w:w="1009"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highlight w:val="yellow"/>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ind w:firstLine="480"/>
              <w:jc w:val="center"/>
              <w:rPr>
                <w:rFonts w:ascii="仿宋" w:hAnsi="仿宋" w:eastAsia="仿宋" w:cs="仿宋"/>
                <w:sz w:val="24"/>
                <w:szCs w:val="24"/>
              </w:rPr>
            </w:pPr>
          </w:p>
        </w:tc>
        <w:tc>
          <w:tcPr>
            <w:tcW w:w="160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完成质量</w:t>
            </w:r>
          </w:p>
        </w:tc>
        <w:tc>
          <w:tcPr>
            <w:tcW w:w="95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sz w:val="24"/>
                <w:szCs w:val="24"/>
              </w:rPr>
            </w:pPr>
            <w:r>
              <w:rPr>
                <w:rFonts w:hint="eastAsia" w:ascii="仿宋" w:hAnsi="仿宋" w:eastAsia="仿宋" w:cs="仿宋"/>
                <w:color w:val="000000"/>
                <w:kern w:val="0"/>
                <w:sz w:val="24"/>
                <w:szCs w:val="24"/>
                <w:lang w:bidi="ar"/>
              </w:rPr>
              <w:t>8</w:t>
            </w:r>
          </w:p>
        </w:tc>
        <w:tc>
          <w:tcPr>
            <w:tcW w:w="193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2"/>
                <w:lang w:bidi="ar"/>
              </w:rPr>
              <w:t>因地制宜确定改造内容</w:t>
            </w:r>
          </w:p>
        </w:tc>
        <w:tc>
          <w:tcPr>
            <w:tcW w:w="96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sz w:val="24"/>
                <w:szCs w:val="24"/>
              </w:rPr>
            </w:pPr>
            <w:r>
              <w:rPr>
                <w:rFonts w:hint="eastAsia" w:ascii="仿宋" w:hAnsi="仿宋" w:eastAsia="仿宋" w:cs="仿宋"/>
                <w:color w:val="000000"/>
                <w:kern w:val="0"/>
                <w:sz w:val="24"/>
                <w:szCs w:val="24"/>
                <w:lang w:bidi="ar"/>
              </w:rPr>
              <w:t>8</w:t>
            </w:r>
          </w:p>
        </w:tc>
      </w:tr>
      <w:tr>
        <w:tblPrEx>
          <w:tblCellMar>
            <w:top w:w="0" w:type="dxa"/>
            <w:left w:w="108" w:type="dxa"/>
            <w:bottom w:w="0" w:type="dxa"/>
            <w:right w:w="108" w:type="dxa"/>
          </w:tblCellMar>
        </w:tblPrEx>
        <w:trPr>
          <w:trHeight w:val="627" w:hRule="atLeast"/>
          <w:jc w:val="center"/>
        </w:trPr>
        <w:tc>
          <w:tcPr>
            <w:tcW w:w="1008" w:type="dxa"/>
            <w:vMerge w:val="restart"/>
            <w:tcBorders>
              <w:top w:val="nil"/>
              <w:left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效益</w:t>
            </w:r>
          </w:p>
        </w:tc>
        <w:tc>
          <w:tcPr>
            <w:tcW w:w="1009" w:type="dxa"/>
            <w:vMerge w:val="restart"/>
            <w:tcBorders>
              <w:top w:val="nil"/>
              <w:left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30</w:t>
            </w:r>
          </w:p>
        </w:tc>
        <w:tc>
          <w:tcPr>
            <w:tcW w:w="1071" w:type="dxa"/>
            <w:vMerge w:val="restart"/>
            <w:tcBorders>
              <w:top w:val="nil"/>
              <w:left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效果性</w:t>
            </w:r>
          </w:p>
        </w:tc>
        <w:tc>
          <w:tcPr>
            <w:tcW w:w="1053" w:type="dxa"/>
            <w:vMerge w:val="restart"/>
            <w:tcBorders>
              <w:top w:val="nil"/>
              <w:left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25</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经济效益</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w:t>
            </w:r>
          </w:p>
        </w:tc>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经济效益</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w:t>
            </w:r>
          </w:p>
        </w:tc>
      </w:tr>
      <w:tr>
        <w:tblPrEx>
          <w:tblCellMar>
            <w:top w:w="0" w:type="dxa"/>
            <w:left w:w="108" w:type="dxa"/>
            <w:bottom w:w="0" w:type="dxa"/>
            <w:right w:w="108" w:type="dxa"/>
          </w:tblCellMar>
        </w:tblPrEx>
        <w:trPr>
          <w:trHeight w:val="627" w:hRule="atLeast"/>
          <w:jc w:val="center"/>
        </w:trPr>
        <w:tc>
          <w:tcPr>
            <w:tcW w:w="1008"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pPr>
          </w:p>
        </w:tc>
        <w:tc>
          <w:tcPr>
            <w:tcW w:w="1009"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pPr>
          </w:p>
        </w:tc>
        <w:tc>
          <w:tcPr>
            <w:tcW w:w="1071" w:type="dxa"/>
            <w:vMerge w:val="continue"/>
            <w:tcBorders>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textAlignment w:val="center"/>
            </w:pPr>
          </w:p>
        </w:tc>
        <w:tc>
          <w:tcPr>
            <w:tcW w:w="1053"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pPr>
          </w:p>
        </w:tc>
        <w:tc>
          <w:tcPr>
            <w:tcW w:w="160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社会效益</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8</w:t>
            </w:r>
          </w:p>
        </w:tc>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提升居民获得感、幸福感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8</w:t>
            </w:r>
          </w:p>
        </w:tc>
      </w:tr>
      <w:tr>
        <w:tblPrEx>
          <w:tblCellMar>
            <w:top w:w="0" w:type="dxa"/>
            <w:left w:w="108" w:type="dxa"/>
            <w:bottom w:w="0" w:type="dxa"/>
            <w:right w:w="108" w:type="dxa"/>
          </w:tblCellMar>
        </w:tblPrEx>
        <w:trPr>
          <w:trHeight w:val="574" w:hRule="atLeast"/>
          <w:jc w:val="center"/>
        </w:trPr>
        <w:tc>
          <w:tcPr>
            <w:tcW w:w="1008" w:type="dxa"/>
            <w:vMerge w:val="continue"/>
            <w:tcBorders>
              <w:left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lang w:bidi="ar"/>
              </w:rPr>
            </w:pPr>
          </w:p>
        </w:tc>
        <w:tc>
          <w:tcPr>
            <w:tcW w:w="1009" w:type="dxa"/>
            <w:vMerge w:val="continue"/>
            <w:tcBorders>
              <w:left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lang w:bidi="ar"/>
              </w:rPr>
            </w:pPr>
          </w:p>
        </w:tc>
        <w:tc>
          <w:tcPr>
            <w:tcW w:w="1071" w:type="dxa"/>
            <w:vMerge w:val="continue"/>
            <w:tcBorders>
              <w:top w:val="nil"/>
              <w:left w:val="single" w:color="auto" w:sz="4" w:space="0"/>
              <w:bottom w:val="single" w:color="000000"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lang w:bidi="ar"/>
              </w:rPr>
            </w:pPr>
          </w:p>
        </w:tc>
        <w:tc>
          <w:tcPr>
            <w:tcW w:w="1053"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lang w:bidi="ar"/>
              </w:rPr>
            </w:pP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生态效益</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7</w:t>
            </w:r>
          </w:p>
        </w:tc>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绿化面积增加</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7</w:t>
            </w:r>
          </w:p>
        </w:tc>
      </w:tr>
      <w:tr>
        <w:tblPrEx>
          <w:tblCellMar>
            <w:top w:w="0" w:type="dxa"/>
            <w:left w:w="108" w:type="dxa"/>
            <w:bottom w:w="0" w:type="dxa"/>
            <w:right w:w="108" w:type="dxa"/>
          </w:tblCellMar>
        </w:tblPrEx>
        <w:trPr>
          <w:trHeight w:val="548" w:hRule="atLeast"/>
          <w:jc w:val="center"/>
        </w:trPr>
        <w:tc>
          <w:tcPr>
            <w:tcW w:w="1008"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pPr>
          </w:p>
        </w:tc>
        <w:tc>
          <w:tcPr>
            <w:tcW w:w="1009"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pPr>
          </w:p>
        </w:tc>
        <w:tc>
          <w:tcPr>
            <w:tcW w:w="1071" w:type="dxa"/>
            <w:vMerge w:val="continue"/>
            <w:tcBorders>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textAlignment w:val="center"/>
            </w:pPr>
          </w:p>
        </w:tc>
        <w:tc>
          <w:tcPr>
            <w:tcW w:w="1053"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pP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可持续发展</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w:t>
            </w:r>
          </w:p>
        </w:tc>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可持续发展</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w:t>
            </w:r>
          </w:p>
        </w:tc>
      </w:tr>
      <w:tr>
        <w:tblPrEx>
          <w:tblCellMar>
            <w:top w:w="0" w:type="dxa"/>
            <w:left w:w="108" w:type="dxa"/>
            <w:bottom w:w="0" w:type="dxa"/>
            <w:right w:w="108" w:type="dxa"/>
          </w:tblCellMar>
        </w:tblPrEx>
        <w:trPr>
          <w:trHeight w:val="312" w:hRule="atLeast"/>
          <w:jc w:val="center"/>
        </w:trPr>
        <w:tc>
          <w:tcPr>
            <w:tcW w:w="1008" w:type="dxa"/>
            <w:vMerge w:val="continue"/>
            <w:tcBorders>
              <w:left w:val="single" w:color="auto" w:sz="4" w:space="0"/>
              <w:bottom w:val="single" w:color="auto" w:sz="4" w:space="0"/>
              <w:right w:val="single" w:color="auto" w:sz="4" w:space="0"/>
            </w:tcBorders>
            <w:shd w:val="clear" w:color="auto" w:fill="auto"/>
            <w:vAlign w:val="center"/>
          </w:tcPr>
          <w:p>
            <w:pPr>
              <w:spacing w:line="240" w:lineRule="auto"/>
              <w:ind w:firstLine="420"/>
              <w:rPr>
                <w:rFonts w:ascii="Times New Roman" w:hAnsi="Times New Roman" w:eastAsia="宋体" w:cs="Times New Roman"/>
                <w:sz w:val="21"/>
                <w:highlight w:val="yellow"/>
              </w:rPr>
            </w:pPr>
          </w:p>
        </w:tc>
        <w:tc>
          <w:tcPr>
            <w:tcW w:w="1009" w:type="dxa"/>
            <w:vMerge w:val="continue"/>
            <w:tcBorders>
              <w:left w:val="single" w:color="auto" w:sz="4" w:space="0"/>
              <w:bottom w:val="single" w:color="auto" w:sz="4" w:space="0"/>
              <w:right w:val="single" w:color="auto" w:sz="4" w:space="0"/>
            </w:tcBorders>
            <w:shd w:val="clear" w:color="auto" w:fill="auto"/>
            <w:vAlign w:val="center"/>
          </w:tcPr>
          <w:p>
            <w:pPr>
              <w:spacing w:line="240" w:lineRule="auto"/>
              <w:ind w:firstLine="420"/>
              <w:rPr>
                <w:rFonts w:ascii="Times New Roman" w:hAnsi="Times New Roman" w:eastAsia="宋体" w:cs="Times New Roman"/>
                <w:sz w:val="21"/>
                <w:highlight w:val="yellow"/>
              </w:rPr>
            </w:pPr>
          </w:p>
        </w:tc>
        <w:tc>
          <w:tcPr>
            <w:tcW w:w="1071" w:type="dxa"/>
            <w:tcBorders>
              <w:top w:val="nil"/>
              <w:left w:val="single" w:color="auto" w:sz="4" w:space="0"/>
              <w:bottom w:val="single" w:color="000000"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公平性</w:t>
            </w:r>
          </w:p>
        </w:tc>
        <w:tc>
          <w:tcPr>
            <w:tcW w:w="1053"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满意度</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w:t>
            </w:r>
          </w:p>
        </w:tc>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服务对象满意度</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w:t>
            </w:r>
          </w:p>
        </w:tc>
      </w:tr>
    </w:tbl>
    <w:p>
      <w:pPr>
        <w:pStyle w:val="28"/>
        <w:adjustRightInd w:val="0"/>
        <w:spacing w:before="312" w:beforeLines="100" w:line="360" w:lineRule="auto"/>
        <w:ind w:firstLine="641"/>
        <w:rPr>
          <w:rFonts w:eastAsia="仿宋_GB2312"/>
          <w:b/>
          <w:kern w:val="2"/>
          <w:sz w:val="32"/>
          <w:szCs w:val="32"/>
        </w:rPr>
      </w:pPr>
      <w:r>
        <w:rPr>
          <w:rFonts w:hint="eastAsia" w:eastAsia="仿宋_GB2312"/>
          <w:b/>
          <w:kern w:val="2"/>
          <w:sz w:val="32"/>
          <w:szCs w:val="32"/>
        </w:rPr>
        <w:t>（四）</w:t>
      </w:r>
      <w:r>
        <w:rPr>
          <w:rFonts w:eastAsia="仿宋_GB2312"/>
          <w:b/>
          <w:kern w:val="2"/>
          <w:sz w:val="32"/>
          <w:szCs w:val="32"/>
        </w:rPr>
        <w:t>评价方法</w:t>
      </w:r>
      <w:r>
        <w:rPr>
          <w:rFonts w:hint="eastAsia" w:eastAsia="仿宋_GB2312"/>
          <w:b/>
          <w:kern w:val="2"/>
          <w:sz w:val="32"/>
          <w:szCs w:val="32"/>
        </w:rPr>
        <w:t>。</w:t>
      </w:r>
    </w:p>
    <w:p>
      <w:pPr>
        <w:spacing w:line="360" w:lineRule="auto"/>
        <w:ind w:firstLine="640"/>
        <w:rPr>
          <w:rFonts w:ascii="Times New Roman" w:hAnsi="Times New Roman"/>
          <w:szCs w:val="32"/>
        </w:rPr>
      </w:pPr>
      <w:r>
        <w:rPr>
          <w:rFonts w:ascii="Times New Roman" w:hAnsi="Times New Roman"/>
          <w:szCs w:val="32"/>
        </w:rPr>
        <w:t>针对本次绩效评价，评价组主要采用以下</w:t>
      </w:r>
      <w:r>
        <w:rPr>
          <w:rFonts w:hint="eastAsia" w:ascii="Times New Roman" w:hAnsi="Times New Roman"/>
          <w:szCs w:val="32"/>
        </w:rPr>
        <w:t>四</w:t>
      </w:r>
      <w:r>
        <w:rPr>
          <w:rFonts w:ascii="Times New Roman" w:hAnsi="Times New Roman"/>
          <w:szCs w:val="32"/>
        </w:rPr>
        <w:t>种绩效评价方法相结合的方式对项目资料数据进行分析：</w:t>
      </w:r>
    </w:p>
    <w:p>
      <w:pPr>
        <w:spacing w:line="360" w:lineRule="auto"/>
        <w:ind w:firstLine="640"/>
        <w:rPr>
          <w:rFonts w:ascii="Times New Roman" w:hAnsi="Times New Roman"/>
          <w:szCs w:val="32"/>
        </w:rPr>
      </w:pPr>
      <w:r>
        <w:rPr>
          <w:rFonts w:ascii="Times New Roman" w:hAnsi="Times New Roman"/>
          <w:szCs w:val="32"/>
        </w:rPr>
        <w:t>一是</w:t>
      </w:r>
      <w:r>
        <w:rPr>
          <w:rFonts w:ascii="Times New Roman" w:hAnsi="Times New Roman"/>
          <w:b/>
          <w:szCs w:val="32"/>
        </w:rPr>
        <w:t>成本效益分析法</w:t>
      </w:r>
      <w:r>
        <w:rPr>
          <w:rFonts w:ascii="Times New Roman" w:hAnsi="Times New Roman"/>
          <w:szCs w:val="32"/>
        </w:rPr>
        <w:t>，该方法是将项目一定时期内的支出与效益进行对比分析以评价绩效目标实现程度；</w:t>
      </w:r>
    </w:p>
    <w:p>
      <w:pPr>
        <w:spacing w:line="360" w:lineRule="auto"/>
        <w:ind w:firstLine="640"/>
        <w:rPr>
          <w:rFonts w:ascii="Times New Roman" w:hAnsi="Times New Roman"/>
          <w:szCs w:val="32"/>
        </w:rPr>
      </w:pPr>
      <w:r>
        <w:rPr>
          <w:rFonts w:ascii="Times New Roman" w:hAnsi="Times New Roman"/>
          <w:szCs w:val="32"/>
        </w:rPr>
        <w:t>二是</w:t>
      </w:r>
      <w:r>
        <w:rPr>
          <w:rFonts w:ascii="Times New Roman" w:hAnsi="Times New Roman"/>
          <w:b/>
          <w:szCs w:val="32"/>
        </w:rPr>
        <w:t>最低成本法</w:t>
      </w:r>
      <w:r>
        <w:rPr>
          <w:rFonts w:ascii="Times New Roman" w:hAnsi="Times New Roman"/>
          <w:szCs w:val="32"/>
        </w:rPr>
        <w:t>，该方法是对效益确定却不易计量的多个同类对象的实施成本进行比较以此评价绩效目标实现程度；</w:t>
      </w:r>
    </w:p>
    <w:p>
      <w:pPr>
        <w:spacing w:line="360" w:lineRule="auto"/>
        <w:ind w:firstLine="640"/>
        <w:rPr>
          <w:rFonts w:ascii="Times New Roman" w:hAnsi="Times New Roman"/>
          <w:szCs w:val="32"/>
        </w:rPr>
      </w:pPr>
      <w:r>
        <w:rPr>
          <w:rFonts w:ascii="Times New Roman" w:hAnsi="Times New Roman"/>
          <w:szCs w:val="32"/>
        </w:rPr>
        <w:t>三是</w:t>
      </w:r>
      <w:r>
        <w:rPr>
          <w:rFonts w:ascii="Times New Roman" w:hAnsi="Times New Roman"/>
          <w:b/>
          <w:szCs w:val="32"/>
        </w:rPr>
        <w:t>目标结果比较法</w:t>
      </w:r>
      <w:r>
        <w:rPr>
          <w:rFonts w:ascii="Times New Roman" w:hAnsi="Times New Roman"/>
          <w:szCs w:val="32"/>
        </w:rPr>
        <w:t>，通过对项目预期绩效目标与最终实施效果、历史与当期情况、不同部门和地区同类支出的比较，综合分析绩效目标实现程度；</w:t>
      </w:r>
    </w:p>
    <w:p>
      <w:pPr>
        <w:spacing w:line="360" w:lineRule="auto"/>
        <w:ind w:firstLine="640"/>
        <w:rPr>
          <w:rFonts w:ascii="Times New Roman" w:hAnsi="Times New Roman"/>
          <w:szCs w:val="32"/>
        </w:rPr>
      </w:pPr>
      <w:r>
        <w:rPr>
          <w:rFonts w:ascii="Times New Roman" w:hAnsi="Times New Roman"/>
          <w:szCs w:val="32"/>
        </w:rPr>
        <w:t>四是</w:t>
      </w:r>
      <w:r>
        <w:rPr>
          <w:rFonts w:ascii="Times New Roman" w:hAnsi="Times New Roman"/>
          <w:b/>
          <w:szCs w:val="32"/>
        </w:rPr>
        <w:t>因素分析法</w:t>
      </w:r>
      <w:r>
        <w:rPr>
          <w:rFonts w:ascii="Times New Roman" w:hAnsi="Times New Roman"/>
          <w:szCs w:val="32"/>
        </w:rPr>
        <w:t>，通过综合分析影响绩效目标实现、实施效果的内外因素评价绩效目标实现程度。</w:t>
      </w:r>
    </w:p>
    <w:p>
      <w:pPr>
        <w:pStyle w:val="28"/>
        <w:adjustRightInd w:val="0"/>
        <w:spacing w:line="360" w:lineRule="auto"/>
        <w:ind w:firstLine="641"/>
        <w:rPr>
          <w:rFonts w:eastAsia="仿宋_GB2312"/>
          <w:b/>
          <w:kern w:val="2"/>
          <w:sz w:val="32"/>
          <w:szCs w:val="32"/>
        </w:rPr>
      </w:pPr>
      <w:r>
        <w:rPr>
          <w:rFonts w:hint="eastAsia" w:eastAsia="仿宋_GB2312"/>
          <w:b/>
          <w:kern w:val="2"/>
          <w:sz w:val="32"/>
          <w:szCs w:val="32"/>
        </w:rPr>
        <w:t>（五）</w:t>
      </w:r>
      <w:r>
        <w:rPr>
          <w:rFonts w:eastAsia="仿宋_GB2312"/>
          <w:b/>
          <w:kern w:val="2"/>
          <w:sz w:val="32"/>
          <w:szCs w:val="32"/>
        </w:rPr>
        <w:t>评价</w:t>
      </w:r>
      <w:r>
        <w:rPr>
          <w:rFonts w:hint="eastAsia" w:eastAsia="仿宋_GB2312"/>
          <w:b/>
          <w:kern w:val="2"/>
          <w:sz w:val="32"/>
          <w:szCs w:val="32"/>
        </w:rPr>
        <w:t>标准。</w:t>
      </w:r>
    </w:p>
    <w:p>
      <w:pPr>
        <w:widowControl/>
        <w:spacing w:line="360" w:lineRule="auto"/>
        <w:ind w:firstLine="640"/>
        <w:jc w:val="left"/>
        <w:rPr>
          <w:rFonts w:ascii="Times New Roman" w:hAnsi="Times New Roman"/>
          <w:szCs w:val="32"/>
        </w:rPr>
      </w:pPr>
      <w:r>
        <w:rPr>
          <w:rFonts w:hint="eastAsia" w:ascii="Times New Roman" w:hAnsi="Times New Roman"/>
          <w:szCs w:val="32"/>
        </w:rPr>
        <w:t>本次绩效评价主要采用以下三种绩效评价标准对绩效指标完成情况进行比较：</w:t>
      </w:r>
    </w:p>
    <w:p>
      <w:pPr>
        <w:widowControl/>
        <w:spacing w:line="360" w:lineRule="auto"/>
        <w:ind w:firstLine="640"/>
        <w:jc w:val="left"/>
        <w:rPr>
          <w:rFonts w:ascii="Times New Roman" w:hAnsi="Times New Roman"/>
          <w:szCs w:val="32"/>
        </w:rPr>
      </w:pPr>
      <w:r>
        <w:rPr>
          <w:rFonts w:hint="eastAsia" w:ascii="Times New Roman" w:hAnsi="Times New Roman"/>
          <w:szCs w:val="32"/>
        </w:rPr>
        <w:t>一是计划标准，以项目单位预先制定的目标、计划、预算、定额等作为评价标准。</w:t>
      </w:r>
    </w:p>
    <w:p>
      <w:pPr>
        <w:widowControl/>
        <w:spacing w:line="360" w:lineRule="auto"/>
        <w:ind w:firstLine="640"/>
        <w:jc w:val="left"/>
        <w:rPr>
          <w:rFonts w:ascii="Times New Roman" w:hAnsi="Times New Roman"/>
          <w:szCs w:val="32"/>
        </w:rPr>
      </w:pPr>
      <w:r>
        <w:rPr>
          <w:rFonts w:hint="eastAsia" w:ascii="Times New Roman" w:hAnsi="Times New Roman"/>
          <w:szCs w:val="32"/>
        </w:rPr>
        <w:t>二是行业标准，主要参照国家公布的行业指标数据制定的评价标准。</w:t>
      </w:r>
    </w:p>
    <w:p>
      <w:pPr>
        <w:widowControl/>
        <w:spacing w:line="360" w:lineRule="auto"/>
        <w:ind w:firstLine="640"/>
        <w:jc w:val="left"/>
        <w:rPr>
          <w:rFonts w:ascii="Times New Roman" w:hAnsi="Times New Roman"/>
          <w:szCs w:val="32"/>
        </w:rPr>
      </w:pPr>
      <w:r>
        <w:rPr>
          <w:rFonts w:hint="eastAsia" w:ascii="Times New Roman" w:hAnsi="Times New Roman"/>
          <w:szCs w:val="32"/>
        </w:rPr>
        <w:t>三是历史标准，参照历史数据制定的评价标准，为体现绩效改进的原则，在可实现的条件下确定相对较高的评价标准。</w:t>
      </w:r>
    </w:p>
    <w:p>
      <w:pPr>
        <w:spacing w:line="360" w:lineRule="auto"/>
        <w:ind w:firstLine="641"/>
        <w:rPr>
          <w:rFonts w:ascii="Times New Roman" w:hAnsi="Times New Roman"/>
          <w:b/>
        </w:rPr>
      </w:pPr>
      <w:bookmarkStart w:id="80" w:name="_Toc3815"/>
      <w:r>
        <w:rPr>
          <w:rFonts w:hint="eastAsia" w:ascii="Times New Roman" w:hAnsi="Times New Roman"/>
          <w:b/>
        </w:rPr>
        <w:t>四、</w:t>
      </w:r>
      <w:r>
        <w:rPr>
          <w:rFonts w:ascii="Times New Roman" w:hAnsi="Times New Roman"/>
          <w:b/>
        </w:rPr>
        <w:t>绩效评价实施过程</w:t>
      </w:r>
      <w:r>
        <w:rPr>
          <w:rFonts w:hint="eastAsia" w:ascii="Times New Roman" w:hAnsi="Times New Roman"/>
          <w:b/>
        </w:rPr>
        <w:t>。</w:t>
      </w:r>
      <w:bookmarkEnd w:id="80"/>
    </w:p>
    <w:p>
      <w:pPr>
        <w:autoSpaceDE w:val="0"/>
        <w:autoSpaceDN w:val="0"/>
        <w:spacing w:line="360" w:lineRule="auto"/>
        <w:ind w:firstLine="630" w:firstLineChars="196"/>
        <w:jc w:val="left"/>
        <w:rPr>
          <w:rFonts w:ascii="Times New Roman" w:hAnsi="Times New Roman" w:cs="Times New Roman"/>
          <w:b/>
          <w:szCs w:val="32"/>
        </w:rPr>
      </w:pPr>
      <w:r>
        <w:rPr>
          <w:rFonts w:hint="eastAsia" w:ascii="Times New Roman" w:hAnsi="Times New Roman" w:cs="Times New Roman"/>
          <w:b/>
          <w:szCs w:val="32"/>
        </w:rPr>
        <w:t>（一）前期准备。</w:t>
      </w:r>
      <w:r>
        <w:rPr>
          <w:rFonts w:hint="eastAsia" w:ascii="Times New Roman" w:hAnsi="Times New Roman" w:cs="Times New Roman"/>
          <w:bCs/>
          <w:szCs w:val="32"/>
        </w:rPr>
        <w:t>市财政局</w:t>
      </w:r>
      <w:r>
        <w:rPr>
          <w:rFonts w:hint="eastAsia" w:ascii="Times New Roman" w:hAnsi="Times New Roman" w:cs="Times New Roman"/>
          <w:snapToGrid w:val="0"/>
        </w:rPr>
        <w:t>抽取</w:t>
      </w:r>
      <w:r>
        <w:rPr>
          <w:rFonts w:hint="eastAsia" w:ascii="Times New Roman" w:hAnsi="Times New Roman" w:cs="Times New Roman"/>
          <w:color w:val="000000"/>
        </w:rPr>
        <w:t>重点项目，要求牵头单位开展书面自评工作，</w:t>
      </w:r>
      <w:r>
        <w:rPr>
          <w:rFonts w:hint="eastAsia" w:ascii="Times New Roman" w:hAnsi="Times New Roman" w:cs="Times New Roman"/>
          <w:snapToGrid w:val="0"/>
        </w:rPr>
        <w:t>按要求提交自评报告及相关佐证材料至市财政局，市财政局把自评报告、绩效自评基础信息表及佐证材料报送评价机构。</w:t>
      </w:r>
    </w:p>
    <w:p>
      <w:pPr>
        <w:autoSpaceDE w:val="0"/>
        <w:autoSpaceDN w:val="0"/>
        <w:spacing w:line="360" w:lineRule="auto"/>
        <w:ind w:firstLine="630" w:firstLineChars="196"/>
        <w:rPr>
          <w:rFonts w:ascii="Times New Roman" w:hAnsi="Times New Roman"/>
        </w:rPr>
      </w:pPr>
      <w:r>
        <w:rPr>
          <w:rFonts w:hint="eastAsia" w:ascii="Times New Roman" w:hAnsi="Times New Roman" w:cs="Times New Roman"/>
          <w:b/>
          <w:szCs w:val="32"/>
        </w:rPr>
        <w:t>（二）自评材料审核分析。</w:t>
      </w:r>
      <w:r>
        <w:rPr>
          <w:rFonts w:hint="eastAsia" w:ascii="Times New Roman" w:hAnsi="Times New Roman" w:cs="Times New Roman"/>
          <w:snapToGrid w:val="0"/>
        </w:rPr>
        <w:t>评价组对主管部门和各县（市）提交的绩效自评资料进行收集、分类整理，并对自评材料的有关内容进行审核，重点对《项目绩效自评信息指标评分表》的填报信息的准确性、完整性及相应佐证材料的有效性进行审核，并将审核过程中发现的问题、审核意见记录清楚，为开展现场评价提供情况参考。</w:t>
      </w:r>
    </w:p>
    <w:p>
      <w:pPr>
        <w:autoSpaceDE w:val="0"/>
        <w:autoSpaceDN w:val="0"/>
        <w:spacing w:line="360" w:lineRule="auto"/>
        <w:ind w:firstLine="630" w:firstLineChars="196"/>
        <w:rPr>
          <w:rFonts w:ascii="Times New Roman" w:hAnsi="Times New Roman" w:cs="Times New Roman"/>
          <w:szCs w:val="32"/>
        </w:rPr>
      </w:pPr>
      <w:r>
        <w:rPr>
          <w:rFonts w:hint="eastAsia" w:ascii="Times New Roman" w:hAnsi="Times New Roman" w:cs="Times New Roman"/>
          <w:b/>
          <w:szCs w:val="32"/>
        </w:rPr>
        <w:t>（三）现场评价。</w:t>
      </w:r>
      <w:r>
        <w:rPr>
          <w:rFonts w:hint="eastAsia" w:ascii="Times New Roman" w:hAnsi="Times New Roman" w:cs="Times New Roman"/>
          <w:szCs w:val="32"/>
        </w:rPr>
        <w:t>根据绩效评价有关规定和现场核查实际操作规程，现场评价工作采取选点抽样实地考察的方法。根据评价项目的财政资金属性、区域分布及自评情况，评价小组抽取了梅县区实施现场评价。</w:t>
      </w:r>
    </w:p>
    <w:p>
      <w:pPr>
        <w:autoSpaceDE w:val="0"/>
        <w:autoSpaceDN w:val="0"/>
        <w:spacing w:line="360" w:lineRule="auto"/>
        <w:ind w:firstLine="627" w:firstLineChars="196"/>
        <w:rPr>
          <w:rFonts w:ascii="Times New Roman" w:hAnsi="Times New Roman" w:cs="Times New Roman"/>
          <w:szCs w:val="32"/>
        </w:rPr>
      </w:pPr>
      <w:r>
        <w:rPr>
          <w:rFonts w:hint="eastAsia" w:ascii="Times New Roman" w:hAnsi="Times New Roman" w:cs="Times New Roman"/>
          <w:szCs w:val="32"/>
        </w:rPr>
        <w:drawing>
          <wp:inline distT="0" distB="0" distL="114300" distR="114300">
            <wp:extent cx="2153920" cy="2743200"/>
            <wp:effectExtent l="0" t="0" r="10160" b="0"/>
            <wp:docPr id="4" name="图片 4" descr="DSC_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_3811"/>
                    <pic:cNvPicPr>
                      <a:picLocks noChangeAspect="1"/>
                    </pic:cNvPicPr>
                  </pic:nvPicPr>
                  <pic:blipFill>
                    <a:blip r:embed="rId23"/>
                    <a:stretch>
                      <a:fillRect/>
                    </a:stretch>
                  </pic:blipFill>
                  <pic:spPr>
                    <a:xfrm>
                      <a:off x="0" y="0"/>
                      <a:ext cx="2153920" cy="2743200"/>
                    </a:xfrm>
                    <a:prstGeom prst="rect">
                      <a:avLst/>
                    </a:prstGeom>
                  </pic:spPr>
                </pic:pic>
              </a:graphicData>
            </a:graphic>
          </wp:inline>
        </w:drawing>
      </w:r>
      <w:r>
        <w:rPr>
          <w:rFonts w:hint="eastAsia" w:ascii="Times New Roman" w:hAnsi="Times New Roman" w:cs="Times New Roman"/>
          <w:szCs w:val="32"/>
        </w:rPr>
        <w:drawing>
          <wp:inline distT="0" distB="0" distL="114300" distR="114300">
            <wp:extent cx="2634615" cy="2773680"/>
            <wp:effectExtent l="0" t="0" r="1905" b="0"/>
            <wp:docPr id="7" name="图片 7" descr="DSC_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_3789"/>
                    <pic:cNvPicPr>
                      <a:picLocks noChangeAspect="1"/>
                    </pic:cNvPicPr>
                  </pic:nvPicPr>
                  <pic:blipFill>
                    <a:blip r:embed="rId24"/>
                    <a:stretch>
                      <a:fillRect/>
                    </a:stretch>
                  </pic:blipFill>
                  <pic:spPr>
                    <a:xfrm>
                      <a:off x="0" y="0"/>
                      <a:ext cx="2634615" cy="2773680"/>
                    </a:xfrm>
                    <a:prstGeom prst="rect">
                      <a:avLst/>
                    </a:prstGeom>
                  </pic:spPr>
                </pic:pic>
              </a:graphicData>
            </a:graphic>
          </wp:inline>
        </w:drawing>
      </w:r>
    </w:p>
    <w:p>
      <w:pPr>
        <w:autoSpaceDE w:val="0"/>
        <w:autoSpaceDN w:val="0"/>
        <w:spacing w:line="360" w:lineRule="auto"/>
        <w:ind w:firstLine="2227" w:firstLineChars="696"/>
        <w:rPr>
          <w:rFonts w:ascii="Times New Roman" w:hAnsi="Times New Roman" w:cs="Times New Roman"/>
          <w:szCs w:val="32"/>
        </w:rPr>
      </w:pPr>
      <w:r>
        <w:rPr>
          <w:rFonts w:hint="eastAsia" w:ascii="Times New Roman" w:hAnsi="Times New Roman" w:cs="Times New Roman"/>
          <w:szCs w:val="32"/>
        </w:rPr>
        <w:t>新城办富贵花园二区整改后照片</w:t>
      </w:r>
    </w:p>
    <w:p>
      <w:pPr>
        <w:autoSpaceDE w:val="0"/>
        <w:autoSpaceDN w:val="0"/>
        <w:spacing w:line="360" w:lineRule="auto"/>
        <w:ind w:firstLine="627" w:firstLineChars="196"/>
        <w:rPr>
          <w:rFonts w:ascii="Times New Roman" w:hAnsi="Times New Roman" w:cs="Times New Roman"/>
          <w:szCs w:val="32"/>
        </w:rPr>
      </w:pPr>
    </w:p>
    <w:p>
      <w:pPr>
        <w:pStyle w:val="13"/>
        <w:widowControl/>
        <w:spacing w:after="0"/>
        <w:ind w:left="0" w:leftChars="0" w:firstLine="640"/>
        <w:jc w:val="left"/>
        <w:rPr>
          <w:rFonts w:hint="default" w:ascii="Times New Roman" w:hAnsi="Times New Roman"/>
          <w:sz w:val="32"/>
          <w:szCs w:val="32"/>
        </w:rPr>
      </w:pPr>
      <w:r>
        <w:rPr>
          <w:rFonts w:ascii="Times New Roman" w:hAnsi="Times New Roman"/>
          <w:sz w:val="32"/>
          <w:szCs w:val="32"/>
        </w:rPr>
        <w:t>评价组在整理分析总体情况和项目资料之后，深入到项目现场进行现场核查：一是听取业务主管单位对项目的介绍，核查及收集与项目实施有关的文件材料。二是实地走访项目单位，了解资金使用概况，采集、核对相关基础数据资料。三是对实施单位和基层经办人员进行座谈。专家组人员构成详见下表。</w:t>
      </w:r>
    </w:p>
    <w:p>
      <w:pPr>
        <w:spacing w:line="360" w:lineRule="auto"/>
        <w:ind w:firstLine="0" w:firstLineChars="0"/>
        <w:jc w:val="center"/>
        <w:rPr>
          <w:rFonts w:ascii="Times New Roman" w:hAnsi="Times New Roman" w:eastAsia="黑体" w:cs="Times New Roman"/>
          <w:sz w:val="28"/>
          <w:szCs w:val="28"/>
        </w:rPr>
      </w:pPr>
      <w:r>
        <w:rPr>
          <w:rFonts w:hint="eastAsia" w:ascii="Times New Roman" w:hAnsi="Times New Roman" w:eastAsia="黑体" w:cs="Times New Roman"/>
          <w:sz w:val="28"/>
          <w:szCs w:val="28"/>
        </w:rPr>
        <w:t>评价组成员</w:t>
      </w:r>
    </w:p>
    <w:tbl>
      <w:tblPr>
        <w:tblStyle w:val="17"/>
        <w:tblW w:w="7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134"/>
        <w:gridCol w:w="2551"/>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0" w:firstLineChars="0"/>
              <w:jc w:val="center"/>
              <w:rPr>
                <w:rFonts w:ascii="仿宋" w:hAnsi="仿宋" w:eastAsia="仿宋" w:cs="Times New Roman"/>
                <w:b/>
                <w:sz w:val="24"/>
                <w:szCs w:val="24"/>
              </w:rPr>
            </w:pPr>
            <w:r>
              <w:rPr>
                <w:rFonts w:hint="eastAsia" w:ascii="仿宋" w:hAnsi="仿宋" w:eastAsia="仿宋" w:cs="Times New Roman"/>
                <w:b/>
                <w:sz w:val="24"/>
                <w:szCs w:val="24"/>
              </w:rPr>
              <w:t>序号</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0" w:firstLineChars="0"/>
              <w:jc w:val="center"/>
              <w:rPr>
                <w:rFonts w:ascii="仿宋" w:hAnsi="仿宋" w:eastAsia="仿宋" w:cs="Times New Roman"/>
                <w:b/>
                <w:sz w:val="24"/>
                <w:szCs w:val="24"/>
              </w:rPr>
            </w:pPr>
            <w:r>
              <w:rPr>
                <w:rFonts w:hint="eastAsia" w:ascii="仿宋" w:hAnsi="仿宋" w:eastAsia="仿宋" w:cs="Times New Roman"/>
                <w:b/>
                <w:sz w:val="24"/>
                <w:szCs w:val="24"/>
              </w:rPr>
              <w:t>姓名</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0" w:firstLineChars="0"/>
              <w:jc w:val="center"/>
              <w:rPr>
                <w:rFonts w:ascii="仿宋" w:hAnsi="仿宋" w:eastAsia="仿宋" w:cs="Times New Roman"/>
                <w:b/>
                <w:sz w:val="24"/>
                <w:szCs w:val="24"/>
              </w:rPr>
            </w:pPr>
            <w:r>
              <w:rPr>
                <w:rFonts w:hint="eastAsia" w:ascii="仿宋" w:hAnsi="仿宋" w:eastAsia="仿宋" w:cs="Times New Roman"/>
                <w:b/>
                <w:sz w:val="24"/>
                <w:szCs w:val="24"/>
              </w:rPr>
              <w:t>资质/职称</w:t>
            </w:r>
          </w:p>
        </w:tc>
        <w:tc>
          <w:tcPr>
            <w:tcW w:w="29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0" w:firstLineChars="0"/>
              <w:jc w:val="center"/>
              <w:rPr>
                <w:rFonts w:ascii="仿宋" w:hAnsi="仿宋" w:eastAsia="仿宋" w:cs="Times New Roman"/>
                <w:b/>
                <w:sz w:val="24"/>
                <w:szCs w:val="24"/>
              </w:rPr>
            </w:pPr>
            <w:r>
              <w:rPr>
                <w:rFonts w:hint="eastAsia" w:ascii="仿宋" w:hAnsi="仿宋" w:eastAsia="仿宋" w:cs="Times New Roman"/>
                <w:b/>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徐录发</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color w:val="000000"/>
                <w:kern w:val="0"/>
                <w:sz w:val="24"/>
                <w:lang w:bidi="ar"/>
              </w:rPr>
              <w:t>注册会计师</w:t>
            </w:r>
          </w:p>
        </w:tc>
        <w:tc>
          <w:tcPr>
            <w:tcW w:w="29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宋体"/>
                <w:color w:val="000000"/>
                <w:kern w:val="0"/>
                <w:sz w:val="22"/>
              </w:rPr>
            </w:pPr>
            <w:r>
              <w:rPr>
                <w:rFonts w:hint="eastAsia" w:ascii="仿宋" w:hAnsi="仿宋" w:eastAsia="仿宋" w:cs="仿宋"/>
                <w:sz w:val="24"/>
              </w:rPr>
              <w:t>同政会计师事务所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范祺</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color w:val="000000"/>
                <w:kern w:val="0"/>
                <w:sz w:val="24"/>
                <w:lang w:bidi="ar"/>
              </w:rPr>
              <w:t>注册会计师</w:t>
            </w:r>
          </w:p>
        </w:tc>
        <w:tc>
          <w:tcPr>
            <w:tcW w:w="29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同政会计师事务所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3</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张美红</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color w:val="000000"/>
                <w:kern w:val="0"/>
                <w:sz w:val="24"/>
                <w:lang w:bidi="ar"/>
              </w:rPr>
              <w:t>会计师</w:t>
            </w:r>
          </w:p>
        </w:tc>
        <w:tc>
          <w:tcPr>
            <w:tcW w:w="29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同政会计师事务所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4</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叶欣</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color w:val="000000"/>
                <w:kern w:val="0"/>
                <w:sz w:val="24"/>
                <w:lang w:bidi="ar"/>
              </w:rPr>
              <w:t>注册会计师</w:t>
            </w:r>
          </w:p>
        </w:tc>
        <w:tc>
          <w:tcPr>
            <w:tcW w:w="29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同政会计师事务所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高春源</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color w:val="000000"/>
                <w:kern w:val="0"/>
                <w:sz w:val="24"/>
                <w:lang w:bidi="ar"/>
              </w:rPr>
              <w:t>税务师</w:t>
            </w:r>
          </w:p>
        </w:tc>
        <w:tc>
          <w:tcPr>
            <w:tcW w:w="29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同政会计师事务所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0" w:firstLineChars="0"/>
              <w:jc w:val="center"/>
              <w:rPr>
                <w:rFonts w:ascii="仿宋" w:hAnsi="仿宋" w:eastAsia="仿宋" w:cs="Times New Roman"/>
                <w:sz w:val="24"/>
                <w:szCs w:val="24"/>
              </w:rPr>
            </w:pPr>
            <w:r>
              <w:rPr>
                <w:rFonts w:hint="eastAsia" w:ascii="仿宋" w:hAnsi="仿宋" w:eastAsia="仿宋" w:cs="Times New Roman"/>
                <w:sz w:val="24"/>
                <w:szCs w:val="24"/>
              </w:rPr>
              <w:t>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邓峰</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color w:val="000000"/>
                <w:kern w:val="0"/>
                <w:sz w:val="24"/>
                <w:lang w:bidi="ar"/>
              </w:rPr>
              <w:t>税务师</w:t>
            </w:r>
          </w:p>
        </w:tc>
        <w:tc>
          <w:tcPr>
            <w:tcW w:w="29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ascii="仿宋" w:hAnsi="仿宋" w:eastAsia="仿宋" w:cs="Times New Roman"/>
                <w:sz w:val="24"/>
                <w:szCs w:val="24"/>
              </w:rPr>
            </w:pPr>
            <w:r>
              <w:rPr>
                <w:rFonts w:hint="eastAsia" w:ascii="仿宋" w:hAnsi="仿宋" w:eastAsia="仿宋" w:cs="仿宋"/>
                <w:sz w:val="24"/>
              </w:rPr>
              <w:t>同政会计师事务所</w:t>
            </w:r>
          </w:p>
        </w:tc>
      </w:tr>
    </w:tbl>
    <w:p>
      <w:pPr>
        <w:spacing w:line="360" w:lineRule="auto"/>
        <w:ind w:firstLine="640"/>
        <w:rPr>
          <w:rFonts w:ascii="Times New Roman" w:hAnsi="Times New Roman"/>
        </w:rPr>
      </w:pPr>
      <w:r>
        <w:rPr>
          <w:rFonts w:hint="eastAsia" w:ascii="Times New Roman" w:hAnsi="Times New Roman" w:cs="Times New Roman"/>
          <w:snapToGrid w:val="0"/>
        </w:rPr>
        <w:t>现场评价主要采取材料核实、询问答辩和</w:t>
      </w:r>
      <w:r>
        <w:rPr>
          <w:rFonts w:hint="eastAsia" w:ascii="Times New Roman" w:hAnsi="Times New Roman" w:cs="Times New Roman"/>
          <w:szCs w:val="32"/>
        </w:rPr>
        <w:t>实地考察</w:t>
      </w:r>
      <w:r>
        <w:rPr>
          <w:rFonts w:hint="eastAsia" w:ascii="Times New Roman" w:hAnsi="Times New Roman" w:cs="Times New Roman"/>
          <w:snapToGrid w:val="0"/>
        </w:rPr>
        <w:t>走访等方式，对评价范围资金使用情况（包括自评材料反映信息的真实性、准确性、全面性等）进行深入具体、独立客观的了解与核实。</w:t>
      </w:r>
    </w:p>
    <w:p>
      <w:pPr>
        <w:spacing w:line="360" w:lineRule="auto"/>
        <w:ind w:firstLine="640"/>
        <w:rPr>
          <w:rFonts w:ascii="Times New Roman" w:hAnsi="Times New Roman"/>
        </w:rPr>
      </w:pPr>
      <w:r>
        <w:rPr>
          <w:rFonts w:hint="eastAsia" w:ascii="Times New Roman" w:hAnsi="Times New Roman" w:cs="Times New Roman"/>
        </w:rPr>
        <w:t>1.</w:t>
      </w:r>
      <w:r>
        <w:rPr>
          <w:rFonts w:hint="eastAsia" w:ascii="Times New Roman" w:hAnsi="Times New Roman" w:cs="Times New Roman"/>
          <w:snapToGrid w:val="0"/>
        </w:rPr>
        <w:t>材料核实。</w:t>
      </w:r>
      <w:r>
        <w:rPr>
          <w:rFonts w:hint="eastAsia" w:ascii="Times New Roman" w:hAnsi="Times New Roman" w:cs="Times New Roman"/>
        </w:rPr>
        <w:t>项目单位</w:t>
      </w:r>
      <w:r>
        <w:rPr>
          <w:rFonts w:hint="eastAsia" w:ascii="Times New Roman" w:hAnsi="Times New Roman" w:cs="Times New Roman"/>
          <w:snapToGrid w:val="0"/>
        </w:rPr>
        <w:t>根据要求填报并提供有关评价资料，评价组对各项数据和资料的真实性、准确性进行核实。</w:t>
      </w:r>
    </w:p>
    <w:p>
      <w:pPr>
        <w:spacing w:line="360" w:lineRule="auto"/>
        <w:ind w:firstLine="640"/>
        <w:rPr>
          <w:rFonts w:ascii="Times New Roman" w:hAnsi="Times New Roman" w:cs="Times New Roman"/>
          <w:snapToGrid w:val="0"/>
        </w:rPr>
      </w:pPr>
      <w:r>
        <w:rPr>
          <w:rFonts w:hint="eastAsia" w:ascii="Times New Roman" w:hAnsi="Times New Roman" w:cs="Times New Roman"/>
        </w:rPr>
        <w:t>2.</w:t>
      </w:r>
      <w:r>
        <w:rPr>
          <w:rFonts w:hint="eastAsia" w:ascii="Times New Roman" w:hAnsi="Times New Roman" w:cs="Times New Roman"/>
          <w:snapToGrid w:val="0"/>
        </w:rPr>
        <w:t>询问答辩。评价组召集项目实施有关单位代表参加询问答辩会。由市主管部门对专项资金实施情况做汇报，评价组就汇报内容及佐证材料进行询问，有关单位代表就评价组的询问进行了现场答复，对个别问题进行了会后补充材料书面答复。</w:t>
      </w:r>
    </w:p>
    <w:p>
      <w:pPr>
        <w:spacing w:line="360" w:lineRule="auto"/>
        <w:ind w:firstLine="640"/>
        <w:rPr>
          <w:rFonts w:ascii="Times New Roman" w:hAnsi="Times New Roman" w:cs="Times New Roman"/>
          <w:szCs w:val="32"/>
        </w:rPr>
      </w:pPr>
      <w:r>
        <w:rPr>
          <w:rFonts w:hint="eastAsia" w:ascii="Times New Roman" w:hAnsi="Times New Roman" w:cs="Times New Roman"/>
        </w:rPr>
        <w:t>3.</w:t>
      </w:r>
      <w:r>
        <w:rPr>
          <w:rFonts w:hint="eastAsia" w:ascii="Times New Roman" w:hAnsi="Times New Roman" w:cs="Times New Roman"/>
          <w:szCs w:val="32"/>
        </w:rPr>
        <w:t>实地考察</w:t>
      </w:r>
      <w:r>
        <w:rPr>
          <w:rFonts w:hint="eastAsia" w:ascii="Times New Roman" w:hAnsi="Times New Roman" w:cs="Times New Roman"/>
          <w:snapToGrid w:val="0"/>
        </w:rPr>
        <w:t>。</w:t>
      </w:r>
      <w:r>
        <w:rPr>
          <w:rFonts w:hint="eastAsia" w:ascii="Times New Roman" w:hAnsi="Times New Roman" w:cs="Times New Roman"/>
        </w:rPr>
        <w:t>评价组结合材料核查和现场询问答辩的实际情况，抽取了梅县区进行实地考察</w:t>
      </w:r>
      <w:r>
        <w:rPr>
          <w:rFonts w:hint="eastAsia" w:ascii="Times New Roman" w:hAnsi="Times New Roman" w:cs="Times New Roman"/>
          <w:snapToGrid w:val="0"/>
        </w:rPr>
        <w:t>。</w:t>
      </w:r>
    </w:p>
    <w:p>
      <w:pPr>
        <w:autoSpaceDE w:val="0"/>
        <w:autoSpaceDN w:val="0"/>
        <w:spacing w:line="360" w:lineRule="auto"/>
        <w:ind w:firstLine="630" w:firstLineChars="196"/>
        <w:rPr>
          <w:rFonts w:ascii="Times New Roman" w:hAnsi="Times New Roman"/>
        </w:rPr>
      </w:pPr>
      <w:r>
        <w:rPr>
          <w:rFonts w:hint="eastAsia" w:ascii="Times New Roman" w:hAnsi="Times New Roman" w:cs="Times New Roman"/>
          <w:b/>
          <w:szCs w:val="32"/>
        </w:rPr>
        <w:t>（四）综合分析评价。</w:t>
      </w:r>
      <w:r>
        <w:rPr>
          <w:rFonts w:hint="eastAsia" w:ascii="Times New Roman" w:hAnsi="Times New Roman" w:cs="Times New Roman"/>
          <w:snapToGrid w:val="0"/>
        </w:rPr>
        <w:t>评价组对采集的评价相关基础数据资料进行整理汇总，结合现场评价等情况，对项目资金的落实、组织实施、效果等情况进行多角度、全方位的了解分析项目实施的效果等情况进行全面分析，并采用项目预定目标与实施效果比较分析等方法进行综合评价，形成初步评价意见。</w:t>
      </w:r>
    </w:p>
    <w:p>
      <w:pPr>
        <w:tabs>
          <w:tab w:val="left" w:pos="4678"/>
        </w:tabs>
        <w:autoSpaceDE w:val="0"/>
        <w:autoSpaceDN w:val="0"/>
        <w:spacing w:line="360" w:lineRule="auto"/>
        <w:ind w:firstLine="630" w:firstLineChars="196"/>
        <w:rPr>
          <w:rFonts w:ascii="Times New Roman" w:hAnsi="Times New Roman"/>
        </w:rPr>
      </w:pPr>
      <w:r>
        <w:rPr>
          <w:rFonts w:hint="eastAsia" w:ascii="Times New Roman" w:hAnsi="Times New Roman" w:cs="Times New Roman"/>
          <w:b/>
          <w:szCs w:val="32"/>
        </w:rPr>
        <w:t>（五）评价报告征求意见。</w:t>
      </w:r>
      <w:r>
        <w:rPr>
          <w:rFonts w:hint="eastAsia" w:ascii="Times New Roman" w:hAnsi="Times New Roman" w:cs="Times New Roman"/>
          <w:snapToGrid w:val="0"/>
        </w:rPr>
        <w:t>市财政局将项目使用绩效初步评价结论反馈主管部门征求意见。</w:t>
      </w:r>
    </w:p>
    <w:p>
      <w:pPr>
        <w:widowControl/>
        <w:spacing w:line="360" w:lineRule="auto"/>
        <w:ind w:firstLine="641"/>
        <w:jc w:val="left"/>
        <w:rPr>
          <w:rFonts w:ascii="Times New Roman" w:hAnsi="Times New Roman" w:cs="Times New Roman"/>
        </w:rPr>
      </w:pPr>
      <w:r>
        <w:rPr>
          <w:rFonts w:hint="eastAsia" w:ascii="Times New Roman" w:hAnsi="Times New Roman" w:cs="Times New Roman"/>
          <w:b/>
          <w:szCs w:val="32"/>
        </w:rPr>
        <w:t>（六）出具评价报告。</w:t>
      </w:r>
      <w:r>
        <w:rPr>
          <w:rFonts w:hint="eastAsia" w:ascii="Times New Roman" w:hAnsi="Times New Roman" w:cs="Times New Roman"/>
        </w:rPr>
        <w:t>市财政局</w:t>
      </w:r>
      <w:r>
        <w:rPr>
          <w:rFonts w:hint="eastAsia" w:ascii="Times New Roman" w:hAnsi="Times New Roman" w:cs="Times New Roman"/>
          <w:snapToGrid w:val="0"/>
        </w:rPr>
        <w:t>将被评价单位意见反馈至我</w:t>
      </w:r>
      <w:r>
        <w:rPr>
          <w:rFonts w:hint="eastAsia" w:ascii="Times New Roman" w:hAnsi="仿宋_GB2312" w:cs="仿宋_GB2312"/>
          <w:szCs w:val="32"/>
        </w:rPr>
        <w:t>所</w:t>
      </w:r>
      <w:r>
        <w:rPr>
          <w:rFonts w:hint="eastAsia" w:ascii="Times New Roman" w:hAnsi="Times New Roman" w:cs="Times New Roman"/>
          <w:snapToGrid w:val="0"/>
        </w:rPr>
        <w:t>，由我</w:t>
      </w:r>
      <w:r>
        <w:rPr>
          <w:rFonts w:hint="eastAsia" w:ascii="Times New Roman" w:hAnsi="仿宋_GB2312" w:cs="仿宋_GB2312"/>
          <w:szCs w:val="32"/>
        </w:rPr>
        <w:t>所</w:t>
      </w:r>
      <w:r>
        <w:rPr>
          <w:rFonts w:hint="eastAsia" w:ascii="Times New Roman" w:hAnsi="Times New Roman" w:cs="Times New Roman"/>
          <w:snapToGrid w:val="0"/>
        </w:rPr>
        <w:t>对评价报告进行完善</w:t>
      </w:r>
      <w:r>
        <w:rPr>
          <w:rFonts w:hint="eastAsia" w:ascii="Times New Roman" w:hAnsi="Times New Roman" w:cs="Times New Roman"/>
        </w:rPr>
        <w:t>，形成正式评价报告。</w:t>
      </w:r>
    </w:p>
    <w:p>
      <w:pPr>
        <w:widowControl/>
        <w:spacing w:line="360" w:lineRule="auto"/>
        <w:ind w:firstLine="641"/>
        <w:jc w:val="left"/>
        <w:rPr>
          <w:rFonts w:ascii="Times New Roman" w:hAnsi="Times New Roman" w:eastAsia="楷体_GB2312" w:cs="楷体_GB2312"/>
          <w:b/>
          <w:bCs/>
        </w:rPr>
      </w:pPr>
      <w:r>
        <w:rPr>
          <w:rFonts w:hint="eastAsia" w:ascii="Times New Roman" w:hAnsi="Times New Roman" w:eastAsia="楷体_GB2312" w:cs="楷体_GB2312"/>
          <w:b/>
          <w:bCs/>
        </w:rPr>
        <w:t>五、评价局限性</w:t>
      </w:r>
    </w:p>
    <w:p>
      <w:pPr>
        <w:widowControl/>
        <w:spacing w:line="360" w:lineRule="auto"/>
        <w:ind w:firstLine="640"/>
        <w:jc w:val="left"/>
        <w:rPr>
          <w:rFonts w:ascii="Times New Roman" w:hAnsi="Times New Roman" w:cs="楷体_GB2312"/>
          <w:bCs/>
        </w:rPr>
      </w:pPr>
      <w:r>
        <w:rPr>
          <w:rFonts w:hint="eastAsia" w:ascii="Times New Roman" w:hAnsi="Times New Roman" w:cs="楷体_GB2312"/>
          <w:bCs/>
        </w:rPr>
        <w:t>（一）项目单位未提供完整的财务资料电子版，因项目涉及的县区实施单位较多，财务凭证资料较多，主要提供方式为各实施单位提供扫描件。</w:t>
      </w:r>
    </w:p>
    <w:p>
      <w:pPr>
        <w:widowControl/>
        <w:spacing w:line="360" w:lineRule="auto"/>
        <w:ind w:firstLine="640"/>
        <w:jc w:val="left"/>
        <w:rPr>
          <w:rFonts w:ascii="Times New Roman" w:hAnsi="Times New Roman" w:cs="楷体_GB2312"/>
          <w:bCs/>
        </w:rPr>
      </w:pPr>
      <w:r>
        <w:rPr>
          <w:rFonts w:hint="eastAsia" w:ascii="Times New Roman" w:hAnsi="Times New Roman" w:cs="楷体_GB2312"/>
          <w:bCs/>
        </w:rPr>
        <w:t>（二）本项目涉及的县区实施单位及层级较多，本次现场评价未能对所有改造小区进行实地考察，仅抽查了梅县区作为实地考察点。</w:t>
      </w:r>
    </w:p>
    <w:p>
      <w:pPr>
        <w:widowControl/>
        <w:spacing w:line="360" w:lineRule="auto"/>
        <w:ind w:firstLine="640"/>
        <w:jc w:val="left"/>
        <w:rPr>
          <w:rFonts w:ascii="Times New Roman" w:hAnsi="Times New Roman" w:eastAsia="楷体_GB2312" w:cs="楷体_GB2312"/>
          <w:b/>
          <w:bCs/>
        </w:rPr>
      </w:pPr>
      <w:r>
        <w:rPr>
          <w:rFonts w:hint="eastAsia" w:ascii="Times New Roman" w:hAnsi="Times New Roman" w:cs="楷体_GB2312"/>
          <w:bCs/>
        </w:rPr>
        <w:t>（三）本次评价项目单位未能提供完整的项目立项、实施、验收等的佐证材料，评价组对项目的综合评价分析主要以已有的数据资料为基础。</w:t>
      </w:r>
    </w:p>
    <w:p>
      <w:pPr>
        <w:widowControl/>
        <w:spacing w:line="360" w:lineRule="auto"/>
        <w:ind w:firstLine="641"/>
        <w:jc w:val="left"/>
        <w:rPr>
          <w:rFonts w:ascii="Times New Roman" w:hAnsi="Times New Roman" w:eastAsia="楷体_GB2312" w:cs="楷体_GB2312"/>
          <w:b/>
          <w:bCs/>
        </w:rPr>
        <w:sectPr>
          <w:pgSz w:w="11906" w:h="16838"/>
          <w:pgMar w:top="1440" w:right="1800" w:bottom="1440" w:left="1800" w:header="851" w:footer="992" w:gutter="0"/>
          <w:cols w:space="425" w:num="1"/>
          <w:docGrid w:type="lines" w:linePitch="312" w:charSpace="0"/>
        </w:sectPr>
      </w:pPr>
    </w:p>
    <w:p>
      <w:pPr>
        <w:spacing w:line="360" w:lineRule="auto"/>
        <w:ind w:firstLine="0" w:firstLineChars="0"/>
        <w:jc w:val="left"/>
        <w:outlineLvl w:val="0"/>
        <w:rPr>
          <w:rFonts w:ascii="Times New Roman" w:hAnsi="Times New Roman" w:eastAsia="黑体" w:cs="黑体"/>
          <w:szCs w:val="32"/>
        </w:rPr>
      </w:pPr>
      <w:bookmarkStart w:id="81" w:name="_Toc89096468"/>
      <w:bookmarkStart w:id="82" w:name="_Toc7453"/>
      <w:r>
        <w:rPr>
          <w:rFonts w:hint="eastAsia" w:ascii="Times New Roman" w:hAnsi="Times New Roman" w:eastAsia="黑体" w:cs="黑体"/>
          <w:szCs w:val="32"/>
        </w:rPr>
        <w:t>附件2</w:t>
      </w:r>
      <w:bookmarkEnd w:id="81"/>
      <w:r>
        <w:rPr>
          <w:rFonts w:hint="eastAsia" w:ascii="Times New Roman" w:hAnsi="Times New Roman" w:eastAsia="黑体" w:cs="黑体"/>
          <w:szCs w:val="32"/>
        </w:rPr>
        <w:t>：梅州市财政支出项目重点绩效评价指标评分表</w:t>
      </w:r>
      <w:bookmarkEnd w:id="82"/>
    </w:p>
    <w:p>
      <w:pPr>
        <w:overflowPunct w:val="0"/>
        <w:autoSpaceDE w:val="0"/>
        <w:autoSpaceDN w:val="0"/>
        <w:spacing w:line="360" w:lineRule="auto"/>
        <w:ind w:firstLine="643"/>
        <w:jc w:val="center"/>
        <w:rPr>
          <w:rFonts w:ascii="Times New Roman" w:hAnsi="Times New Roman" w:eastAsia="楷体_GB2312" w:cs="楷体_GB2312"/>
          <w:b/>
          <w:bCs/>
          <w:sz w:val="28"/>
          <w:szCs w:val="21"/>
        </w:rPr>
      </w:pPr>
      <w:r>
        <w:rPr>
          <w:rFonts w:hint="eastAsia" w:ascii="Times New Roman" w:hAnsi="Times New Roman" w:eastAsia="宋体" w:cs="宋体"/>
          <w:b/>
          <w:szCs w:val="32"/>
        </w:rPr>
        <w:t>梅州市财政支出项目重点绩效评价指标评分表</w:t>
      </w:r>
    </w:p>
    <w:tbl>
      <w:tblPr>
        <w:tblStyle w:val="17"/>
        <w:tblW w:w="14946" w:type="dxa"/>
        <w:tblInd w:w="-232" w:type="dxa"/>
        <w:tblLayout w:type="fixed"/>
        <w:tblCellMar>
          <w:top w:w="0" w:type="dxa"/>
          <w:left w:w="108" w:type="dxa"/>
          <w:bottom w:w="0" w:type="dxa"/>
          <w:right w:w="108" w:type="dxa"/>
        </w:tblCellMar>
      </w:tblPr>
      <w:tblGrid>
        <w:gridCol w:w="802"/>
        <w:gridCol w:w="810"/>
        <w:gridCol w:w="795"/>
        <w:gridCol w:w="795"/>
        <w:gridCol w:w="1050"/>
        <w:gridCol w:w="833"/>
        <w:gridCol w:w="1372"/>
        <w:gridCol w:w="870"/>
        <w:gridCol w:w="6840"/>
        <w:gridCol w:w="779"/>
      </w:tblGrid>
      <w:tr>
        <w:tblPrEx>
          <w:tblCellMar>
            <w:top w:w="0" w:type="dxa"/>
            <w:left w:w="108" w:type="dxa"/>
            <w:bottom w:w="0" w:type="dxa"/>
            <w:right w:w="108" w:type="dxa"/>
          </w:tblCellMar>
        </w:tblPrEx>
        <w:trPr>
          <w:trHeight w:val="500" w:hRule="atLeast"/>
          <w:tblHeader/>
        </w:trPr>
        <w:tc>
          <w:tcPr>
            <w:tcW w:w="732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442"/>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评价指标</w:t>
            </w:r>
          </w:p>
        </w:tc>
        <w:tc>
          <w:tcPr>
            <w:tcW w:w="6840"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442"/>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评分标准及指标解释</w:t>
            </w:r>
          </w:p>
        </w:tc>
        <w:tc>
          <w:tcPr>
            <w:tcW w:w="779"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b/>
                <w:bCs/>
                <w:color w:val="000000"/>
                <w:kern w:val="0"/>
                <w:sz w:val="22"/>
              </w:rPr>
            </w:pPr>
            <w:r>
              <w:rPr>
                <w:rFonts w:hint="eastAsia" w:ascii="仿宋" w:hAnsi="仿宋" w:eastAsia="仿宋" w:cs="仿宋"/>
                <w:b/>
                <w:bCs/>
                <w:color w:val="000000"/>
                <w:kern w:val="0"/>
                <w:sz w:val="22"/>
                <w:lang w:bidi="ar"/>
              </w:rPr>
              <w:t>评分</w:t>
            </w:r>
          </w:p>
        </w:tc>
      </w:tr>
      <w:tr>
        <w:tblPrEx>
          <w:tblCellMar>
            <w:top w:w="0" w:type="dxa"/>
            <w:left w:w="108" w:type="dxa"/>
            <w:bottom w:w="0" w:type="dxa"/>
            <w:right w:w="108" w:type="dxa"/>
          </w:tblCellMar>
        </w:tblPrEx>
        <w:trPr>
          <w:trHeight w:val="425" w:hRule="atLeast"/>
          <w:tblHeader/>
        </w:trPr>
        <w:tc>
          <w:tcPr>
            <w:tcW w:w="16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一级指标</w:t>
            </w:r>
          </w:p>
        </w:tc>
        <w:tc>
          <w:tcPr>
            <w:tcW w:w="159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二级指标</w:t>
            </w:r>
          </w:p>
        </w:tc>
        <w:tc>
          <w:tcPr>
            <w:tcW w:w="188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三级指标</w:t>
            </w:r>
          </w:p>
        </w:tc>
        <w:tc>
          <w:tcPr>
            <w:tcW w:w="224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四级指标</w:t>
            </w:r>
          </w:p>
        </w:tc>
        <w:tc>
          <w:tcPr>
            <w:tcW w:w="6840" w:type="dxa"/>
            <w:vMerge w:val="continue"/>
            <w:tcBorders>
              <w:left w:val="single" w:color="auto" w:sz="4" w:space="0"/>
              <w:right w:val="single" w:color="auto" w:sz="4" w:space="0"/>
            </w:tcBorders>
            <w:vAlign w:val="center"/>
          </w:tcPr>
          <w:p>
            <w:pPr>
              <w:spacing w:line="240" w:lineRule="auto"/>
              <w:ind w:firstLine="442"/>
              <w:jc w:val="center"/>
              <w:rPr>
                <w:rFonts w:ascii="仿宋" w:hAnsi="仿宋" w:eastAsia="仿宋" w:cs="仿宋"/>
                <w:b/>
                <w:bCs/>
                <w:kern w:val="0"/>
                <w:sz w:val="22"/>
                <w:highlight w:val="yellow"/>
              </w:rPr>
            </w:pPr>
          </w:p>
        </w:tc>
        <w:tc>
          <w:tcPr>
            <w:tcW w:w="779" w:type="dxa"/>
            <w:vMerge w:val="continue"/>
            <w:tcBorders>
              <w:left w:val="single" w:color="auto" w:sz="4" w:space="0"/>
              <w:right w:val="single" w:color="auto" w:sz="4" w:space="0"/>
            </w:tcBorders>
            <w:vAlign w:val="center"/>
          </w:tcPr>
          <w:p>
            <w:pPr>
              <w:spacing w:line="240" w:lineRule="auto"/>
              <w:ind w:firstLine="442"/>
              <w:jc w:val="center"/>
              <w:rPr>
                <w:rFonts w:ascii="仿宋" w:hAnsi="仿宋" w:eastAsia="仿宋" w:cs="仿宋"/>
                <w:b/>
                <w:bCs/>
                <w:color w:val="000000"/>
                <w:kern w:val="0"/>
                <w:sz w:val="22"/>
                <w:highlight w:val="yellow"/>
              </w:rPr>
            </w:pPr>
          </w:p>
        </w:tc>
      </w:tr>
      <w:tr>
        <w:tblPrEx>
          <w:tblCellMar>
            <w:top w:w="0" w:type="dxa"/>
            <w:left w:w="108" w:type="dxa"/>
            <w:bottom w:w="0" w:type="dxa"/>
            <w:right w:w="108" w:type="dxa"/>
          </w:tblCellMar>
        </w:tblPrEx>
        <w:trPr>
          <w:trHeight w:val="270" w:hRule="atLeast"/>
          <w:tblHeader/>
        </w:trPr>
        <w:tc>
          <w:tcPr>
            <w:tcW w:w="80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名称</w:t>
            </w:r>
          </w:p>
        </w:tc>
        <w:tc>
          <w:tcPr>
            <w:tcW w:w="8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权重(%)</w:t>
            </w:r>
          </w:p>
        </w:tc>
        <w:tc>
          <w:tcPr>
            <w:tcW w:w="7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名称</w:t>
            </w:r>
          </w:p>
        </w:tc>
        <w:tc>
          <w:tcPr>
            <w:tcW w:w="7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color w:val="000000"/>
                <w:kern w:val="0"/>
                <w:sz w:val="22"/>
                <w:lang w:bidi="ar"/>
              </w:rPr>
            </w:pPr>
            <w:r>
              <w:rPr>
                <w:rFonts w:hint="eastAsia" w:ascii="仿宋" w:hAnsi="仿宋" w:eastAsia="仿宋" w:cs="仿宋"/>
                <w:b/>
                <w:bCs/>
                <w:color w:val="000000"/>
                <w:kern w:val="0"/>
                <w:sz w:val="22"/>
                <w:lang w:bidi="ar"/>
              </w:rPr>
              <w:t>权重</w:t>
            </w:r>
          </w:p>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名称</w:t>
            </w:r>
          </w:p>
        </w:tc>
        <w:tc>
          <w:tcPr>
            <w:tcW w:w="8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权重(%)</w:t>
            </w:r>
          </w:p>
        </w:tc>
        <w:tc>
          <w:tcPr>
            <w:tcW w:w="137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名称</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b/>
                <w:bCs/>
                <w:color w:val="000000"/>
                <w:kern w:val="0"/>
                <w:sz w:val="22"/>
                <w:lang w:bidi="ar"/>
              </w:rPr>
            </w:pPr>
            <w:r>
              <w:rPr>
                <w:rFonts w:hint="eastAsia" w:ascii="仿宋" w:hAnsi="仿宋" w:eastAsia="仿宋" w:cs="仿宋"/>
                <w:b/>
                <w:bCs/>
                <w:color w:val="000000"/>
                <w:kern w:val="0"/>
                <w:sz w:val="22"/>
                <w:lang w:bidi="ar"/>
              </w:rPr>
              <w:t>权重</w:t>
            </w:r>
          </w:p>
          <w:p>
            <w:pPr>
              <w:widowControl/>
              <w:spacing w:line="240" w:lineRule="auto"/>
              <w:ind w:firstLine="0" w:firstLineChars="0"/>
              <w:jc w:val="center"/>
              <w:textAlignment w:val="center"/>
              <w:rPr>
                <w:rFonts w:ascii="仿宋" w:hAnsi="仿宋" w:eastAsia="仿宋" w:cs="仿宋"/>
                <w:b/>
                <w:bCs/>
                <w:kern w:val="0"/>
                <w:sz w:val="22"/>
              </w:rPr>
            </w:pPr>
            <w:r>
              <w:rPr>
                <w:rFonts w:hint="eastAsia" w:ascii="仿宋" w:hAnsi="仿宋" w:eastAsia="仿宋" w:cs="仿宋"/>
                <w:b/>
                <w:bCs/>
                <w:color w:val="000000"/>
                <w:kern w:val="0"/>
                <w:sz w:val="22"/>
                <w:lang w:bidi="ar"/>
              </w:rPr>
              <w:t>(%)</w:t>
            </w:r>
          </w:p>
        </w:tc>
        <w:tc>
          <w:tcPr>
            <w:tcW w:w="6840" w:type="dxa"/>
            <w:vMerge w:val="continue"/>
            <w:tcBorders>
              <w:left w:val="single" w:color="auto" w:sz="4" w:space="0"/>
              <w:bottom w:val="single" w:color="auto" w:sz="4" w:space="0"/>
              <w:right w:val="single" w:color="auto" w:sz="4" w:space="0"/>
            </w:tcBorders>
            <w:vAlign w:val="center"/>
          </w:tcPr>
          <w:p>
            <w:pPr>
              <w:spacing w:line="240" w:lineRule="auto"/>
              <w:ind w:firstLine="442"/>
              <w:jc w:val="center"/>
              <w:rPr>
                <w:rFonts w:ascii="仿宋" w:hAnsi="仿宋" w:eastAsia="仿宋" w:cs="仿宋"/>
                <w:b/>
                <w:bCs/>
                <w:kern w:val="0"/>
                <w:sz w:val="22"/>
                <w:highlight w:val="yellow"/>
              </w:rPr>
            </w:pPr>
          </w:p>
        </w:tc>
        <w:tc>
          <w:tcPr>
            <w:tcW w:w="779" w:type="dxa"/>
            <w:vMerge w:val="continue"/>
            <w:tcBorders>
              <w:left w:val="single" w:color="auto" w:sz="4" w:space="0"/>
              <w:bottom w:val="single" w:color="auto" w:sz="4" w:space="0"/>
              <w:right w:val="single" w:color="auto" w:sz="4" w:space="0"/>
            </w:tcBorders>
            <w:vAlign w:val="center"/>
          </w:tcPr>
          <w:p>
            <w:pPr>
              <w:spacing w:line="240" w:lineRule="auto"/>
              <w:ind w:firstLine="442"/>
              <w:jc w:val="center"/>
              <w:rPr>
                <w:rFonts w:ascii="仿宋" w:hAnsi="仿宋" w:eastAsia="仿宋" w:cs="仿宋"/>
                <w:b/>
                <w:bCs/>
                <w:color w:val="000000"/>
                <w:kern w:val="0"/>
                <w:sz w:val="22"/>
                <w:highlight w:val="yellow"/>
              </w:rPr>
            </w:pPr>
          </w:p>
        </w:tc>
      </w:tr>
      <w:tr>
        <w:tblPrEx>
          <w:tblCellMar>
            <w:top w:w="0" w:type="dxa"/>
            <w:left w:w="108" w:type="dxa"/>
            <w:bottom w:w="0" w:type="dxa"/>
            <w:right w:w="108" w:type="dxa"/>
          </w:tblCellMar>
        </w:tblPrEx>
        <w:trPr>
          <w:trHeight w:val="654" w:hRule="atLeast"/>
        </w:trPr>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color w:val="000000"/>
                <w:kern w:val="0"/>
                <w:sz w:val="22"/>
                <w:lang w:bidi="ar"/>
              </w:rPr>
              <w:t>决策</w:t>
            </w:r>
          </w:p>
        </w:tc>
        <w:tc>
          <w:tcPr>
            <w:tcW w:w="81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15</w:t>
            </w:r>
          </w:p>
        </w:tc>
        <w:tc>
          <w:tcPr>
            <w:tcW w:w="79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项目</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立项</w:t>
            </w:r>
          </w:p>
        </w:tc>
        <w:tc>
          <w:tcPr>
            <w:tcW w:w="79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12</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论证</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决策</w:t>
            </w:r>
          </w:p>
        </w:tc>
        <w:tc>
          <w:tcPr>
            <w:tcW w:w="8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4</w:t>
            </w:r>
          </w:p>
        </w:tc>
        <w:tc>
          <w:tcPr>
            <w:tcW w:w="1372" w:type="dxa"/>
            <w:tcBorders>
              <w:top w:val="nil"/>
              <w:left w:val="nil"/>
              <w:bottom w:val="single" w:color="auto" w:sz="4" w:space="0"/>
              <w:right w:val="single" w:color="auto" w:sz="4" w:space="0"/>
            </w:tcBorders>
            <w:shd w:val="clear" w:color="auto" w:fill="auto"/>
            <w:vAlign w:val="center"/>
          </w:tcPr>
          <w:p>
            <w:pPr>
              <w:widowControl/>
              <w:spacing w:line="240" w:lineRule="auto"/>
              <w:ind w:right="112" w:rightChars="35"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论证</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充分性</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4</w:t>
            </w:r>
          </w:p>
        </w:tc>
        <w:tc>
          <w:tcPr>
            <w:tcW w:w="68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具有前期可行性研究报告或摸底调查工作总结等材料的,得2分；经过集体会议协商、并咨询相关专家意见、且有文字材料的得2分。如无，则根据实际情况核定分数。</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color w:val="000000"/>
                <w:kern w:val="0"/>
                <w:sz w:val="22"/>
                <w:highlight w:val="yellow"/>
              </w:rPr>
            </w:pPr>
            <w:r>
              <w:rPr>
                <w:rFonts w:hint="eastAsia" w:ascii="仿宋" w:hAnsi="仿宋" w:eastAsia="仿宋" w:cs="仿宋"/>
                <w:color w:val="000000"/>
                <w:kern w:val="0"/>
                <w:sz w:val="22"/>
                <w:lang w:bidi="ar"/>
              </w:rPr>
              <w:t>4</w:t>
            </w:r>
          </w:p>
        </w:tc>
      </w:tr>
      <w:tr>
        <w:tblPrEx>
          <w:tblCellMar>
            <w:top w:w="0" w:type="dxa"/>
            <w:left w:w="108" w:type="dxa"/>
            <w:bottom w:w="0" w:type="dxa"/>
            <w:right w:w="108" w:type="dxa"/>
          </w:tblCellMar>
        </w:tblPrEx>
        <w:trPr>
          <w:trHeight w:val="885"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05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目标</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设置</w:t>
            </w:r>
          </w:p>
        </w:tc>
        <w:tc>
          <w:tcPr>
            <w:tcW w:w="83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6</w:t>
            </w:r>
          </w:p>
        </w:tc>
        <w:tc>
          <w:tcPr>
            <w:tcW w:w="137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完整性</w:t>
            </w:r>
          </w:p>
        </w:tc>
        <w:tc>
          <w:tcPr>
            <w:tcW w:w="87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2</w:t>
            </w:r>
          </w:p>
        </w:tc>
        <w:tc>
          <w:tcPr>
            <w:tcW w:w="684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依据相关基础信息和证据判断目标设置的完整性，即是否包含总目标和阶段性目标，是否包括预期提供的公共产品或服务的产出数量、质量、成本指标，预期达到的效果性指标，据此核定分数。</w:t>
            </w:r>
          </w:p>
        </w:tc>
        <w:tc>
          <w:tcPr>
            <w:tcW w:w="779"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color w:val="000000"/>
                <w:kern w:val="0"/>
                <w:sz w:val="22"/>
                <w:highlight w:val="yellow"/>
              </w:rPr>
            </w:pPr>
            <w:r>
              <w:rPr>
                <w:rFonts w:hint="eastAsia" w:ascii="仿宋" w:hAnsi="仿宋" w:eastAsia="仿宋" w:cs="仿宋"/>
                <w:color w:val="000000"/>
                <w:kern w:val="0"/>
                <w:sz w:val="22"/>
                <w:lang w:bidi="ar"/>
              </w:rPr>
              <w:t>1</w:t>
            </w:r>
          </w:p>
        </w:tc>
      </w:tr>
      <w:tr>
        <w:tblPrEx>
          <w:tblCellMar>
            <w:top w:w="0" w:type="dxa"/>
            <w:left w:w="108" w:type="dxa"/>
            <w:bottom w:w="0" w:type="dxa"/>
            <w:right w:w="108" w:type="dxa"/>
          </w:tblCellMar>
        </w:tblPrEx>
        <w:trPr>
          <w:trHeight w:val="285"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050" w:type="dxa"/>
            <w:vMerge w:val="continue"/>
            <w:tcBorders>
              <w:top w:val="nil"/>
              <w:left w:val="single" w:color="auto" w:sz="4" w:space="0"/>
              <w:bottom w:val="single" w:color="000000"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833"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37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合理性</w:t>
            </w:r>
          </w:p>
        </w:tc>
        <w:tc>
          <w:tcPr>
            <w:tcW w:w="8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2</w:t>
            </w: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依据相关基础信息和证据判断目标设置的相关性，即绩效目标是否与资金或项目属性特点、支出内容相关，体现决策意图，同时合乎客观实际，据此核定分数。</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00"/>
                <w:kern w:val="0"/>
                <w:sz w:val="22"/>
                <w:highlight w:val="yellow"/>
                <w:lang w:eastAsia="zh-CN"/>
              </w:rPr>
            </w:pPr>
            <w:r>
              <w:rPr>
                <w:rFonts w:hint="eastAsia" w:ascii="仿宋" w:hAnsi="仿宋" w:eastAsia="仿宋" w:cs="仿宋"/>
                <w:color w:val="000000"/>
                <w:kern w:val="0"/>
                <w:sz w:val="22"/>
                <w:lang w:val="en-US" w:eastAsia="zh-CN" w:bidi="ar"/>
              </w:rPr>
              <w:t>2</w:t>
            </w:r>
          </w:p>
        </w:tc>
      </w:tr>
      <w:tr>
        <w:tblPrEx>
          <w:tblCellMar>
            <w:top w:w="0" w:type="dxa"/>
            <w:left w:w="108" w:type="dxa"/>
            <w:bottom w:w="0" w:type="dxa"/>
            <w:right w:w="108" w:type="dxa"/>
          </w:tblCellMar>
        </w:tblPrEx>
        <w:trPr>
          <w:trHeight w:val="691"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050" w:type="dxa"/>
            <w:vMerge w:val="continue"/>
            <w:tcBorders>
              <w:top w:val="nil"/>
              <w:left w:val="single" w:color="auto" w:sz="4" w:space="0"/>
              <w:bottom w:val="single" w:color="000000"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833"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37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可衡</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量性</w:t>
            </w:r>
          </w:p>
        </w:tc>
        <w:tc>
          <w:tcPr>
            <w:tcW w:w="8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2</w:t>
            </w: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依据相关基础信息和证据判断目标设置的可衡量性，即绩效目标设置是否有数据支撑、是否有可衡量性的产出和效果指标，据此核定分数。</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color w:val="000000"/>
                <w:kern w:val="0"/>
                <w:sz w:val="22"/>
                <w:highlight w:val="yellow"/>
              </w:rPr>
            </w:pPr>
            <w:r>
              <w:rPr>
                <w:rFonts w:hint="eastAsia" w:ascii="仿宋" w:hAnsi="仿宋" w:eastAsia="仿宋" w:cs="仿宋"/>
                <w:color w:val="000000"/>
                <w:kern w:val="0"/>
                <w:sz w:val="22"/>
                <w:lang w:bidi="ar"/>
              </w:rPr>
              <w:t>2</w:t>
            </w:r>
          </w:p>
        </w:tc>
      </w:tr>
      <w:tr>
        <w:tblPrEx>
          <w:tblCellMar>
            <w:top w:w="0" w:type="dxa"/>
            <w:left w:w="108" w:type="dxa"/>
            <w:bottom w:w="0" w:type="dxa"/>
            <w:right w:w="108" w:type="dxa"/>
          </w:tblCellMar>
        </w:tblPrEx>
        <w:trPr>
          <w:trHeight w:val="698"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05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保障</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措施</w:t>
            </w:r>
          </w:p>
        </w:tc>
        <w:tc>
          <w:tcPr>
            <w:tcW w:w="83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2</w:t>
            </w:r>
          </w:p>
        </w:tc>
        <w:tc>
          <w:tcPr>
            <w:tcW w:w="137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制度</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完整性</w:t>
            </w:r>
          </w:p>
        </w:tc>
        <w:tc>
          <w:tcPr>
            <w:tcW w:w="8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1</w:t>
            </w: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依据相关基础信息和证据判断制度完整性和是否具备条件实施，根据实际情况核定分数。</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color w:val="000000"/>
                <w:kern w:val="0"/>
                <w:sz w:val="22"/>
                <w:highlight w:val="yellow"/>
              </w:rPr>
            </w:pPr>
            <w:r>
              <w:rPr>
                <w:rFonts w:hint="eastAsia" w:ascii="仿宋" w:hAnsi="仿宋" w:eastAsia="仿宋" w:cs="仿宋"/>
                <w:color w:val="000000"/>
                <w:kern w:val="0"/>
                <w:sz w:val="22"/>
                <w:lang w:bidi="ar"/>
              </w:rPr>
              <w:t>0.5</w:t>
            </w:r>
          </w:p>
        </w:tc>
      </w:tr>
      <w:tr>
        <w:tblPrEx>
          <w:tblCellMar>
            <w:top w:w="0" w:type="dxa"/>
            <w:left w:w="108" w:type="dxa"/>
            <w:bottom w:w="0" w:type="dxa"/>
            <w:right w:w="108" w:type="dxa"/>
          </w:tblCellMar>
        </w:tblPrEx>
        <w:trPr>
          <w:trHeight w:val="472"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05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833"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37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计划安排</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合理性</w:t>
            </w:r>
          </w:p>
        </w:tc>
        <w:tc>
          <w:tcPr>
            <w:tcW w:w="8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1</w:t>
            </w: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依据工作进度计划等相关基础信息和证据判断，并根据实际情况核定分数。</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color w:val="000000"/>
                <w:kern w:val="0"/>
                <w:sz w:val="22"/>
                <w:highlight w:val="yellow"/>
              </w:rPr>
            </w:pPr>
            <w:r>
              <w:rPr>
                <w:rFonts w:hint="eastAsia" w:ascii="仿宋" w:hAnsi="仿宋" w:eastAsia="仿宋" w:cs="仿宋"/>
                <w:color w:val="000000"/>
                <w:kern w:val="0"/>
                <w:sz w:val="22"/>
              </w:rPr>
              <w:t>0.5</w:t>
            </w:r>
          </w:p>
        </w:tc>
      </w:tr>
      <w:tr>
        <w:tblPrEx>
          <w:tblCellMar>
            <w:top w:w="0" w:type="dxa"/>
            <w:left w:w="108" w:type="dxa"/>
            <w:bottom w:w="0" w:type="dxa"/>
            <w:right w:w="108" w:type="dxa"/>
          </w:tblCellMar>
        </w:tblPrEx>
        <w:trPr>
          <w:trHeight w:val="877"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资金</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落实</w:t>
            </w:r>
          </w:p>
        </w:tc>
        <w:tc>
          <w:tcPr>
            <w:tcW w:w="795"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3</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资金</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分配</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3</w:t>
            </w:r>
          </w:p>
        </w:tc>
        <w:tc>
          <w:tcPr>
            <w:tcW w:w="137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资金分配</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合理性</w:t>
            </w:r>
          </w:p>
        </w:tc>
        <w:tc>
          <w:tcPr>
            <w:tcW w:w="87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3</w:t>
            </w:r>
          </w:p>
        </w:tc>
        <w:tc>
          <w:tcPr>
            <w:tcW w:w="684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仿宋" w:hAnsi="仿宋" w:eastAsia="仿宋" w:cs="仿宋"/>
                <w:kern w:val="0"/>
                <w:sz w:val="22"/>
                <w:highlight w:val="yellow"/>
              </w:rPr>
            </w:pPr>
            <w:r>
              <w:rPr>
                <w:rFonts w:hint="eastAsia" w:ascii="仿宋" w:hAnsi="仿宋" w:eastAsia="仿宋" w:cs="仿宋"/>
                <w:kern w:val="0"/>
                <w:sz w:val="22"/>
                <w:lang w:bidi="ar"/>
              </w:rPr>
              <w:t>依据相关信息和证据判断在项目施实过程中资金分配是否合理，是否有助于实现资金的绩效目标。</w:t>
            </w:r>
          </w:p>
        </w:tc>
        <w:tc>
          <w:tcPr>
            <w:tcW w:w="779"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kern w:val="0"/>
                <w:sz w:val="22"/>
                <w:lang w:bidi="ar"/>
              </w:rPr>
              <w:t>3</w:t>
            </w:r>
          </w:p>
        </w:tc>
      </w:tr>
      <w:tr>
        <w:tblPrEx>
          <w:tblCellMar>
            <w:top w:w="0" w:type="dxa"/>
            <w:left w:w="108" w:type="dxa"/>
            <w:bottom w:w="0" w:type="dxa"/>
            <w:right w:w="108" w:type="dxa"/>
          </w:tblCellMar>
        </w:tblPrEx>
        <w:trPr>
          <w:trHeight w:val="810" w:hRule="atLeast"/>
        </w:trPr>
        <w:tc>
          <w:tcPr>
            <w:tcW w:w="802"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color w:val="000000"/>
                <w:kern w:val="0"/>
                <w:sz w:val="22"/>
                <w:lang w:bidi="ar"/>
              </w:rPr>
              <w:t>管理</w:t>
            </w:r>
          </w:p>
        </w:tc>
        <w:tc>
          <w:tcPr>
            <w:tcW w:w="81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25</w:t>
            </w:r>
          </w:p>
        </w:tc>
        <w:tc>
          <w:tcPr>
            <w:tcW w:w="795"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资金管理</w:t>
            </w:r>
          </w:p>
        </w:tc>
        <w:tc>
          <w:tcPr>
            <w:tcW w:w="795"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color w:val="000000"/>
                <w:kern w:val="0"/>
                <w:sz w:val="22"/>
                <w:lang w:bidi="ar"/>
              </w:rPr>
              <w:t>15</w:t>
            </w:r>
          </w:p>
        </w:tc>
        <w:tc>
          <w:tcPr>
            <w:tcW w:w="1050" w:type="dxa"/>
            <w:tcBorders>
              <w:top w:val="single" w:color="auto" w:sz="4" w:space="0"/>
              <w:left w:val="single" w:color="auto" w:sz="4" w:space="0"/>
              <w:bottom w:val="nil"/>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lang w:bidi="ar"/>
              </w:rPr>
            </w:pPr>
            <w:r>
              <w:rPr>
                <w:rFonts w:hint="eastAsia" w:ascii="仿宋" w:hAnsi="仿宋" w:eastAsia="仿宋" w:cs="仿宋"/>
                <w:kern w:val="0"/>
                <w:sz w:val="22"/>
                <w:lang w:bidi="ar"/>
              </w:rPr>
              <w:t>资金</w:t>
            </w:r>
          </w:p>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支付</w:t>
            </w:r>
          </w:p>
        </w:tc>
        <w:tc>
          <w:tcPr>
            <w:tcW w:w="83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3</w:t>
            </w:r>
          </w:p>
        </w:tc>
        <w:tc>
          <w:tcPr>
            <w:tcW w:w="137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lang w:bidi="ar"/>
              </w:rPr>
            </w:pPr>
            <w:r>
              <w:rPr>
                <w:rFonts w:hint="eastAsia" w:ascii="仿宋" w:hAnsi="仿宋" w:eastAsia="仿宋" w:cs="仿宋"/>
                <w:kern w:val="0"/>
                <w:sz w:val="22"/>
                <w:lang w:bidi="ar"/>
              </w:rPr>
              <w:t>资金</w:t>
            </w:r>
          </w:p>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支出率</w:t>
            </w:r>
          </w:p>
        </w:tc>
        <w:tc>
          <w:tcPr>
            <w:tcW w:w="87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3</w:t>
            </w:r>
          </w:p>
        </w:tc>
        <w:tc>
          <w:tcPr>
            <w:tcW w:w="684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仿宋" w:hAnsi="仿宋" w:eastAsia="仿宋" w:cs="仿宋"/>
                <w:kern w:val="0"/>
                <w:sz w:val="22"/>
              </w:rPr>
            </w:pPr>
            <w:r>
              <w:rPr>
                <w:rFonts w:hint="eastAsia" w:ascii="仿宋" w:hAnsi="仿宋" w:eastAsia="仿宋" w:cs="仿宋"/>
                <w:kern w:val="0"/>
                <w:sz w:val="22"/>
                <w:lang w:bidi="ar"/>
              </w:rPr>
              <w:t>主要依据“支付额/预算额度*100*指标权重”计算核定得分，同时综合考虑工作进度，以及是否垫资或履行支付手续而影响支出率等因素适当调整最后得分。</w:t>
            </w:r>
          </w:p>
        </w:tc>
        <w:tc>
          <w:tcPr>
            <w:tcW w:w="779"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1.17</w:t>
            </w:r>
          </w:p>
        </w:tc>
      </w:tr>
      <w:tr>
        <w:tblPrEx>
          <w:tblCellMar>
            <w:top w:w="0" w:type="dxa"/>
            <w:left w:w="108" w:type="dxa"/>
            <w:bottom w:w="0" w:type="dxa"/>
            <w:right w:w="108" w:type="dxa"/>
          </w:tblCellMar>
        </w:tblPrEx>
        <w:trPr>
          <w:trHeight w:val="685"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1050" w:type="dxa"/>
            <w:vMerge w:val="restart"/>
            <w:tcBorders>
              <w:top w:val="single" w:color="auto" w:sz="4" w:space="0"/>
              <w:left w:val="nil"/>
              <w:bottom w:val="nil"/>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lang w:bidi="ar"/>
              </w:rPr>
            </w:pPr>
            <w:r>
              <w:rPr>
                <w:rFonts w:hint="eastAsia" w:ascii="仿宋" w:hAnsi="仿宋" w:eastAsia="仿宋" w:cs="仿宋"/>
                <w:kern w:val="0"/>
                <w:sz w:val="22"/>
                <w:lang w:bidi="ar"/>
              </w:rPr>
              <w:t>支出</w:t>
            </w:r>
          </w:p>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规范性</w:t>
            </w:r>
          </w:p>
        </w:tc>
        <w:tc>
          <w:tcPr>
            <w:tcW w:w="833" w:type="dxa"/>
            <w:vMerge w:val="restar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12</w:t>
            </w:r>
          </w:p>
        </w:tc>
        <w:tc>
          <w:tcPr>
            <w:tcW w:w="1372" w:type="dxa"/>
            <w:vMerge w:val="restar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lang w:bidi="ar"/>
              </w:rPr>
            </w:pPr>
            <w:r>
              <w:rPr>
                <w:rFonts w:hint="eastAsia" w:ascii="仿宋" w:hAnsi="仿宋" w:eastAsia="仿宋" w:cs="仿宋"/>
                <w:kern w:val="0"/>
                <w:sz w:val="22"/>
                <w:lang w:bidi="ar"/>
              </w:rPr>
              <w:t>支出</w:t>
            </w:r>
          </w:p>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规范性</w:t>
            </w:r>
          </w:p>
        </w:tc>
        <w:tc>
          <w:tcPr>
            <w:tcW w:w="870" w:type="dxa"/>
            <w:vMerge w:val="restar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12</w:t>
            </w: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仿宋" w:hAnsi="仿宋" w:eastAsia="仿宋" w:cs="仿宋"/>
                <w:kern w:val="0"/>
                <w:sz w:val="22"/>
              </w:rPr>
            </w:pPr>
            <w:r>
              <w:rPr>
                <w:rFonts w:hint="eastAsia" w:ascii="仿宋" w:hAnsi="仿宋" w:eastAsia="仿宋" w:cs="仿宋"/>
                <w:kern w:val="0"/>
                <w:sz w:val="22"/>
                <w:lang w:bidi="ar"/>
              </w:rPr>
              <w:t>1.预算执行规范性2分，按规定履行调整报批手续或未发生调整的，且按事项完成进度支付资金的得满分，否则酌情扣分。</w:t>
            </w:r>
          </w:p>
        </w:tc>
        <w:tc>
          <w:tcPr>
            <w:tcW w:w="779"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rPr>
              <w:t>1</w:t>
            </w:r>
          </w:p>
        </w:tc>
      </w:tr>
      <w:tr>
        <w:tblPrEx>
          <w:tblCellMar>
            <w:top w:w="0" w:type="dxa"/>
            <w:left w:w="108" w:type="dxa"/>
            <w:bottom w:w="0" w:type="dxa"/>
            <w:right w:w="108" w:type="dxa"/>
          </w:tblCellMar>
        </w:tblPrEx>
        <w:trPr>
          <w:trHeight w:val="966" w:hRule="atLeast"/>
        </w:trPr>
        <w:tc>
          <w:tcPr>
            <w:tcW w:w="802"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highlight w:val="yellow"/>
              </w:rPr>
            </w:pPr>
          </w:p>
        </w:tc>
        <w:tc>
          <w:tcPr>
            <w:tcW w:w="1050" w:type="dxa"/>
            <w:vMerge w:val="continue"/>
            <w:tcBorders>
              <w:top w:val="single" w:color="auto" w:sz="4" w:space="0"/>
              <w:left w:val="nil"/>
              <w:bottom w:val="nil"/>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833" w:type="dxa"/>
            <w:vMerge w:val="continue"/>
            <w:tcBorders>
              <w:top w:val="nil"/>
              <w:left w:val="nil"/>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1372" w:type="dxa"/>
            <w:vMerge w:val="continue"/>
            <w:tcBorders>
              <w:top w:val="nil"/>
              <w:left w:val="nil"/>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870" w:type="dxa"/>
            <w:vMerge w:val="continue"/>
            <w:tcBorders>
              <w:top w:val="nil"/>
              <w:left w:val="nil"/>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仿宋" w:hAnsi="仿宋" w:eastAsia="仿宋" w:cs="仿宋"/>
                <w:kern w:val="0"/>
                <w:sz w:val="22"/>
              </w:rPr>
            </w:pPr>
            <w:r>
              <w:rPr>
                <w:rFonts w:hint="eastAsia" w:ascii="仿宋" w:hAnsi="仿宋" w:eastAsia="仿宋" w:cs="仿宋"/>
                <w:kern w:val="0"/>
                <w:sz w:val="22"/>
                <w:lang w:bidi="ar"/>
              </w:rPr>
              <w:t>2.事项支出的合规性8分，资金管理、费用标准、支付符合有关制度规定的得满分，超范围、超标准支出，虚列支出，</w:t>
            </w:r>
            <w:r>
              <w:rPr>
                <w:rStyle w:val="45"/>
                <w:rFonts w:hint="default" w:ascii="仿宋" w:hAnsi="仿宋" w:eastAsia="仿宋" w:cs="仿宋"/>
                <w:color w:val="auto"/>
                <w:sz w:val="22"/>
                <w:szCs w:val="22"/>
                <w:lang w:bidi="ar"/>
              </w:rPr>
              <w:t>截留</w:t>
            </w:r>
            <w:r>
              <w:rPr>
                <w:rStyle w:val="46"/>
                <w:rFonts w:hint="default" w:ascii="仿宋" w:hAnsi="仿宋" w:eastAsia="仿宋" w:cs="仿宋"/>
                <w:color w:val="auto"/>
                <w:sz w:val="22"/>
                <w:szCs w:val="22"/>
                <w:lang w:bidi="ar"/>
              </w:rPr>
              <w:t>、挤占、挪用资金的，以及其他不符合制度规定支出的，视情节严重情况从严扣分，可直接扣到0分。</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8</w:t>
            </w:r>
          </w:p>
        </w:tc>
      </w:tr>
      <w:tr>
        <w:tblPrEx>
          <w:tblCellMar>
            <w:top w:w="0" w:type="dxa"/>
            <w:left w:w="108" w:type="dxa"/>
            <w:bottom w:w="0" w:type="dxa"/>
            <w:right w:w="108" w:type="dxa"/>
          </w:tblCellMar>
        </w:tblPrEx>
        <w:trPr>
          <w:trHeight w:val="883"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050" w:type="dxa"/>
            <w:vMerge w:val="continue"/>
            <w:tcBorders>
              <w:top w:val="single" w:color="auto" w:sz="4" w:space="0"/>
              <w:left w:val="nil"/>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833" w:type="dxa"/>
            <w:vMerge w:val="continue"/>
            <w:tcBorders>
              <w:top w:val="nil"/>
              <w:left w:val="nil"/>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1372" w:type="dxa"/>
            <w:vMerge w:val="continue"/>
            <w:tcBorders>
              <w:top w:val="nil"/>
              <w:left w:val="nil"/>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870" w:type="dxa"/>
            <w:vMerge w:val="continue"/>
            <w:tcBorders>
              <w:top w:val="nil"/>
              <w:left w:val="nil"/>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kern w:val="0"/>
                <w:sz w:val="22"/>
              </w:rPr>
            </w:pPr>
            <w:r>
              <w:rPr>
                <w:rFonts w:hint="eastAsia" w:ascii="仿宋" w:hAnsi="仿宋" w:eastAsia="仿宋" w:cs="仿宋"/>
                <w:kern w:val="0"/>
                <w:sz w:val="22"/>
                <w:lang w:bidi="ar"/>
              </w:rPr>
              <w:t>3.会计核算规范性2分，规范执行会计核算制度得满分，未按规定设专账核算，或支出凭证不符合规定，或其他核算不规范的，可扣至0分。</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1</w:t>
            </w:r>
          </w:p>
        </w:tc>
      </w:tr>
      <w:tr>
        <w:tblPrEx>
          <w:tblCellMar>
            <w:top w:w="0" w:type="dxa"/>
            <w:left w:w="108" w:type="dxa"/>
            <w:bottom w:w="0" w:type="dxa"/>
            <w:right w:w="108" w:type="dxa"/>
          </w:tblCellMar>
        </w:tblPrEx>
        <w:trPr>
          <w:trHeight w:val="104"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事项</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管理</w:t>
            </w:r>
          </w:p>
        </w:tc>
        <w:tc>
          <w:tcPr>
            <w:tcW w:w="7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10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lang w:bidi="ar"/>
              </w:rPr>
            </w:pPr>
            <w:r>
              <w:rPr>
                <w:rFonts w:hint="eastAsia" w:ascii="仿宋" w:hAnsi="仿宋" w:eastAsia="仿宋" w:cs="仿宋"/>
                <w:kern w:val="0"/>
                <w:sz w:val="22"/>
                <w:lang w:bidi="ar"/>
              </w:rPr>
              <w:t>实施</w:t>
            </w:r>
          </w:p>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程序</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220" w:firstLineChars="100"/>
              <w:textAlignment w:val="center"/>
              <w:rPr>
                <w:rFonts w:ascii="仿宋" w:hAnsi="仿宋" w:eastAsia="仿宋" w:cs="仿宋"/>
                <w:kern w:val="0"/>
                <w:sz w:val="22"/>
              </w:rPr>
            </w:pPr>
            <w:r>
              <w:rPr>
                <w:rFonts w:hint="eastAsia" w:ascii="仿宋" w:hAnsi="仿宋" w:eastAsia="仿宋" w:cs="仿宋"/>
                <w:kern w:val="0"/>
                <w:sz w:val="22"/>
                <w:lang w:bidi="ar"/>
              </w:rPr>
              <w:t>5</w:t>
            </w: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lang w:bidi="ar"/>
              </w:rPr>
            </w:pPr>
            <w:r>
              <w:rPr>
                <w:rFonts w:hint="eastAsia" w:ascii="仿宋" w:hAnsi="仿宋" w:eastAsia="仿宋" w:cs="仿宋"/>
                <w:kern w:val="0"/>
                <w:sz w:val="22"/>
                <w:lang w:bidi="ar"/>
              </w:rPr>
              <w:t>程序</w:t>
            </w:r>
          </w:p>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规范性</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220" w:firstLineChars="100"/>
              <w:textAlignment w:val="center"/>
              <w:rPr>
                <w:rFonts w:ascii="仿宋" w:hAnsi="仿宋" w:eastAsia="仿宋" w:cs="仿宋"/>
                <w:kern w:val="0"/>
                <w:sz w:val="22"/>
              </w:rPr>
            </w:pPr>
            <w:r>
              <w:rPr>
                <w:rFonts w:hint="eastAsia" w:ascii="仿宋" w:hAnsi="仿宋" w:eastAsia="仿宋" w:cs="仿宋"/>
                <w:kern w:val="0"/>
                <w:sz w:val="22"/>
                <w:lang w:bidi="ar"/>
              </w:rPr>
              <w:t>5</w:t>
            </w:r>
          </w:p>
        </w:tc>
        <w:tc>
          <w:tcPr>
            <w:tcW w:w="68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仿宋" w:hAnsi="仿宋" w:eastAsia="仿宋" w:cs="仿宋"/>
                <w:kern w:val="0"/>
                <w:sz w:val="22"/>
                <w:lang w:bidi="ar"/>
              </w:rPr>
            </w:pPr>
            <w:r>
              <w:rPr>
                <w:rFonts w:hint="eastAsia" w:ascii="仿宋" w:hAnsi="仿宋" w:eastAsia="仿宋" w:cs="仿宋"/>
                <w:kern w:val="0"/>
                <w:sz w:val="22"/>
                <w:lang w:bidi="ar"/>
              </w:rPr>
              <w:t>项目或方案按规定程序实施,包括项目或方案调整按规定履行报批手续，项目招投标、建设、验收等或方案实施严格执行相关制度规定的，得满分，否则酌情扣分。</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4</w:t>
            </w:r>
          </w:p>
        </w:tc>
      </w:tr>
      <w:tr>
        <w:tblPrEx>
          <w:tblCellMar>
            <w:top w:w="0" w:type="dxa"/>
            <w:left w:w="108" w:type="dxa"/>
            <w:bottom w:w="0" w:type="dxa"/>
            <w:right w:w="108" w:type="dxa"/>
          </w:tblCellMar>
        </w:tblPrEx>
        <w:trPr>
          <w:trHeight w:val="826"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lang w:bidi="ar"/>
              </w:rPr>
            </w:pPr>
            <w:r>
              <w:rPr>
                <w:rFonts w:hint="eastAsia" w:ascii="仿宋" w:hAnsi="仿宋" w:eastAsia="仿宋" w:cs="仿宋"/>
                <w:kern w:val="0"/>
                <w:sz w:val="22"/>
                <w:lang w:bidi="ar"/>
              </w:rPr>
              <w:t>管理</w:t>
            </w:r>
          </w:p>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情况</w:t>
            </w:r>
          </w:p>
        </w:tc>
        <w:tc>
          <w:tcPr>
            <w:tcW w:w="8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220" w:firstLineChars="100"/>
              <w:textAlignment w:val="center"/>
              <w:rPr>
                <w:rFonts w:ascii="仿宋" w:hAnsi="仿宋" w:eastAsia="仿宋" w:cs="仿宋"/>
                <w:kern w:val="0"/>
                <w:sz w:val="22"/>
              </w:rPr>
            </w:pPr>
            <w:r>
              <w:rPr>
                <w:rFonts w:hint="eastAsia" w:ascii="仿宋" w:hAnsi="仿宋" w:eastAsia="仿宋" w:cs="仿宋"/>
                <w:kern w:val="0"/>
                <w:sz w:val="22"/>
                <w:lang w:bidi="ar"/>
              </w:rPr>
              <w:t>5</w:t>
            </w:r>
          </w:p>
        </w:tc>
        <w:tc>
          <w:tcPr>
            <w:tcW w:w="13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lang w:bidi="ar"/>
              </w:rPr>
            </w:pPr>
            <w:r>
              <w:rPr>
                <w:rFonts w:hint="eastAsia" w:ascii="仿宋" w:hAnsi="仿宋" w:eastAsia="仿宋" w:cs="仿宋"/>
                <w:kern w:val="0"/>
                <w:sz w:val="22"/>
                <w:lang w:bidi="ar"/>
              </w:rPr>
              <w:t>监管</w:t>
            </w:r>
          </w:p>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lang w:bidi="ar"/>
              </w:rPr>
              <w:t>有效性</w:t>
            </w:r>
          </w:p>
        </w:tc>
        <w:tc>
          <w:tcPr>
            <w:tcW w:w="8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220" w:firstLineChars="100"/>
              <w:textAlignment w:val="center"/>
              <w:rPr>
                <w:rFonts w:ascii="仿宋" w:hAnsi="仿宋" w:eastAsia="仿宋" w:cs="仿宋"/>
                <w:kern w:val="0"/>
                <w:sz w:val="22"/>
              </w:rPr>
            </w:pPr>
            <w:r>
              <w:rPr>
                <w:rFonts w:hint="eastAsia" w:ascii="仿宋" w:hAnsi="仿宋" w:eastAsia="仿宋" w:cs="仿宋"/>
                <w:kern w:val="0"/>
                <w:sz w:val="22"/>
                <w:lang w:bidi="ar"/>
              </w:rPr>
              <w:t>5</w:t>
            </w:r>
          </w:p>
        </w:tc>
        <w:tc>
          <w:tcPr>
            <w:tcW w:w="68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kern w:val="0"/>
                <w:sz w:val="22"/>
                <w:lang w:bidi="ar"/>
              </w:rPr>
            </w:pPr>
            <w:r>
              <w:rPr>
                <w:rFonts w:hint="eastAsia" w:ascii="仿宋" w:hAnsi="仿宋" w:eastAsia="仿宋" w:cs="仿宋"/>
                <w:kern w:val="0"/>
                <w:sz w:val="22"/>
                <w:lang w:bidi="ar"/>
              </w:rPr>
              <w:t>1.资金使用单位或基层资金管理单位建立有效管理机制，且执行情况良好得2分，具体根据所提供的信息证据作出判断并核定分数。</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kern w:val="0"/>
                <w:sz w:val="22"/>
                <w:lang w:eastAsia="zh-CN"/>
              </w:rPr>
            </w:pPr>
            <w:r>
              <w:rPr>
                <w:rFonts w:hint="eastAsia" w:ascii="仿宋" w:hAnsi="仿宋" w:eastAsia="仿宋" w:cs="仿宋"/>
                <w:kern w:val="0"/>
                <w:sz w:val="22"/>
                <w:lang w:val="en-US" w:eastAsia="zh-CN" w:bidi="ar"/>
              </w:rPr>
              <w:t>2</w:t>
            </w:r>
          </w:p>
        </w:tc>
      </w:tr>
      <w:tr>
        <w:tblPrEx>
          <w:tblCellMar>
            <w:top w:w="0" w:type="dxa"/>
            <w:left w:w="108" w:type="dxa"/>
            <w:bottom w:w="0" w:type="dxa"/>
            <w:right w:w="108" w:type="dxa"/>
          </w:tblCellMar>
        </w:tblPrEx>
        <w:trPr>
          <w:trHeight w:val="990" w:hRule="atLeast"/>
        </w:trPr>
        <w:tc>
          <w:tcPr>
            <w:tcW w:w="802"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highlight w:val="yellow"/>
              </w:rPr>
            </w:pP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8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13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8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rPr>
            </w:pPr>
          </w:p>
        </w:tc>
        <w:tc>
          <w:tcPr>
            <w:tcW w:w="68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kern w:val="0"/>
                <w:sz w:val="22"/>
                <w:lang w:bidi="ar"/>
              </w:rPr>
            </w:pPr>
            <w:r>
              <w:rPr>
                <w:rFonts w:hint="eastAsia" w:ascii="仿宋" w:hAnsi="仿宋" w:eastAsia="仿宋" w:cs="仿宋"/>
                <w:kern w:val="0"/>
                <w:sz w:val="22"/>
                <w:lang w:bidi="ar"/>
              </w:rPr>
              <w:t>2.具体根据所提供的信息证据作出判断，如各级业务主管部门按规定对项目建设或方案实施开展有效的检查、监控、督促整改的，得3分；否则，视情况扣分。</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hint="default" w:ascii="仿宋" w:hAnsi="仿宋" w:eastAsia="仿宋" w:cs="仿宋"/>
                <w:kern w:val="0"/>
                <w:sz w:val="22"/>
                <w:lang w:val="en-US" w:eastAsia="zh-CN"/>
              </w:rPr>
            </w:pPr>
            <w:r>
              <w:rPr>
                <w:rFonts w:hint="eastAsia" w:ascii="仿宋" w:hAnsi="仿宋" w:eastAsia="仿宋" w:cs="仿宋"/>
                <w:kern w:val="0"/>
                <w:sz w:val="22"/>
                <w:lang w:bidi="ar"/>
              </w:rPr>
              <w:t>2</w:t>
            </w:r>
            <w:r>
              <w:rPr>
                <w:rFonts w:hint="eastAsia" w:ascii="仿宋" w:hAnsi="仿宋" w:eastAsia="仿宋" w:cs="仿宋"/>
                <w:kern w:val="0"/>
                <w:sz w:val="22"/>
                <w:lang w:val="en-US" w:eastAsia="zh-CN" w:bidi="ar"/>
              </w:rPr>
              <w:t>.5</w:t>
            </w:r>
          </w:p>
        </w:tc>
      </w:tr>
      <w:tr>
        <w:tblPrEx>
          <w:tblCellMar>
            <w:top w:w="0" w:type="dxa"/>
            <w:left w:w="108" w:type="dxa"/>
            <w:bottom w:w="0" w:type="dxa"/>
            <w:right w:w="108" w:type="dxa"/>
          </w:tblCellMar>
        </w:tblPrEx>
        <w:trPr>
          <w:trHeight w:val="1396" w:hRule="atLeast"/>
        </w:trPr>
        <w:tc>
          <w:tcPr>
            <w:tcW w:w="802"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color w:val="000000"/>
                <w:kern w:val="0"/>
                <w:sz w:val="22"/>
                <w:lang w:bidi="ar"/>
              </w:rPr>
              <w:t>产出</w:t>
            </w:r>
          </w:p>
        </w:tc>
        <w:tc>
          <w:tcPr>
            <w:tcW w:w="81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30</w:t>
            </w:r>
          </w:p>
        </w:tc>
        <w:tc>
          <w:tcPr>
            <w:tcW w:w="7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经济性</w:t>
            </w:r>
          </w:p>
        </w:tc>
        <w:tc>
          <w:tcPr>
            <w:tcW w:w="795" w:type="dxa"/>
            <w:vMerge w:val="restart"/>
            <w:tcBorders>
              <w:top w:val="single" w:color="auto" w:sz="4" w:space="0"/>
              <w:left w:val="nil"/>
              <w:bottom w:val="nil"/>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10</w:t>
            </w:r>
          </w:p>
        </w:tc>
        <w:tc>
          <w:tcPr>
            <w:tcW w:w="1050" w:type="dxa"/>
            <w:tcBorders>
              <w:top w:val="single" w:color="auto" w:sz="4" w:space="0"/>
              <w:left w:val="nil"/>
              <w:bottom w:val="nil"/>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预算</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控制</w:t>
            </w:r>
          </w:p>
        </w:tc>
        <w:tc>
          <w:tcPr>
            <w:tcW w:w="83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5</w:t>
            </w:r>
          </w:p>
        </w:tc>
        <w:tc>
          <w:tcPr>
            <w:tcW w:w="1372" w:type="dxa"/>
            <w:tcBorders>
              <w:top w:val="single" w:color="auto" w:sz="4" w:space="0"/>
              <w:left w:val="nil"/>
              <w:bottom w:val="nil"/>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预算控制</w:t>
            </w:r>
          </w:p>
        </w:tc>
        <w:tc>
          <w:tcPr>
            <w:tcW w:w="870" w:type="dxa"/>
            <w:tcBorders>
              <w:top w:val="single" w:color="auto" w:sz="4" w:space="0"/>
              <w:left w:val="nil"/>
              <w:bottom w:val="nil"/>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5</w:t>
            </w:r>
          </w:p>
        </w:tc>
        <w:tc>
          <w:tcPr>
            <w:tcW w:w="684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在预算执行进度与事项完成进度基本匹配的前提下，实际支出未超过预算计划的，得满分；实际支出超过预算的，或者支出未能保障事项相应完成进度的，酌情扣分。</w:t>
            </w:r>
          </w:p>
        </w:tc>
        <w:tc>
          <w:tcPr>
            <w:tcW w:w="779"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00"/>
                <w:kern w:val="0"/>
                <w:sz w:val="22"/>
                <w:highlight w:val="yellow"/>
                <w:lang w:eastAsia="zh-CN"/>
              </w:rPr>
            </w:pPr>
            <w:r>
              <w:rPr>
                <w:rFonts w:hint="eastAsia" w:ascii="仿宋" w:hAnsi="仿宋" w:eastAsia="仿宋" w:cs="仿宋"/>
                <w:color w:val="000000"/>
                <w:kern w:val="0"/>
                <w:sz w:val="22"/>
                <w:lang w:val="en-US" w:eastAsia="zh-CN" w:bidi="ar"/>
              </w:rPr>
              <w:t>5</w:t>
            </w:r>
          </w:p>
        </w:tc>
      </w:tr>
      <w:tr>
        <w:tblPrEx>
          <w:tblCellMar>
            <w:top w:w="0" w:type="dxa"/>
            <w:left w:w="108" w:type="dxa"/>
            <w:bottom w:w="0" w:type="dxa"/>
            <w:right w:w="108" w:type="dxa"/>
          </w:tblCellMar>
        </w:tblPrEx>
        <w:trPr>
          <w:trHeight w:val="957"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40"/>
              <w:jc w:val="center"/>
              <w:rPr>
                <w:rFonts w:ascii="仿宋" w:hAnsi="仿宋" w:eastAsia="仿宋" w:cs="仿宋"/>
                <w:kern w:val="0"/>
                <w:sz w:val="22"/>
                <w:highlight w:val="yellow"/>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成本</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控制</w:t>
            </w:r>
          </w:p>
        </w:tc>
        <w:tc>
          <w:tcPr>
            <w:tcW w:w="83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5</w:t>
            </w:r>
          </w:p>
        </w:tc>
        <w:tc>
          <w:tcPr>
            <w:tcW w:w="137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成本节约</w:t>
            </w:r>
            <w:r>
              <w:rPr>
                <w:rFonts w:hint="eastAsia" w:ascii="仿宋" w:hAnsi="仿宋" w:eastAsia="仿宋" w:cs="仿宋"/>
                <w:color w:val="000000"/>
                <w:kern w:val="0"/>
                <w:sz w:val="20"/>
                <w:szCs w:val="20"/>
                <w:lang w:bidi="ar"/>
              </w:rPr>
              <w:t>（成本指标）</w:t>
            </w:r>
          </w:p>
        </w:tc>
        <w:tc>
          <w:tcPr>
            <w:tcW w:w="87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5</w:t>
            </w: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在项目按照预算完成的前提下，与同类项目或市场价格比较，项目实施的成本（包括工程造价、物品采购单价、人员经费等）属于合理范围的（如与同类项目或市场价格大致相符的）得满分；成本不合理的（如明显高于或低于同类项目或市场价格的）酌情扣分。</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color w:val="000000"/>
                <w:kern w:val="0"/>
                <w:sz w:val="22"/>
                <w:highlight w:val="yellow"/>
              </w:rPr>
            </w:pPr>
            <w:r>
              <w:rPr>
                <w:rFonts w:hint="eastAsia" w:ascii="仿宋" w:hAnsi="仿宋" w:eastAsia="仿宋" w:cs="仿宋"/>
                <w:color w:val="000000"/>
                <w:kern w:val="0"/>
                <w:sz w:val="22"/>
                <w:lang w:bidi="ar"/>
              </w:rPr>
              <w:t>5</w:t>
            </w:r>
          </w:p>
        </w:tc>
      </w:tr>
      <w:tr>
        <w:tblPrEx>
          <w:tblCellMar>
            <w:top w:w="0" w:type="dxa"/>
            <w:left w:w="108" w:type="dxa"/>
            <w:bottom w:w="0" w:type="dxa"/>
            <w:right w:w="108" w:type="dxa"/>
          </w:tblCellMar>
        </w:tblPrEx>
        <w:trPr>
          <w:trHeight w:val="785"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效率性</w:t>
            </w:r>
          </w:p>
        </w:tc>
        <w:tc>
          <w:tcPr>
            <w:tcW w:w="7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20</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rPr>
              <w:t>完成</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kern w:val="0"/>
                <w:sz w:val="22"/>
              </w:rPr>
              <w:t>进度</w:t>
            </w:r>
          </w:p>
        </w:tc>
        <w:tc>
          <w:tcPr>
            <w:tcW w:w="833"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8</w:t>
            </w:r>
          </w:p>
        </w:tc>
        <w:tc>
          <w:tcPr>
            <w:tcW w:w="137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开工率</w:t>
            </w:r>
          </w:p>
        </w:tc>
        <w:tc>
          <w:tcPr>
            <w:tcW w:w="8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8</w:t>
            </w: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开工率100%，得8分，每减少10%，扣1分，扣完为止。</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8</w:t>
            </w:r>
          </w:p>
        </w:tc>
      </w:tr>
      <w:tr>
        <w:tblPrEx>
          <w:tblCellMar>
            <w:top w:w="0" w:type="dxa"/>
            <w:left w:w="108" w:type="dxa"/>
            <w:bottom w:w="0" w:type="dxa"/>
            <w:right w:w="108" w:type="dxa"/>
          </w:tblCellMar>
        </w:tblPrEx>
        <w:trPr>
          <w:trHeight w:val="820"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05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完成</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时间</w:t>
            </w:r>
          </w:p>
        </w:tc>
        <w:tc>
          <w:tcPr>
            <w:tcW w:w="833"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4</w:t>
            </w:r>
          </w:p>
        </w:tc>
        <w:tc>
          <w:tcPr>
            <w:tcW w:w="137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计划推进及时性</w:t>
            </w:r>
          </w:p>
        </w:tc>
        <w:tc>
          <w:tcPr>
            <w:tcW w:w="8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4</w:t>
            </w: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第四季度末，上级已下达资金用款不低于分配金额的100%的，得4分，得分=（资金实际支出金额/上级已下达资金金额）*分值。</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1.56</w:t>
            </w:r>
          </w:p>
        </w:tc>
      </w:tr>
      <w:tr>
        <w:tblPrEx>
          <w:tblCellMar>
            <w:top w:w="0" w:type="dxa"/>
            <w:left w:w="108" w:type="dxa"/>
            <w:bottom w:w="0" w:type="dxa"/>
            <w:right w:w="108" w:type="dxa"/>
          </w:tblCellMar>
        </w:tblPrEx>
        <w:trPr>
          <w:trHeight w:val="734" w:hRule="atLeast"/>
        </w:trPr>
        <w:tc>
          <w:tcPr>
            <w:tcW w:w="802"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rPr>
            </w:pPr>
          </w:p>
        </w:tc>
        <w:tc>
          <w:tcPr>
            <w:tcW w:w="810"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nil"/>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440"/>
              <w:jc w:val="center"/>
              <w:rPr>
                <w:rFonts w:ascii="仿宋" w:hAnsi="仿宋" w:eastAsia="仿宋" w:cs="仿宋"/>
                <w:kern w:val="0"/>
                <w:sz w:val="22"/>
                <w:highlight w:val="yellow"/>
              </w:rPr>
            </w:pPr>
          </w:p>
        </w:tc>
        <w:tc>
          <w:tcPr>
            <w:tcW w:w="105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完成</w:t>
            </w:r>
          </w:p>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质量</w:t>
            </w:r>
          </w:p>
        </w:tc>
        <w:tc>
          <w:tcPr>
            <w:tcW w:w="833"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8</w:t>
            </w:r>
          </w:p>
        </w:tc>
        <w:tc>
          <w:tcPr>
            <w:tcW w:w="137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因地制宜确定改造内容</w:t>
            </w:r>
          </w:p>
        </w:tc>
        <w:tc>
          <w:tcPr>
            <w:tcW w:w="8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8</w:t>
            </w: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color w:val="000000"/>
                <w:kern w:val="0"/>
                <w:sz w:val="22"/>
                <w:highlight w:val="yellow"/>
                <w:lang w:bidi="ar"/>
              </w:rPr>
            </w:pPr>
            <w:r>
              <w:rPr>
                <w:rFonts w:hint="eastAsia" w:ascii="仿宋" w:hAnsi="仿宋" w:eastAsia="仿宋" w:cs="仿宋"/>
                <w:color w:val="000000"/>
                <w:kern w:val="0"/>
                <w:sz w:val="22"/>
                <w:lang w:bidi="ar"/>
              </w:rPr>
              <w:t>各实施单位因地制宜确定改造内容，得8分，确定改造内容不合理的，酌情扣分。扣完为止。</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color w:val="000000"/>
                <w:kern w:val="0"/>
                <w:sz w:val="22"/>
                <w:highlight w:val="yellow"/>
              </w:rPr>
            </w:pPr>
            <w:r>
              <w:rPr>
                <w:rFonts w:hint="eastAsia" w:ascii="仿宋" w:hAnsi="仿宋" w:eastAsia="仿宋" w:cs="仿宋"/>
                <w:color w:val="000000"/>
                <w:kern w:val="0"/>
                <w:sz w:val="22"/>
                <w:lang w:bidi="ar"/>
              </w:rPr>
              <w:t>8</w:t>
            </w:r>
          </w:p>
        </w:tc>
      </w:tr>
      <w:tr>
        <w:tblPrEx>
          <w:tblCellMar>
            <w:top w:w="0" w:type="dxa"/>
            <w:left w:w="108" w:type="dxa"/>
            <w:bottom w:w="0" w:type="dxa"/>
            <w:right w:w="108" w:type="dxa"/>
          </w:tblCellMar>
        </w:tblPrEx>
        <w:trPr>
          <w:trHeight w:val="796" w:hRule="atLeast"/>
        </w:trPr>
        <w:tc>
          <w:tcPr>
            <w:tcW w:w="802" w:type="dxa"/>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color w:val="000000"/>
                <w:kern w:val="0"/>
                <w:sz w:val="22"/>
                <w:lang w:bidi="ar"/>
              </w:rPr>
              <w:t>效益</w:t>
            </w:r>
          </w:p>
        </w:tc>
        <w:tc>
          <w:tcPr>
            <w:tcW w:w="810" w:type="dxa"/>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30</w:t>
            </w:r>
          </w:p>
        </w:tc>
        <w:tc>
          <w:tcPr>
            <w:tcW w:w="795" w:type="dxa"/>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效果性</w:t>
            </w:r>
          </w:p>
        </w:tc>
        <w:tc>
          <w:tcPr>
            <w:tcW w:w="795" w:type="dxa"/>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highlight w:val="yellow"/>
              </w:rPr>
            </w:pPr>
            <w:r>
              <w:rPr>
                <w:rFonts w:hint="eastAsia" w:ascii="仿宋" w:hAnsi="仿宋" w:eastAsia="仿宋" w:cs="仿宋"/>
                <w:color w:val="000000"/>
                <w:kern w:val="0"/>
                <w:sz w:val="22"/>
                <w:lang w:bidi="ar"/>
              </w:rPr>
              <w:t>25</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rPr>
              <w:t>经济</w:t>
            </w:r>
          </w:p>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rPr>
              <w:t>效益</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color w:val="000000"/>
                <w:kern w:val="0"/>
                <w:sz w:val="22"/>
                <w:lang w:bidi="ar"/>
              </w:rPr>
              <w:t>5</w:t>
            </w: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kern w:val="0"/>
                <w:sz w:val="22"/>
              </w:rPr>
              <w:t>经济效益</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color w:val="000000"/>
                <w:kern w:val="0"/>
                <w:sz w:val="22"/>
                <w:lang w:bidi="ar"/>
              </w:rPr>
              <w:t>5</w:t>
            </w:r>
          </w:p>
        </w:tc>
        <w:tc>
          <w:tcPr>
            <w:tcW w:w="68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能为改造小区带来附加经济收入的，得5分。</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00"/>
                <w:kern w:val="0"/>
                <w:sz w:val="22"/>
                <w:highlight w:val="yellow"/>
                <w:lang w:eastAsia="zh-CN"/>
              </w:rPr>
            </w:pPr>
            <w:r>
              <w:rPr>
                <w:rFonts w:hint="eastAsia" w:ascii="仿宋" w:hAnsi="仿宋" w:eastAsia="仿宋" w:cs="仿宋"/>
                <w:color w:val="000000"/>
                <w:kern w:val="0"/>
                <w:sz w:val="22"/>
                <w:lang w:val="en-US" w:eastAsia="zh-CN" w:bidi="ar"/>
              </w:rPr>
              <w:t>5</w:t>
            </w:r>
          </w:p>
        </w:tc>
      </w:tr>
      <w:tr>
        <w:tblPrEx>
          <w:tblCellMar>
            <w:top w:w="0" w:type="dxa"/>
            <w:left w:w="108" w:type="dxa"/>
            <w:bottom w:w="0" w:type="dxa"/>
            <w:right w:w="108" w:type="dxa"/>
          </w:tblCellMar>
        </w:tblPrEx>
        <w:trPr>
          <w:trHeight w:val="551" w:hRule="atLeast"/>
        </w:trPr>
        <w:tc>
          <w:tcPr>
            <w:tcW w:w="802"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81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79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79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社会</w:t>
            </w:r>
          </w:p>
          <w:p>
            <w:pPr>
              <w:widowControl/>
              <w:spacing w:line="240" w:lineRule="auto"/>
              <w:ind w:firstLine="0" w:firstLineChars="0"/>
              <w:jc w:val="center"/>
              <w:textAlignment w:val="center"/>
              <w:rPr>
                <w:rFonts w:ascii="仿宋" w:hAnsi="仿宋" w:eastAsia="仿宋" w:cs="仿宋"/>
                <w:kern w:val="0"/>
                <w:sz w:val="22"/>
              </w:rPr>
            </w:pPr>
            <w:r>
              <w:rPr>
                <w:rFonts w:hint="eastAsia" w:ascii="仿宋" w:hAnsi="仿宋" w:eastAsia="仿宋" w:cs="仿宋"/>
                <w:color w:val="000000"/>
                <w:kern w:val="0"/>
                <w:sz w:val="22"/>
                <w:lang w:bidi="ar"/>
              </w:rPr>
              <w:t>效益</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8</w:t>
            </w: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提升居民获得感、幸福感</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8</w:t>
            </w:r>
          </w:p>
        </w:tc>
        <w:tc>
          <w:tcPr>
            <w:tcW w:w="68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提升居民获得感、幸福感，得8分。</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8</w:t>
            </w:r>
          </w:p>
        </w:tc>
      </w:tr>
      <w:tr>
        <w:tblPrEx>
          <w:tblCellMar>
            <w:top w:w="0" w:type="dxa"/>
            <w:left w:w="108" w:type="dxa"/>
            <w:bottom w:w="0" w:type="dxa"/>
            <w:right w:w="108" w:type="dxa"/>
          </w:tblCellMar>
        </w:tblPrEx>
        <w:trPr>
          <w:trHeight w:val="746" w:hRule="atLeast"/>
        </w:trPr>
        <w:tc>
          <w:tcPr>
            <w:tcW w:w="802"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81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79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79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生态</w:t>
            </w:r>
          </w:p>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效益</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7</w:t>
            </w: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改善生态环境</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7</w:t>
            </w:r>
          </w:p>
        </w:tc>
        <w:tc>
          <w:tcPr>
            <w:tcW w:w="68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绿化面积增加且规划合理的，得7分。</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val="en-US" w:eastAsia="zh-CN" w:bidi="ar"/>
              </w:rPr>
              <w:t>6</w:t>
            </w:r>
          </w:p>
        </w:tc>
      </w:tr>
      <w:tr>
        <w:tblPrEx>
          <w:tblCellMar>
            <w:top w:w="0" w:type="dxa"/>
            <w:left w:w="108" w:type="dxa"/>
            <w:bottom w:w="0" w:type="dxa"/>
            <w:right w:w="108" w:type="dxa"/>
          </w:tblCellMar>
        </w:tblPrEx>
        <w:trPr>
          <w:trHeight w:val="761" w:hRule="atLeast"/>
        </w:trPr>
        <w:tc>
          <w:tcPr>
            <w:tcW w:w="802"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81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795"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795"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105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可持续发展</w:t>
            </w:r>
          </w:p>
        </w:tc>
        <w:tc>
          <w:tcPr>
            <w:tcW w:w="83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5</w:t>
            </w:r>
          </w:p>
        </w:tc>
        <w:tc>
          <w:tcPr>
            <w:tcW w:w="137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可持续发展</w:t>
            </w:r>
          </w:p>
        </w:tc>
        <w:tc>
          <w:tcPr>
            <w:tcW w:w="87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5</w:t>
            </w:r>
          </w:p>
        </w:tc>
        <w:tc>
          <w:tcPr>
            <w:tcW w:w="684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该指标主要考察项目后续发展的稳定持久性。</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4</w:t>
            </w:r>
          </w:p>
        </w:tc>
      </w:tr>
      <w:tr>
        <w:tblPrEx>
          <w:tblCellMar>
            <w:top w:w="0" w:type="dxa"/>
            <w:left w:w="108" w:type="dxa"/>
            <w:bottom w:w="0" w:type="dxa"/>
            <w:right w:w="108" w:type="dxa"/>
          </w:tblCellMar>
        </w:tblPrEx>
        <w:trPr>
          <w:trHeight w:val="966" w:hRule="atLeast"/>
        </w:trPr>
        <w:tc>
          <w:tcPr>
            <w:tcW w:w="802"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810"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p>
        </w:tc>
        <w:tc>
          <w:tcPr>
            <w:tcW w:w="795"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公平性</w:t>
            </w:r>
          </w:p>
        </w:tc>
        <w:tc>
          <w:tcPr>
            <w:tcW w:w="795"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5</w:t>
            </w:r>
          </w:p>
        </w:tc>
        <w:tc>
          <w:tcPr>
            <w:tcW w:w="105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满意度</w:t>
            </w:r>
          </w:p>
        </w:tc>
        <w:tc>
          <w:tcPr>
            <w:tcW w:w="83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5</w:t>
            </w:r>
          </w:p>
        </w:tc>
        <w:tc>
          <w:tcPr>
            <w:tcW w:w="137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服务对象满意度</w:t>
            </w:r>
          </w:p>
        </w:tc>
        <w:tc>
          <w:tcPr>
            <w:tcW w:w="87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5</w:t>
            </w:r>
          </w:p>
        </w:tc>
        <w:tc>
          <w:tcPr>
            <w:tcW w:w="6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表示满意的服务对象数/项目覆盖范围内接受调查的对象总数*指标分值。</w:t>
            </w:r>
          </w:p>
        </w:tc>
        <w:tc>
          <w:tcPr>
            <w:tcW w:w="77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4.95</w:t>
            </w:r>
          </w:p>
        </w:tc>
      </w:tr>
      <w:tr>
        <w:tblPrEx>
          <w:tblCellMar>
            <w:top w:w="0" w:type="dxa"/>
            <w:left w:w="108" w:type="dxa"/>
            <w:bottom w:w="0" w:type="dxa"/>
            <w:right w:w="108" w:type="dxa"/>
          </w:tblCellMar>
        </w:tblPrEx>
        <w:trPr>
          <w:trHeight w:val="482" w:hRule="atLeast"/>
        </w:trPr>
        <w:tc>
          <w:tcPr>
            <w:tcW w:w="14167"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eastAsia="仿宋" w:cs="仿宋"/>
                <w:b/>
                <w:bCs/>
                <w:color w:val="000000"/>
                <w:kern w:val="0"/>
                <w:sz w:val="22"/>
              </w:rPr>
            </w:pPr>
            <w:r>
              <w:rPr>
                <w:rFonts w:hint="eastAsia" w:ascii="仿宋" w:hAnsi="仿宋" w:eastAsia="仿宋" w:cs="仿宋"/>
                <w:b/>
                <w:bCs/>
                <w:color w:val="000000"/>
                <w:kern w:val="0"/>
                <w:sz w:val="22"/>
              </w:rPr>
              <w:t>得分合计</w:t>
            </w:r>
          </w:p>
        </w:tc>
        <w:tc>
          <w:tcPr>
            <w:tcW w:w="77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hint="default" w:ascii="仿宋" w:hAnsi="仿宋" w:eastAsia="仿宋" w:cs="仿宋"/>
                <w:color w:val="000000"/>
                <w:kern w:val="0"/>
                <w:sz w:val="22"/>
                <w:lang w:val="en-US" w:eastAsia="zh-CN"/>
              </w:rPr>
            </w:pPr>
            <w:r>
              <w:rPr>
                <w:rFonts w:hint="eastAsia" w:ascii="仿宋" w:hAnsi="仿宋" w:eastAsia="仿宋" w:cs="仿宋"/>
                <w:color w:val="000000"/>
                <w:kern w:val="0"/>
                <w:sz w:val="22"/>
                <w:lang w:val="en-US" w:eastAsia="zh-CN"/>
              </w:rPr>
              <w:t>88.18</w:t>
            </w:r>
          </w:p>
        </w:tc>
      </w:tr>
      <w:tr>
        <w:tblPrEx>
          <w:tblCellMar>
            <w:top w:w="0" w:type="dxa"/>
            <w:left w:w="108" w:type="dxa"/>
            <w:bottom w:w="0" w:type="dxa"/>
            <w:right w:w="108" w:type="dxa"/>
          </w:tblCellMar>
        </w:tblPrEx>
        <w:trPr>
          <w:trHeight w:val="492" w:hRule="atLeast"/>
        </w:trPr>
        <w:tc>
          <w:tcPr>
            <w:tcW w:w="14167"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eastAsia="仿宋" w:cs="仿宋"/>
                <w:b/>
                <w:bCs/>
                <w:color w:val="000000"/>
                <w:kern w:val="0"/>
                <w:sz w:val="22"/>
              </w:rPr>
            </w:pPr>
            <w:r>
              <w:rPr>
                <w:rFonts w:hint="eastAsia" w:ascii="仿宋" w:hAnsi="仿宋" w:eastAsia="仿宋" w:cs="仿宋"/>
                <w:b/>
                <w:bCs/>
                <w:color w:val="000000"/>
                <w:kern w:val="0"/>
                <w:sz w:val="22"/>
              </w:rPr>
              <w:t>评价等级</w:t>
            </w:r>
          </w:p>
        </w:tc>
        <w:tc>
          <w:tcPr>
            <w:tcW w:w="77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eastAsia="仿宋" w:cs="仿宋"/>
                <w:color w:val="000000"/>
                <w:kern w:val="0"/>
                <w:sz w:val="22"/>
              </w:rPr>
            </w:pPr>
            <w:r>
              <w:rPr>
                <w:rFonts w:hint="eastAsia" w:ascii="仿宋" w:hAnsi="仿宋" w:eastAsia="仿宋" w:cs="仿宋"/>
                <w:color w:val="000000"/>
                <w:kern w:val="0"/>
                <w:sz w:val="22"/>
              </w:rPr>
              <w:t>良</w:t>
            </w:r>
          </w:p>
        </w:tc>
      </w:tr>
      <w:tr>
        <w:tblPrEx>
          <w:tblCellMar>
            <w:top w:w="0" w:type="dxa"/>
            <w:left w:w="108" w:type="dxa"/>
            <w:bottom w:w="0" w:type="dxa"/>
            <w:right w:w="108" w:type="dxa"/>
          </w:tblCellMar>
        </w:tblPrEx>
        <w:trPr>
          <w:trHeight w:val="495" w:hRule="atLeast"/>
        </w:trPr>
        <w:tc>
          <w:tcPr>
            <w:tcW w:w="14946"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eastAsia="仿宋" w:cs="仿宋"/>
                <w:color w:val="000000"/>
                <w:kern w:val="0"/>
                <w:sz w:val="22"/>
              </w:rPr>
            </w:pPr>
            <w:r>
              <w:rPr>
                <w:rFonts w:hint="eastAsia" w:ascii="仿宋" w:hAnsi="仿宋" w:eastAsia="仿宋" w:cs="仿宋"/>
                <w:b/>
                <w:bCs/>
                <w:color w:val="000000"/>
                <w:kern w:val="0"/>
                <w:sz w:val="22"/>
              </w:rPr>
              <w:t>备注：评价等级分为优、良、中、差四个等级，满分100分，其中90分（含）以上为优，80（含）～90分为良，60（含）～80分为中，60分以下为差。</w:t>
            </w:r>
          </w:p>
        </w:tc>
      </w:tr>
    </w:tbl>
    <w:p>
      <w:pPr>
        <w:widowControl/>
        <w:spacing w:line="360" w:lineRule="auto"/>
        <w:ind w:firstLine="0" w:firstLineChars="0"/>
        <w:jc w:val="left"/>
        <w:rPr>
          <w:rFonts w:ascii="Times New Roman" w:hAnsi="Times New Roman" w:eastAsia="楷体_GB2312" w:cs="楷体_GB2312"/>
          <w:b/>
          <w:bCs/>
        </w:rPr>
        <w:sectPr>
          <w:pgSz w:w="16838" w:h="11906" w:orient="landscape"/>
          <w:pgMar w:top="1800" w:right="1440" w:bottom="1800" w:left="1440" w:header="851" w:footer="992" w:gutter="0"/>
          <w:cols w:space="425" w:num="1"/>
          <w:docGrid w:type="lines" w:linePitch="312" w:charSpace="0"/>
        </w:sectPr>
      </w:pPr>
    </w:p>
    <w:p>
      <w:pPr>
        <w:pStyle w:val="2"/>
        <w:widowControl/>
        <w:spacing w:before="0" w:after="0" w:line="360" w:lineRule="auto"/>
        <w:ind w:firstLine="0" w:firstLineChars="0"/>
        <w:rPr>
          <w:rFonts w:hint="default" w:ascii="Times New Roman" w:hAnsi="Times New Roman" w:cs="黑体"/>
        </w:rPr>
      </w:pPr>
      <w:bookmarkStart w:id="83" w:name="_Toc8405"/>
      <w:bookmarkStart w:id="84" w:name="_Toc86312827"/>
      <w:bookmarkStart w:id="85" w:name="_Toc86312746"/>
      <w:r>
        <w:rPr>
          <w:rFonts w:ascii="Times New Roman" w:hAnsi="Times New Roman" w:cs="黑体"/>
        </w:rPr>
        <w:t>附件3：公众或服务对象满意度调查结果</w:t>
      </w:r>
      <w:bookmarkEnd w:id="83"/>
      <w:bookmarkEnd w:id="84"/>
      <w:bookmarkEnd w:id="85"/>
    </w:p>
    <w:p>
      <w:pPr>
        <w:autoSpaceDE w:val="0"/>
        <w:autoSpaceDN w:val="0"/>
        <w:spacing w:line="360" w:lineRule="auto"/>
        <w:ind w:firstLine="640"/>
        <w:jc w:val="left"/>
        <w:rPr>
          <w:rFonts w:ascii="Times New Roman" w:hAnsi="Times New Roman" w:cs="仿宋_GB2312"/>
          <w:kern w:val="0"/>
          <w:szCs w:val="32"/>
        </w:rPr>
      </w:pPr>
    </w:p>
    <w:p>
      <w:pPr>
        <w:autoSpaceDE w:val="0"/>
        <w:autoSpaceDN w:val="0"/>
        <w:spacing w:line="360" w:lineRule="auto"/>
        <w:ind w:firstLine="640"/>
        <w:rPr>
          <w:rFonts w:ascii="Times New Roman" w:hAnsi="Times New Roman"/>
        </w:rPr>
      </w:pPr>
      <w:r>
        <w:rPr>
          <w:rFonts w:ascii="Times New Roman" w:hAnsi="Times New Roman" w:cs="仿宋_GB2312"/>
          <w:kern w:val="0"/>
          <w:szCs w:val="32"/>
        </w:rPr>
        <w:t>本次</w:t>
      </w:r>
      <w:r>
        <w:rPr>
          <w:rFonts w:hint="eastAsia" w:ascii="Times New Roman" w:hAnsi="Times New Roman" w:cs="仿宋_GB2312"/>
          <w:kern w:val="0"/>
          <w:szCs w:val="32"/>
        </w:rPr>
        <w:t>城镇老旧小区改造项目</w:t>
      </w:r>
      <w:r>
        <w:rPr>
          <w:rFonts w:ascii="Times New Roman" w:hAnsi="Times New Roman" w:cs="仿宋_GB2312"/>
          <w:kern w:val="0"/>
          <w:szCs w:val="32"/>
        </w:rPr>
        <w:t>群众满意度调查涉及项目范围内的</w:t>
      </w:r>
      <w:r>
        <w:rPr>
          <w:rFonts w:hint="eastAsia" w:ascii="Times New Roman" w:hAnsi="Times New Roman" w:cs="仿宋_GB2312"/>
          <w:kern w:val="0"/>
          <w:szCs w:val="32"/>
        </w:rPr>
        <w:t>梅州市、梅江区、蕉岭县、兴宁市、</w:t>
      </w:r>
      <w:r>
        <w:rPr>
          <w:rFonts w:ascii="Times New Roman" w:hAnsi="Times New Roman" w:cs="仿宋_GB2312"/>
          <w:kern w:val="0"/>
          <w:szCs w:val="32"/>
        </w:rPr>
        <w:t>大埔县、五华县、梅县区、平远县、丰顺县共</w:t>
      </w:r>
      <w:r>
        <w:rPr>
          <w:rFonts w:hint="eastAsia" w:ascii="Times New Roman" w:hAnsi="Times New Roman" w:cs="仿宋_GB2312"/>
          <w:kern w:val="0"/>
          <w:szCs w:val="32"/>
        </w:rPr>
        <w:t>9个市县区，共发放了101份问卷，有效回收101份，问卷有效回收率100%。依据问卷调查结果可知，</w:t>
      </w:r>
      <w:r>
        <w:rPr>
          <w:rFonts w:hint="eastAsia" w:ascii="Times New Roman" w:hAnsi="Times New Roman" w:cs="仿宋_GB2312"/>
          <w:szCs w:val="32"/>
        </w:rPr>
        <w:t>对小区改造总体表示“满意或非常满意”的共100份，“不满意”的1份，居民总体满意度约为99%</w:t>
      </w:r>
      <w:r>
        <w:rPr>
          <w:rFonts w:hint="eastAsia" w:ascii="Times New Roman" w:hAnsi="Times New Roman" w:cs="仿宋_GB2312"/>
          <w:kern w:val="0"/>
          <w:szCs w:val="32"/>
        </w:rPr>
        <w:t>，总体而言，居民的满意度相对较高，项目有一定的改造成效。</w:t>
      </w:r>
    </w:p>
    <w:p>
      <w:pPr>
        <w:ind w:firstLine="562"/>
        <w:jc w:val="center"/>
        <w:rPr>
          <w:rFonts w:ascii="仿宋" w:hAnsi="仿宋" w:eastAsia="仿宋" w:cs="仿宋"/>
          <w:b/>
          <w:bCs/>
          <w:sz w:val="28"/>
          <w:szCs w:val="21"/>
        </w:rPr>
      </w:pPr>
      <w:r>
        <w:rPr>
          <w:rFonts w:hint="eastAsia" w:ascii="仿宋" w:hAnsi="仿宋" w:eastAsia="仿宋" w:cs="仿宋"/>
          <w:b/>
          <w:bCs/>
          <w:sz w:val="28"/>
          <w:szCs w:val="21"/>
        </w:rPr>
        <w:t>梅州市2021年度城镇老旧小区改造项目-公众满意度</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5"/>
        <w:gridCol w:w="2706"/>
        <w:gridCol w:w="2247"/>
        <w:gridCol w:w="639"/>
        <w:gridCol w:w="2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5" w:hRule="atLeast"/>
          <w:tblHeader/>
          <w:jc w:val="center"/>
        </w:trPr>
        <w:tc>
          <w:tcPr>
            <w:tcW w:w="5000" w:type="pct"/>
            <w:gridSpan w:val="5"/>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b/>
                <w:bCs/>
                <w:color w:val="000000"/>
                <w:sz w:val="24"/>
                <w:szCs w:val="24"/>
              </w:rPr>
            </w:pPr>
            <w:r>
              <w:rPr>
                <w:rFonts w:hint="eastAsia" w:ascii="Times New Roman" w:hAnsi="Times New Roman" w:cs="宋体"/>
                <w:b/>
                <w:bCs/>
                <w:color w:val="000000"/>
                <w:kern w:val="0"/>
                <w:sz w:val="24"/>
                <w:szCs w:val="24"/>
              </w:rPr>
              <w:t>填写人次101人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7" w:hRule="atLeast"/>
          <w:tblHeader/>
          <w:jc w:val="center"/>
        </w:trPr>
        <w:tc>
          <w:tcPr>
            <w:tcW w:w="435"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b/>
                <w:bCs/>
                <w:color w:val="000000"/>
                <w:sz w:val="24"/>
                <w:szCs w:val="24"/>
              </w:rPr>
            </w:pPr>
            <w:r>
              <w:rPr>
                <w:rFonts w:hint="eastAsia" w:ascii="Times New Roman" w:hAnsi="Times New Roman" w:cs="宋体"/>
                <w:b/>
                <w:bCs/>
                <w:color w:val="000000"/>
                <w:kern w:val="0"/>
                <w:sz w:val="24"/>
                <w:szCs w:val="24"/>
              </w:rPr>
              <w:t>序号</w:t>
            </w:r>
          </w:p>
        </w:tc>
        <w:tc>
          <w:tcPr>
            <w:tcW w:w="162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b/>
                <w:bCs/>
                <w:color w:val="000000"/>
                <w:sz w:val="24"/>
                <w:szCs w:val="24"/>
              </w:rPr>
            </w:pPr>
            <w:r>
              <w:rPr>
                <w:rFonts w:hint="eastAsia" w:ascii="Times New Roman" w:hAnsi="Times New Roman" w:cs="宋体"/>
                <w:b/>
                <w:bCs/>
                <w:color w:val="000000"/>
                <w:kern w:val="0"/>
                <w:sz w:val="24"/>
                <w:szCs w:val="24"/>
              </w:rPr>
              <w:t>问题</w:t>
            </w:r>
          </w:p>
        </w:tc>
        <w:tc>
          <w:tcPr>
            <w:tcW w:w="1348"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b/>
                <w:bCs/>
                <w:color w:val="000000"/>
                <w:sz w:val="24"/>
                <w:szCs w:val="24"/>
              </w:rPr>
            </w:pPr>
            <w:r>
              <w:rPr>
                <w:rFonts w:hint="eastAsia" w:ascii="Times New Roman" w:hAnsi="Times New Roman" w:cs="宋体"/>
                <w:b/>
                <w:bCs/>
                <w:color w:val="000000"/>
                <w:kern w:val="0"/>
                <w:sz w:val="24"/>
                <w:szCs w:val="24"/>
              </w:rPr>
              <w:t>选项</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选项</w:t>
            </w:r>
          </w:p>
          <w:p>
            <w:pPr>
              <w:widowControl/>
              <w:spacing w:line="276" w:lineRule="auto"/>
              <w:ind w:firstLine="0" w:firstLineChars="0"/>
              <w:jc w:val="center"/>
              <w:textAlignment w:val="center"/>
              <w:rPr>
                <w:rFonts w:ascii="Times New Roman" w:hAnsi="Times New Roman" w:cs="宋体"/>
                <w:b/>
                <w:bCs/>
                <w:color w:val="000000"/>
                <w:sz w:val="24"/>
                <w:szCs w:val="24"/>
              </w:rPr>
            </w:pPr>
            <w:r>
              <w:rPr>
                <w:rFonts w:hint="eastAsia" w:ascii="Times New Roman" w:hAnsi="Times New Roman" w:cs="宋体"/>
                <w:b/>
                <w:bCs/>
                <w:color w:val="000000"/>
                <w:kern w:val="0"/>
                <w:sz w:val="24"/>
                <w:szCs w:val="24"/>
              </w:rPr>
              <w:t>个数</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b/>
                <w:bCs/>
                <w:color w:val="000000"/>
                <w:sz w:val="24"/>
                <w:szCs w:val="24"/>
              </w:rPr>
            </w:pPr>
            <w:r>
              <w:rPr>
                <w:rFonts w:hint="eastAsia" w:ascii="Times New Roman" w:hAnsi="Times New Roman" w:cs="宋体"/>
                <w:b/>
                <w:bCs/>
                <w:color w:val="000000"/>
                <w:kern w:val="0"/>
                <w:sz w:val="24"/>
                <w:szCs w:val="24"/>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w:t>
            </w:r>
          </w:p>
        </w:tc>
        <w:tc>
          <w:tcPr>
            <w:tcW w:w="1623" w:type="pct"/>
            <w:vMerge w:val="restart"/>
            <w:shd w:val="clear" w:color="auto" w:fill="auto"/>
            <w:tcMar>
              <w:top w:w="15" w:type="dxa"/>
              <w:left w:w="15" w:type="dxa"/>
              <w:right w:w="15" w:type="dxa"/>
            </w:tcMar>
            <w:vAlign w:val="center"/>
          </w:tcPr>
          <w:p>
            <w:pPr>
              <w:pStyle w:val="47"/>
              <w:ind w:firstLine="0" w:firstLineChars="0"/>
              <w:rPr>
                <w:rFonts w:cs="Helvetica" w:asciiTheme="minorEastAsia" w:hAnsiTheme="minorEastAsia"/>
                <w:sz w:val="24"/>
                <w:szCs w:val="24"/>
                <w:shd w:val="clear" w:color="auto" w:fill="FFFFFF"/>
              </w:rPr>
            </w:pPr>
            <w:r>
              <w:rPr>
                <w:rFonts w:hint="eastAsia" w:cs="Helvetica" w:asciiTheme="minorEastAsia" w:hAnsiTheme="minorEastAsia"/>
                <w:sz w:val="24"/>
                <w:szCs w:val="24"/>
                <w:shd w:val="clear" w:color="auto" w:fill="FFFFFF"/>
              </w:rPr>
              <w:t>您所在的区域是？</w:t>
            </w:r>
          </w:p>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A、大埔县</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10</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B、丰顺县</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31</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30.69%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C、蕉岭县</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7</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D、平远县</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33</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32.67%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E、五华县</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12</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F、兴宁市</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7</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G、梅县区</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0</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H、梅江区</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w:t>
            </w:r>
          </w:p>
        </w:tc>
        <w:tc>
          <w:tcPr>
            <w:tcW w:w="1623" w:type="pct"/>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r>
              <w:rPr>
                <w:rFonts w:hint="eastAsia" w:cs="Helvetica" w:asciiTheme="minorEastAsia" w:hAnsiTheme="minorEastAsia"/>
                <w:sz w:val="24"/>
                <w:szCs w:val="24"/>
                <w:shd w:val="clear" w:color="auto" w:fill="FFFFFF"/>
              </w:rPr>
              <w:t>您的年龄是</w:t>
            </w: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A、30岁以下</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20</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B、30-45岁</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58</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57.43%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C、45-60岁</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21</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D、60岁以上</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3</w:t>
            </w:r>
          </w:p>
        </w:tc>
        <w:tc>
          <w:tcPr>
            <w:tcW w:w="1623" w:type="pct"/>
            <w:vMerge w:val="restart"/>
            <w:shd w:val="clear" w:color="auto" w:fill="auto"/>
            <w:tcMar>
              <w:top w:w="15" w:type="dxa"/>
              <w:left w:w="15" w:type="dxa"/>
              <w:right w:w="15" w:type="dxa"/>
            </w:tcMar>
            <w:vAlign w:val="center"/>
          </w:tcPr>
          <w:p>
            <w:pPr>
              <w:ind w:firstLine="480"/>
              <w:rPr>
                <w:rFonts w:cs="Helvetica" w:asciiTheme="minorEastAsia" w:hAnsiTheme="minorEastAsia"/>
                <w:sz w:val="24"/>
                <w:szCs w:val="24"/>
                <w:shd w:val="clear" w:color="auto" w:fill="FFFFFF"/>
              </w:rPr>
            </w:pPr>
            <w:r>
              <w:rPr>
                <w:rFonts w:hint="eastAsia" w:cs="Helvetica" w:asciiTheme="minorEastAsia" w:hAnsiTheme="minorEastAsia"/>
                <w:sz w:val="24"/>
                <w:szCs w:val="24"/>
                <w:shd w:val="clear" w:color="auto" w:fill="FFFFFF"/>
              </w:rPr>
              <w:t>您在本小区的居住时间？</w:t>
            </w: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A、5年以内</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32</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31.68%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B、5-10年</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27</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C、11-20年</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22</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76"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D、20年以上</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20</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4</w:t>
            </w:r>
          </w:p>
        </w:tc>
        <w:tc>
          <w:tcPr>
            <w:tcW w:w="1623" w:type="pct"/>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r>
              <w:rPr>
                <w:rFonts w:hint="eastAsia" w:asciiTheme="minorEastAsia" w:hAnsiTheme="minorEastAsia"/>
                <w:sz w:val="24"/>
                <w:szCs w:val="24"/>
              </w:rPr>
              <w:t xml:space="preserve">改造规划前有没有征求您的意见？ </w:t>
            </w: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A、有</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86</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85.15%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B、没有</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15</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5</w:t>
            </w:r>
          </w:p>
        </w:tc>
        <w:tc>
          <w:tcPr>
            <w:tcW w:w="1623" w:type="pct"/>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您所在的小区对哪些方面进行了整治？</w:t>
            </w: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A、消防设施</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67</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66.34%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B、雨污分流</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85</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84.16%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C、道路硬化</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89</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88.12%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D、其他</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49</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48.51%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4"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6</w:t>
            </w:r>
          </w:p>
        </w:tc>
        <w:tc>
          <w:tcPr>
            <w:tcW w:w="1623" w:type="pct"/>
            <w:vMerge w:val="restart"/>
            <w:shd w:val="clear" w:color="auto" w:fill="auto"/>
            <w:tcMar>
              <w:top w:w="15" w:type="dxa"/>
              <w:left w:w="15" w:type="dxa"/>
              <w:right w:w="15" w:type="dxa"/>
            </w:tcMar>
            <w:vAlign w:val="center"/>
          </w:tcPr>
          <w:p>
            <w:pPr>
              <w:ind w:firstLine="0" w:firstLineChars="0"/>
              <w:rPr>
                <w:rFonts w:asciiTheme="minorEastAsia" w:hAnsiTheme="minorEastAsia"/>
                <w:sz w:val="24"/>
                <w:szCs w:val="24"/>
              </w:rPr>
            </w:pPr>
            <w:r>
              <w:rPr>
                <w:rFonts w:asciiTheme="minorEastAsia" w:hAnsiTheme="minorEastAsia"/>
                <w:sz w:val="24"/>
                <w:szCs w:val="24"/>
              </w:rPr>
              <w:t>在小区改造施工过程中产生的噪音是否对您的生活造成严重影响？</w:t>
            </w:r>
          </w:p>
          <w:p>
            <w:pPr>
              <w:widowControl/>
              <w:spacing w:line="240"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A、没有影响</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62</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61.39%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B、有一些影响</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39</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38.61%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320" w:firstLineChars="100"/>
              <w:textAlignment w:val="center"/>
            </w:pPr>
          </w:p>
        </w:tc>
        <w:tc>
          <w:tcPr>
            <w:tcW w:w="1623" w:type="pct"/>
            <w:vMerge w:val="continue"/>
            <w:shd w:val="clear" w:color="auto" w:fill="auto"/>
            <w:tcMar>
              <w:top w:w="15" w:type="dxa"/>
              <w:left w:w="15" w:type="dxa"/>
              <w:right w:w="15" w:type="dxa"/>
            </w:tcMar>
            <w:vAlign w:val="center"/>
          </w:tcPr>
          <w:p>
            <w:pPr>
              <w:widowControl/>
              <w:spacing w:line="276" w:lineRule="auto"/>
              <w:ind w:firstLine="320" w:firstLineChars="100"/>
              <w:textAlignment w:val="cente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C、严重影响</w:t>
            </w:r>
          </w:p>
        </w:tc>
        <w:tc>
          <w:tcPr>
            <w:tcW w:w="383"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0</w:t>
            </w:r>
          </w:p>
        </w:tc>
        <w:tc>
          <w:tcPr>
            <w:tcW w:w="1209" w:type="pct"/>
            <w:shd w:val="clear" w:color="auto" w:fill="auto"/>
            <w:tcMar>
              <w:top w:w="15" w:type="dxa"/>
              <w:left w:w="15" w:type="dxa"/>
              <w:right w:w="15" w:type="dxa"/>
            </w:tcMar>
            <w:vAlign w:val="center"/>
          </w:tcPr>
          <w:p>
            <w:pPr>
              <w:widowControl/>
              <w:spacing w:line="276" w:lineRule="auto"/>
              <w:ind w:firstLine="240" w:firstLineChars="10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7</w:t>
            </w:r>
          </w:p>
        </w:tc>
        <w:tc>
          <w:tcPr>
            <w:tcW w:w="1623"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asciiTheme="minorEastAsia" w:hAnsiTheme="minorEastAsia"/>
                <w:sz w:val="24"/>
                <w:szCs w:val="24"/>
              </w:rPr>
              <w:t>您对小区改造的施工时间是否满意？</w:t>
            </w: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A、非常满意</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74</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73.27%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B、满意</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26</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320" w:firstLineChars="100"/>
              <w:textAlignment w:val="center"/>
            </w:pPr>
          </w:p>
        </w:tc>
        <w:tc>
          <w:tcPr>
            <w:tcW w:w="1623" w:type="pct"/>
            <w:vMerge w:val="continue"/>
            <w:shd w:val="clear" w:color="auto" w:fill="auto"/>
            <w:tcMar>
              <w:top w:w="15" w:type="dxa"/>
              <w:left w:w="15" w:type="dxa"/>
              <w:right w:w="15" w:type="dxa"/>
            </w:tcMar>
            <w:vAlign w:val="center"/>
          </w:tcPr>
          <w:p>
            <w:pPr>
              <w:widowControl/>
              <w:spacing w:line="276" w:lineRule="auto"/>
              <w:ind w:firstLine="320" w:firstLineChars="100"/>
              <w:textAlignment w:val="cente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C、不满意</w:t>
            </w:r>
          </w:p>
        </w:tc>
        <w:tc>
          <w:tcPr>
            <w:tcW w:w="383"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w:t>
            </w:r>
          </w:p>
        </w:tc>
        <w:tc>
          <w:tcPr>
            <w:tcW w:w="1209" w:type="pct"/>
            <w:shd w:val="clear" w:color="auto" w:fill="auto"/>
            <w:tcMar>
              <w:top w:w="15" w:type="dxa"/>
              <w:left w:w="15" w:type="dxa"/>
              <w:right w:w="15" w:type="dxa"/>
            </w:tcMar>
            <w:vAlign w:val="center"/>
          </w:tcPr>
          <w:p>
            <w:pPr>
              <w:widowControl/>
              <w:spacing w:line="276" w:lineRule="auto"/>
              <w:ind w:firstLine="720" w:firstLineChars="3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8</w:t>
            </w:r>
          </w:p>
        </w:tc>
        <w:tc>
          <w:tcPr>
            <w:tcW w:w="1623"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asciiTheme="minorEastAsia" w:hAnsiTheme="minorEastAsia"/>
                <w:sz w:val="24"/>
                <w:szCs w:val="24"/>
              </w:rPr>
              <w:t>您对本小区改造总体是否满意</w:t>
            </w: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A、非常满意</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78</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77.23%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B、满意</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22</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C、不满意</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9</w:t>
            </w:r>
          </w:p>
        </w:tc>
        <w:tc>
          <w:tcPr>
            <w:tcW w:w="1623"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heme="minorEastAsia" w:hAnsiTheme="minorEastAsia"/>
                <w:sz w:val="24"/>
                <w:szCs w:val="24"/>
              </w:rPr>
              <w:t>您对本小区改造施工的质量是否满意</w:t>
            </w: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A、非常满意</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72</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71.29%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B、满意</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29</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p>
        </w:tc>
        <w:tc>
          <w:tcPr>
            <w:tcW w:w="1348" w:type="pct"/>
            <w:shd w:val="clear" w:color="auto" w:fill="auto"/>
            <w:tcMar>
              <w:top w:w="15" w:type="dxa"/>
              <w:left w:w="15" w:type="dxa"/>
              <w:right w:w="15" w:type="dxa"/>
            </w:tcMar>
            <w:vAlign w:val="center"/>
          </w:tcPr>
          <w:p>
            <w:pPr>
              <w:widowControl/>
              <w:spacing w:line="276" w:lineRule="auto"/>
              <w:ind w:firstLine="240" w:firstLineChars="100"/>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C、不满意</w:t>
            </w:r>
          </w:p>
        </w:tc>
        <w:tc>
          <w:tcPr>
            <w:tcW w:w="38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0</w:t>
            </w:r>
          </w:p>
        </w:tc>
        <w:tc>
          <w:tcPr>
            <w:tcW w:w="1209"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10</w:t>
            </w:r>
          </w:p>
        </w:tc>
        <w:tc>
          <w:tcPr>
            <w:tcW w:w="1623"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heme="minorEastAsia" w:hAnsiTheme="minorEastAsia"/>
                <w:sz w:val="24"/>
                <w:szCs w:val="24"/>
              </w:rPr>
            </w:pPr>
            <w:r>
              <w:rPr>
                <w:rFonts w:asciiTheme="minorEastAsia" w:hAnsiTheme="minorEastAsia"/>
                <w:sz w:val="24"/>
                <w:szCs w:val="24"/>
              </w:rPr>
              <w:t>您认为经过“老旧小区改造”工作，您的生活质量得到了</w:t>
            </w:r>
          </w:p>
        </w:tc>
        <w:tc>
          <w:tcPr>
            <w:tcW w:w="1348" w:type="pct"/>
            <w:shd w:val="clear" w:color="auto" w:fill="auto"/>
            <w:vAlign w:val="center"/>
          </w:tcPr>
          <w:p>
            <w:pPr>
              <w:widowControl/>
              <w:spacing w:line="276" w:lineRule="auto"/>
              <w:ind w:firstLine="240" w:firstLineChars="100"/>
              <w:textAlignment w:val="center"/>
              <w:rPr>
                <w:rFonts w:ascii="Times New Roman" w:hAnsi="Times New Roman"/>
                <w:color w:val="000000"/>
                <w:sz w:val="23"/>
                <w:szCs w:val="23"/>
              </w:rPr>
            </w:pPr>
            <w:r>
              <w:rPr>
                <w:rFonts w:hint="eastAsia" w:ascii="Times New Roman" w:hAnsi="Times New Roman" w:cs="宋体"/>
                <w:color w:val="000000"/>
                <w:kern w:val="0"/>
                <w:sz w:val="24"/>
                <w:szCs w:val="24"/>
              </w:rPr>
              <w:t>A、很大改善</w:t>
            </w:r>
          </w:p>
        </w:tc>
        <w:tc>
          <w:tcPr>
            <w:tcW w:w="383"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77</w:t>
            </w:r>
          </w:p>
        </w:tc>
        <w:tc>
          <w:tcPr>
            <w:tcW w:w="1209"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76.24%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pPr>
          </w:p>
        </w:tc>
        <w:tc>
          <w:tcPr>
            <w:tcW w:w="1348" w:type="pct"/>
            <w:shd w:val="clear" w:color="auto" w:fill="auto"/>
            <w:vAlign w:val="center"/>
          </w:tcPr>
          <w:p>
            <w:pPr>
              <w:widowControl/>
              <w:spacing w:line="276" w:lineRule="auto"/>
              <w:ind w:firstLine="240" w:firstLineChars="100"/>
              <w:textAlignment w:val="center"/>
              <w:rPr>
                <w:rFonts w:ascii="Times New Roman" w:hAnsi="Times New Roman"/>
                <w:color w:val="000000"/>
                <w:sz w:val="23"/>
                <w:szCs w:val="23"/>
              </w:rPr>
            </w:pPr>
            <w:r>
              <w:rPr>
                <w:rFonts w:hint="eastAsia" w:ascii="Times New Roman" w:hAnsi="Times New Roman" w:cs="宋体"/>
                <w:color w:val="000000"/>
                <w:kern w:val="0"/>
                <w:sz w:val="24"/>
                <w:szCs w:val="24"/>
              </w:rPr>
              <w:t>B、较大改善</w:t>
            </w:r>
          </w:p>
        </w:tc>
        <w:tc>
          <w:tcPr>
            <w:tcW w:w="383"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22</w:t>
            </w:r>
          </w:p>
        </w:tc>
        <w:tc>
          <w:tcPr>
            <w:tcW w:w="1209"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21.78%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olor w:val="000000"/>
                <w:sz w:val="23"/>
                <w:szCs w:val="23"/>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olor w:val="000000"/>
                <w:sz w:val="23"/>
                <w:szCs w:val="23"/>
              </w:rPr>
            </w:pPr>
          </w:p>
        </w:tc>
        <w:tc>
          <w:tcPr>
            <w:tcW w:w="1348" w:type="pct"/>
            <w:shd w:val="clear" w:color="auto" w:fill="auto"/>
            <w:vAlign w:val="center"/>
          </w:tcPr>
          <w:p>
            <w:pPr>
              <w:widowControl/>
              <w:spacing w:line="276" w:lineRule="auto"/>
              <w:ind w:firstLine="240" w:firstLineChars="100"/>
              <w:textAlignment w:val="center"/>
              <w:rPr>
                <w:rFonts w:ascii="Times New Roman" w:hAnsi="Times New Roman"/>
                <w:color w:val="000000"/>
                <w:sz w:val="23"/>
                <w:szCs w:val="23"/>
              </w:rPr>
            </w:pPr>
            <w:r>
              <w:rPr>
                <w:rFonts w:hint="eastAsia" w:ascii="Times New Roman" w:hAnsi="Times New Roman" w:cs="宋体"/>
                <w:color w:val="000000"/>
                <w:kern w:val="0"/>
                <w:sz w:val="24"/>
                <w:szCs w:val="24"/>
              </w:rPr>
              <w:t>C、没有改善</w:t>
            </w:r>
          </w:p>
        </w:tc>
        <w:tc>
          <w:tcPr>
            <w:tcW w:w="383"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2</w:t>
            </w:r>
          </w:p>
        </w:tc>
        <w:tc>
          <w:tcPr>
            <w:tcW w:w="1209"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2"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11</w:t>
            </w:r>
          </w:p>
        </w:tc>
        <w:tc>
          <w:tcPr>
            <w:tcW w:w="1623" w:type="pct"/>
            <w:vMerge w:val="restart"/>
            <w:shd w:val="clear" w:color="auto" w:fill="auto"/>
            <w:tcMar>
              <w:top w:w="15" w:type="dxa"/>
              <w:left w:w="15" w:type="dxa"/>
              <w:right w:w="15" w:type="dxa"/>
            </w:tcMar>
            <w:vAlign w:val="center"/>
          </w:tcPr>
          <w:p>
            <w:pPr>
              <w:ind w:firstLine="0" w:firstLineChars="0"/>
              <w:rPr>
                <w:rFonts w:asciiTheme="minorEastAsia" w:hAnsiTheme="minorEastAsia"/>
                <w:sz w:val="24"/>
                <w:szCs w:val="24"/>
              </w:rPr>
            </w:pPr>
            <w:r>
              <w:rPr>
                <w:rFonts w:cs="Helvetica" w:asciiTheme="minorEastAsia" w:hAnsiTheme="minorEastAsia"/>
                <w:color w:val="262626"/>
                <w:sz w:val="24"/>
                <w:szCs w:val="24"/>
                <w:shd w:val="clear" w:color="auto" w:fill="FFFFFF"/>
              </w:rPr>
              <w:t>您对小区改造施工过程中产生的污染废弃物是否影响您生活或正常出行？</w:t>
            </w:r>
          </w:p>
        </w:tc>
        <w:tc>
          <w:tcPr>
            <w:tcW w:w="1348" w:type="pct"/>
            <w:shd w:val="clear" w:color="auto" w:fill="auto"/>
            <w:vAlign w:val="center"/>
          </w:tcPr>
          <w:p>
            <w:pPr>
              <w:widowControl/>
              <w:spacing w:line="276" w:lineRule="auto"/>
              <w:ind w:firstLine="240" w:firstLineChars="100"/>
              <w:textAlignment w:val="center"/>
              <w:rPr>
                <w:rFonts w:ascii="Times New Roman" w:hAnsi="Times New Roman"/>
                <w:color w:val="000000"/>
                <w:sz w:val="23"/>
                <w:szCs w:val="23"/>
              </w:rPr>
            </w:pPr>
            <w:r>
              <w:rPr>
                <w:rFonts w:hint="eastAsia" w:ascii="Times New Roman" w:hAnsi="Times New Roman" w:cs="宋体"/>
                <w:color w:val="000000"/>
                <w:kern w:val="0"/>
                <w:sz w:val="24"/>
                <w:szCs w:val="24"/>
              </w:rPr>
              <w:t>A、是</w:t>
            </w:r>
          </w:p>
        </w:tc>
        <w:tc>
          <w:tcPr>
            <w:tcW w:w="383"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14</w:t>
            </w:r>
          </w:p>
        </w:tc>
        <w:tc>
          <w:tcPr>
            <w:tcW w:w="1209"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13.86%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2"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pPr>
          </w:p>
        </w:tc>
        <w:tc>
          <w:tcPr>
            <w:tcW w:w="1348" w:type="pct"/>
            <w:shd w:val="clear" w:color="auto" w:fill="auto"/>
            <w:vAlign w:val="center"/>
          </w:tcPr>
          <w:p>
            <w:pPr>
              <w:widowControl/>
              <w:spacing w:line="276" w:lineRule="auto"/>
              <w:ind w:firstLine="240" w:firstLineChars="100"/>
              <w:textAlignment w:val="center"/>
              <w:rPr>
                <w:rFonts w:ascii="Times New Roman" w:hAnsi="Times New Roman"/>
                <w:color w:val="000000"/>
                <w:sz w:val="23"/>
                <w:szCs w:val="23"/>
              </w:rPr>
            </w:pPr>
            <w:r>
              <w:rPr>
                <w:rFonts w:hint="eastAsia" w:ascii="Times New Roman" w:hAnsi="Times New Roman" w:cs="宋体"/>
                <w:color w:val="000000"/>
                <w:kern w:val="0"/>
                <w:sz w:val="24"/>
                <w:szCs w:val="24"/>
              </w:rPr>
              <w:t>B、否</w:t>
            </w:r>
          </w:p>
        </w:tc>
        <w:tc>
          <w:tcPr>
            <w:tcW w:w="383"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87</w:t>
            </w:r>
          </w:p>
        </w:tc>
        <w:tc>
          <w:tcPr>
            <w:tcW w:w="1209"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86.14%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435" w:type="pct"/>
            <w:vMerge w:val="restar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12</w:t>
            </w:r>
          </w:p>
        </w:tc>
        <w:tc>
          <w:tcPr>
            <w:tcW w:w="1623" w:type="pct"/>
            <w:vMerge w:val="restart"/>
            <w:shd w:val="clear" w:color="auto" w:fill="auto"/>
            <w:tcMar>
              <w:top w:w="15" w:type="dxa"/>
              <w:left w:w="15" w:type="dxa"/>
              <w:right w:w="15" w:type="dxa"/>
            </w:tcMar>
            <w:vAlign w:val="center"/>
          </w:tcPr>
          <w:p>
            <w:pPr>
              <w:ind w:firstLine="0" w:firstLineChars="0"/>
              <w:rPr>
                <w:rFonts w:asciiTheme="minorEastAsia" w:hAnsiTheme="minorEastAsia"/>
                <w:sz w:val="24"/>
                <w:szCs w:val="24"/>
              </w:rPr>
            </w:pPr>
            <w:r>
              <w:rPr>
                <w:sz w:val="24"/>
                <w:szCs w:val="24"/>
              </w:rPr>
              <w:t>您认为小区改造是否提高您的</w:t>
            </w:r>
            <w:r>
              <w:rPr>
                <w:rFonts w:hint="eastAsia"/>
                <w:sz w:val="24"/>
                <w:szCs w:val="24"/>
              </w:rPr>
              <w:t>获得感、幸福感</w:t>
            </w:r>
          </w:p>
        </w:tc>
        <w:tc>
          <w:tcPr>
            <w:tcW w:w="1348" w:type="pct"/>
            <w:shd w:val="clear" w:color="auto" w:fill="auto"/>
            <w:vAlign w:val="center"/>
          </w:tcPr>
          <w:p>
            <w:pPr>
              <w:widowControl/>
              <w:spacing w:line="276" w:lineRule="auto"/>
              <w:ind w:firstLine="240" w:firstLineChars="100"/>
              <w:textAlignment w:val="center"/>
              <w:rPr>
                <w:rFonts w:ascii="Times New Roman" w:hAnsi="Times New Roman"/>
                <w:color w:val="000000"/>
                <w:sz w:val="23"/>
                <w:szCs w:val="23"/>
              </w:rPr>
            </w:pPr>
            <w:r>
              <w:rPr>
                <w:rFonts w:hint="eastAsia" w:ascii="Times New Roman" w:hAnsi="Times New Roman" w:cs="宋体"/>
                <w:color w:val="000000"/>
                <w:kern w:val="0"/>
                <w:sz w:val="24"/>
                <w:szCs w:val="24"/>
              </w:rPr>
              <w:t>A、显著提高</w:t>
            </w:r>
          </w:p>
        </w:tc>
        <w:tc>
          <w:tcPr>
            <w:tcW w:w="383"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87</w:t>
            </w:r>
          </w:p>
        </w:tc>
        <w:tc>
          <w:tcPr>
            <w:tcW w:w="1209"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86.14%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pPr>
          </w:p>
        </w:tc>
        <w:tc>
          <w:tcPr>
            <w:tcW w:w="1348" w:type="pct"/>
            <w:shd w:val="clear" w:color="auto" w:fill="auto"/>
            <w:vAlign w:val="center"/>
          </w:tcPr>
          <w:p>
            <w:pPr>
              <w:widowControl/>
              <w:spacing w:line="276" w:lineRule="auto"/>
              <w:ind w:firstLine="240" w:firstLineChars="100"/>
              <w:textAlignment w:val="center"/>
              <w:rPr>
                <w:rFonts w:ascii="Times New Roman" w:hAnsi="Times New Roman"/>
                <w:color w:val="000000"/>
                <w:sz w:val="23"/>
                <w:szCs w:val="23"/>
              </w:rPr>
            </w:pPr>
            <w:r>
              <w:rPr>
                <w:rFonts w:hint="eastAsia" w:ascii="Times New Roman" w:hAnsi="Times New Roman" w:cs="宋体"/>
                <w:color w:val="000000"/>
                <w:kern w:val="0"/>
                <w:sz w:val="24"/>
                <w:szCs w:val="24"/>
              </w:rPr>
              <w:t>B、有些提高</w:t>
            </w:r>
          </w:p>
        </w:tc>
        <w:tc>
          <w:tcPr>
            <w:tcW w:w="383"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13</w:t>
            </w:r>
          </w:p>
        </w:tc>
        <w:tc>
          <w:tcPr>
            <w:tcW w:w="1209" w:type="pct"/>
            <w:shd w:val="clear" w:color="auto" w:fill="auto"/>
            <w:vAlign w:val="center"/>
          </w:tcPr>
          <w:p>
            <w:pPr>
              <w:widowControl/>
              <w:tabs>
                <w:tab w:val="left" w:pos="381"/>
              </w:tabs>
              <w:spacing w:line="276" w:lineRule="auto"/>
              <w:ind w:firstLine="690" w:firstLineChars="300"/>
              <w:jc w:val="left"/>
              <w:textAlignment w:val="center"/>
              <w:rPr>
                <w:rFonts w:ascii="Times New Roman" w:hAnsi="Times New Roman"/>
                <w:color w:val="000000"/>
                <w:sz w:val="23"/>
                <w:szCs w:val="23"/>
              </w:rPr>
            </w:pPr>
            <w:r>
              <w:rPr>
                <w:rFonts w:hint="eastAsia" w:ascii="Times New Roman" w:hAnsi="Times New Roman"/>
                <w:color w:val="000000"/>
                <w:sz w:val="23"/>
                <w:szCs w:val="23"/>
              </w:rPr>
              <w:t>12.87%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435"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olor w:val="000000"/>
                <w:sz w:val="23"/>
                <w:szCs w:val="23"/>
              </w:rPr>
            </w:pPr>
          </w:p>
        </w:tc>
        <w:tc>
          <w:tcPr>
            <w:tcW w:w="1623" w:type="pct"/>
            <w:vMerge w:val="continue"/>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olor w:val="000000"/>
                <w:sz w:val="23"/>
                <w:szCs w:val="23"/>
              </w:rPr>
            </w:pPr>
          </w:p>
        </w:tc>
        <w:tc>
          <w:tcPr>
            <w:tcW w:w="1348" w:type="pct"/>
            <w:shd w:val="clear" w:color="auto" w:fill="auto"/>
            <w:vAlign w:val="center"/>
          </w:tcPr>
          <w:p>
            <w:pPr>
              <w:widowControl/>
              <w:spacing w:line="276" w:lineRule="auto"/>
              <w:ind w:firstLine="240" w:firstLineChars="100"/>
              <w:textAlignment w:val="center"/>
              <w:rPr>
                <w:rFonts w:ascii="Times New Roman" w:hAnsi="Times New Roman"/>
                <w:color w:val="000000"/>
                <w:sz w:val="23"/>
                <w:szCs w:val="23"/>
              </w:rPr>
            </w:pPr>
            <w:r>
              <w:rPr>
                <w:rFonts w:hint="eastAsia" w:ascii="Times New Roman" w:hAnsi="Times New Roman" w:cs="宋体"/>
                <w:color w:val="000000"/>
                <w:kern w:val="0"/>
                <w:sz w:val="24"/>
                <w:szCs w:val="24"/>
              </w:rPr>
              <w:t>C、没有提高</w:t>
            </w:r>
          </w:p>
        </w:tc>
        <w:tc>
          <w:tcPr>
            <w:tcW w:w="383"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1</w:t>
            </w:r>
          </w:p>
        </w:tc>
        <w:tc>
          <w:tcPr>
            <w:tcW w:w="1209" w:type="pct"/>
            <w:shd w:val="clear" w:color="auto" w:fill="auto"/>
            <w:vAlign w:val="center"/>
          </w:tcPr>
          <w:p>
            <w:pPr>
              <w:widowControl/>
              <w:spacing w:line="276" w:lineRule="auto"/>
              <w:ind w:firstLine="0" w:firstLineChars="0"/>
              <w:jc w:val="center"/>
              <w:textAlignment w:val="center"/>
              <w:rPr>
                <w:rFonts w:ascii="Times New Roman" w:hAnsi="Times New Roman"/>
                <w:color w:val="000000"/>
                <w:sz w:val="23"/>
                <w:szCs w:val="23"/>
              </w:rPr>
            </w:pPr>
            <w:r>
              <w:rPr>
                <w:rFonts w:hint="eastAsia" w:ascii="Times New Roman" w:hAnsi="Times New Roman"/>
                <w:color w:val="000000"/>
                <w:sz w:val="23"/>
                <w:szCs w:val="23"/>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93" w:hRule="atLeast"/>
          <w:jc w:val="center"/>
        </w:trPr>
        <w:tc>
          <w:tcPr>
            <w:tcW w:w="435"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13</w:t>
            </w:r>
          </w:p>
        </w:tc>
        <w:tc>
          <w:tcPr>
            <w:tcW w:w="1623" w:type="pct"/>
            <w:shd w:val="clear" w:color="auto" w:fill="auto"/>
            <w:tcMar>
              <w:top w:w="15" w:type="dxa"/>
              <w:left w:w="15" w:type="dxa"/>
              <w:right w:w="15" w:type="dxa"/>
            </w:tcMar>
            <w:vAlign w:val="center"/>
          </w:tcPr>
          <w:p>
            <w:pPr>
              <w:widowControl/>
              <w:spacing w:line="276" w:lineRule="auto"/>
              <w:ind w:firstLine="0" w:firstLineChars="0"/>
              <w:jc w:val="center"/>
              <w:textAlignment w:val="center"/>
              <w:rPr>
                <w:rFonts w:ascii="Times New Roman" w:hAnsi="Times New Roman" w:cs="宋体"/>
                <w:color w:val="000000"/>
                <w:kern w:val="0"/>
                <w:sz w:val="24"/>
                <w:szCs w:val="24"/>
              </w:rPr>
            </w:pPr>
            <w:r>
              <w:rPr>
                <w:rFonts w:asciiTheme="minorEastAsia" w:hAnsiTheme="minorEastAsia"/>
                <w:sz w:val="24"/>
                <w:szCs w:val="24"/>
              </w:rPr>
              <w:t>您对老旧小区改造工作还有哪些具体的意见和建议</w:t>
            </w:r>
          </w:p>
        </w:tc>
        <w:tc>
          <w:tcPr>
            <w:tcW w:w="2941" w:type="pct"/>
            <w:gridSpan w:val="3"/>
            <w:shd w:val="clear" w:color="auto" w:fill="auto"/>
            <w:vAlign w:val="center"/>
          </w:tcPr>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继续加大力度 </w:t>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做得好</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非常感谢一线工作人员，你们辛苦了！</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非常感谢一线工作人员，你们辛苦了</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非常满意</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加大外立墙面积翻新。</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没有</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没有</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工作做的很好。</w:t>
            </w:r>
            <w:r>
              <w:rPr>
                <w:rFonts w:hint="eastAsia" w:ascii="Times New Roman" w:hAnsi="Times New Roman" w:cs="宋体"/>
                <w:color w:val="000000"/>
                <w:kern w:val="0"/>
                <w:sz w:val="24"/>
                <w:szCs w:val="24"/>
              </w:rPr>
              <w:tab/>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如果电梯能配套的话就能大大提高大家的生活质量，希望下来政府会重视。感谢政府！</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希望有更多方面的改造。</w:t>
            </w:r>
            <w:r>
              <w:rPr>
                <w:rFonts w:hint="eastAsia" w:ascii="Times New Roman" w:hAnsi="Times New Roman" w:cs="宋体"/>
                <w:color w:val="000000"/>
                <w:kern w:val="0"/>
                <w:sz w:val="24"/>
                <w:szCs w:val="24"/>
              </w:rPr>
              <w:tab/>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消防工程应做好完善，沙井盖有部分坏了应更换</w:t>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越来越好</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感谢政府对人民关心，厚爱。</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整体来说效果不错，但细节需注意</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小区地面如能再铺一层水泥胶水的话就更好了</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非常满意</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老城区改造是党、政府为民办了件大好事实事。我们小区的环境发生了巨大变化：地埕硬底化，污水管道疏通排放，围墙修建美化，花草树木有规划栽种……。现在空气新鲜（没有污水的臭味）了，蚊子没有（住户可在区内活动、乘凉）了……。我们小区每位住户：感谢党、政府为我们营造一个美好环境感到＝＝幸福。</w:t>
            </w:r>
            <w:r>
              <w:rPr>
                <w:rFonts w:hint="eastAsia" w:ascii="Times New Roman" w:hAnsi="Times New Roman" w:cs="宋体"/>
                <w:color w:val="000000"/>
                <w:kern w:val="0"/>
                <w:sz w:val="24"/>
                <w:szCs w:val="24"/>
              </w:rPr>
              <w:tab/>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我认为很好了，感谢政府</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听从安排</w:t>
            </w:r>
            <w:r>
              <w:rPr>
                <w:rFonts w:hint="eastAsia" w:ascii="Times New Roman" w:hAnsi="Times New Roman" w:cs="宋体"/>
                <w:color w:val="000000"/>
                <w:kern w:val="0"/>
                <w:sz w:val="24"/>
                <w:szCs w:val="24"/>
              </w:rPr>
              <w:tab/>
            </w:r>
          </w:p>
          <w:p>
            <w:pPr>
              <w:widowControl/>
              <w:spacing w:line="276" w:lineRule="auto"/>
              <w:ind w:firstLine="0" w:firstLineChars="0"/>
              <w:jc w:val="left"/>
              <w:textAlignment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十分滿意</w:t>
            </w:r>
            <w:r>
              <w:rPr>
                <w:rFonts w:hint="eastAsia" w:ascii="Times New Roman" w:hAnsi="Times New Roman" w:cs="宋体"/>
                <w:color w:val="000000"/>
                <w:kern w:val="0"/>
                <w:sz w:val="24"/>
                <w:szCs w:val="24"/>
              </w:rPr>
              <w:tab/>
            </w:r>
          </w:p>
          <w:p>
            <w:pPr>
              <w:widowControl/>
              <w:spacing w:line="276" w:lineRule="auto"/>
              <w:ind w:firstLine="0" w:firstLineChars="0"/>
              <w:jc w:val="center"/>
              <w:textAlignment w:val="center"/>
              <w:rPr>
                <w:rFonts w:ascii="Times New Roman" w:hAnsi="Times New Roman"/>
                <w:color w:val="000000"/>
                <w:sz w:val="23"/>
                <w:szCs w:val="23"/>
              </w:rPr>
            </w:pPr>
          </w:p>
        </w:tc>
      </w:tr>
    </w:tbl>
    <w:p>
      <w:pPr>
        <w:spacing w:line="240" w:lineRule="auto"/>
        <w:ind w:firstLine="0" w:firstLineChars="0"/>
        <w:rPr>
          <w:rFonts w:ascii="Times New Roman" w:hAnsi="Times New Roman"/>
        </w:rPr>
      </w:pPr>
    </w:p>
    <w:sectPr>
      <w:pgSz w:w="11906" w:h="16838"/>
      <w:pgMar w:top="1440" w:right="1800" w:bottom="1440" w:left="180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79B15B0-5BC6-4FC7-9987-7129412F45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6F4ED314-4585-41D4-846C-0CDB901F8A8B}"/>
  </w:font>
  <w:font w:name="仿宋_GB2312">
    <w:panose1 w:val="02010609030101010101"/>
    <w:charset w:val="86"/>
    <w:family w:val="modern"/>
    <w:pitch w:val="default"/>
    <w:sig w:usb0="00000001" w:usb1="080E0000" w:usb2="00000000" w:usb3="00000000" w:csb0="00040000" w:csb1="00000000"/>
    <w:embedRegular r:id="rId3" w:fontKey="{23FD84E0-8D33-44D0-B02A-AD8EDD31349C}"/>
  </w:font>
  <w:font w:name="Cambria">
    <w:panose1 w:val="02040503050406030204"/>
    <w:charset w:val="00"/>
    <w:family w:val="roman"/>
    <w:pitch w:val="default"/>
    <w:sig w:usb0="E00006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embedRegular r:id="rId4" w:fontKey="{7E83BDB4-E186-4668-991C-32554DADD5EB}"/>
  </w:font>
  <w:font w:name="等线 Light">
    <w:panose1 w:val="02010600030101010101"/>
    <w:charset w:val="86"/>
    <w:family w:val="auto"/>
    <w:pitch w:val="default"/>
    <w:sig w:usb0="A00002BF" w:usb1="38CF7CFA" w:usb2="00000016" w:usb3="00000000" w:csb0="0004000F" w:csb1="00000000"/>
  </w:font>
  <w:font w:name="Arial Unicode MS">
    <w:panose1 w:val="020B0604020202020204"/>
    <w:charset w:val="86"/>
    <w:family w:val="auto"/>
    <w:pitch w:val="default"/>
    <w:sig w:usb0="FFFFFFFF" w:usb1="E9FFFFFF" w:usb2="0000003F" w:usb3="00000000" w:csb0="603F01FF" w:csb1="FFFF0000"/>
    <w:embedRegular r:id="rId5" w:fontKey="{1D10B093-792D-4637-9E4B-562F49137DCD}"/>
  </w:font>
  <w:font w:name="楷体">
    <w:panose1 w:val="02010609060101010101"/>
    <w:charset w:val="86"/>
    <w:family w:val="auto"/>
    <w:pitch w:val="default"/>
    <w:sig w:usb0="800002BF" w:usb1="38CF7CFA" w:usb2="00000016" w:usb3="00000000" w:csb0="00040001" w:csb1="00000000"/>
    <w:embedRegular r:id="rId6" w:fontKey="{7F48EBB8-C461-44A8-AED3-479AE772C249}"/>
  </w:font>
  <w:font w:name="仿宋">
    <w:panose1 w:val="02010609060101010101"/>
    <w:charset w:val="86"/>
    <w:family w:val="auto"/>
    <w:pitch w:val="default"/>
    <w:sig w:usb0="800002BF" w:usb1="38CF7CFA" w:usb2="00000016" w:usb3="00000000" w:csb0="00040001" w:csb1="00000000"/>
    <w:embedRegular r:id="rId7" w:fontKey="{758674FF-8026-4095-9DA3-E9B5B5FF5422}"/>
  </w:font>
  <w:font w:name="Helvetica">
    <w:altName w:val="Arial"/>
    <w:panose1 w:val="020B0604020202020204"/>
    <w:charset w:val="00"/>
    <w:family w:val="swiss"/>
    <w:pitch w:val="default"/>
    <w:sig w:usb0="00000000" w:usb1="00000000" w:usb2="00000009" w:usb3="00000000" w:csb0="000001FF" w:csb1="00000000"/>
    <w:embedRegular r:id="rId8" w:fontKey="{ADF3EE61-14D2-40B0-AAB2-18CCB64BEE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5023"/>
        <w:tab w:val="clear" w:pos="4153"/>
      </w:tabs>
      <w:ind w:firstLine="360"/>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5023"/>
        <w:tab w:val="clear" w:pos="4153"/>
      </w:tabs>
      <w:ind w:firstLine="360"/>
    </w:pPr>
    <w:r>
      <w:pict>
        <v:shape id="_x0000_s2049" o:spid="_x0000_s204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9"/>
                  <w:ind w:firstLine="0" w:firstLineChars="0"/>
                </w:pPr>
                <w:r>
                  <w:fldChar w:fldCharType="begin"/>
                </w:r>
                <w:r>
                  <w:instrText xml:space="preserve"> PAGE  \* MERGEFORMAT </w:instrText>
                </w:r>
                <w:r>
                  <w:fldChar w:fldCharType="separate"/>
                </w:r>
                <w:r>
                  <w:t>I</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560"/>
      <w:jc w:val="right"/>
      <w:rPr>
        <w:rFonts w:ascii="宋体" w:hAnsi="宋体"/>
        <w:sz w:val="28"/>
      </w:rPr>
    </w:pPr>
    <w:r>
      <w:rPr>
        <w:sz w:val="28"/>
      </w:rP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9"/>
                  <w:ind w:firstLine="0" w:firstLineChars="0"/>
                  <w:rPr>
                    <w:rStyle w:val="20"/>
                    <w:sz w:val="24"/>
                    <w:szCs w:val="24"/>
                  </w:rPr>
                </w:pPr>
                <w:r>
                  <w:rPr>
                    <w:sz w:val="24"/>
                    <w:szCs w:val="24"/>
                  </w:rPr>
                  <w:fldChar w:fldCharType="begin"/>
                </w:r>
                <w:r>
                  <w:rPr>
                    <w:rStyle w:val="20"/>
                    <w:sz w:val="24"/>
                    <w:szCs w:val="24"/>
                  </w:rPr>
                  <w:instrText xml:space="preserve">PAGE  </w:instrText>
                </w:r>
                <w:r>
                  <w:rPr>
                    <w:sz w:val="24"/>
                    <w:szCs w:val="24"/>
                  </w:rPr>
                  <w:fldChar w:fldCharType="separate"/>
                </w:r>
                <w:r>
                  <w:rPr>
                    <w:rStyle w:val="20"/>
                    <w:sz w:val="24"/>
                    <w:szCs w:val="24"/>
                  </w:rPr>
                  <w:t>1</w:t>
                </w:r>
                <w:r>
                  <w:rPr>
                    <w:sz w:val="24"/>
                    <w:szCs w:val="24"/>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pPr>
        <w:spacing w:line="240" w:lineRule="auto"/>
        <w:ind w:firstLine="640"/>
      </w:pPr>
      <w:r>
        <w:separator/>
      </w:r>
    </w:p>
  </w:footnote>
  <w:footnote w:type="continuationSeparator" w:id="9">
    <w:p>
      <w:pPr>
        <w:spacing w:line="240" w:lineRule="auto"/>
        <w:ind w:firstLine="640"/>
      </w:pPr>
      <w:r>
        <w:continuationSeparator/>
      </w:r>
    </w:p>
  </w:footnote>
  <w:footnote w:id="0">
    <w:p>
      <w:pPr>
        <w:pStyle w:val="12"/>
        <w:spacing w:line="240" w:lineRule="auto"/>
        <w:ind w:firstLine="0" w:firstLineChars="0"/>
      </w:pPr>
      <w:r>
        <w:rPr>
          <w:rStyle w:val="23"/>
        </w:rPr>
        <w:footnoteRef/>
      </w:r>
      <w:r>
        <w:rPr>
          <w:rFonts w:hint="eastAsia" w:ascii="仿宋_GB2312" w:hAnsi="仿宋_GB2312" w:cs="仿宋_GB2312"/>
          <w:szCs w:val="32"/>
        </w:rPr>
        <w:t>梅市财评〔2022〕5号文中本项目涉及资金为23,942.00万元,</w:t>
      </w:r>
      <w:r>
        <w:rPr>
          <w:rFonts w:hint="eastAsia"/>
        </w:rPr>
        <w:t>但依据项目单位提供的佐证资料，并结合现场评价、单位反馈等情况，核实本项目资金为</w:t>
      </w:r>
      <w:r>
        <w:rPr>
          <w:rFonts w:cs="仿宋_GB2312"/>
          <w:szCs w:val="32"/>
        </w:rPr>
        <w:t>24,762.30</w:t>
      </w:r>
      <w:r>
        <w:rPr>
          <w:rFonts w:hint="eastAsia"/>
        </w:rPr>
        <w:t>万元。</w:t>
      </w:r>
    </w:p>
  </w:footnote>
  <w:footnote w:id="1">
    <w:p>
      <w:pPr>
        <w:pStyle w:val="12"/>
        <w:spacing w:line="240" w:lineRule="auto"/>
        <w:ind w:firstLine="0" w:firstLineChars="0"/>
      </w:pPr>
      <w:r>
        <w:rPr>
          <w:rStyle w:val="23"/>
        </w:rPr>
        <w:footnoteRef/>
      </w:r>
      <w:r>
        <w:t xml:space="preserve"> 改造内容分类来自</w:t>
      </w:r>
      <w:r>
        <w:rPr>
          <w:rFonts w:hint="eastAsia"/>
          <w:szCs w:val="32"/>
        </w:rPr>
        <w:t>国务院办公厅发布《国务院办公厅关于全面推进城镇老旧小区改造工作的指导意见》（国办发〔2020〕23号）。</w:t>
      </w:r>
    </w:p>
  </w:footnote>
  <w:footnote w:id="2">
    <w:p>
      <w:pPr>
        <w:pStyle w:val="12"/>
        <w:spacing w:line="240" w:lineRule="auto"/>
        <w:ind w:firstLine="0" w:firstLineChars="0"/>
      </w:pPr>
      <w:r>
        <w:rPr>
          <w:rStyle w:val="23"/>
        </w:rPr>
        <w:footnoteRef/>
      </w:r>
      <w:r>
        <w:rPr>
          <w:rFonts w:hint="eastAsia"/>
        </w:rPr>
        <w:t>根据</w:t>
      </w:r>
      <w:r>
        <w:t>相关资金下达文件进行整理。</w:t>
      </w:r>
    </w:p>
  </w:footnote>
  <w:footnote w:id="3">
    <w:p>
      <w:pPr>
        <w:pStyle w:val="12"/>
        <w:spacing w:line="240" w:lineRule="auto"/>
        <w:ind w:firstLine="0" w:firstLineChars="0"/>
      </w:pPr>
      <w:r>
        <w:rPr>
          <w:rStyle w:val="23"/>
        </w:rPr>
        <w:footnoteRef/>
      </w:r>
      <w:r>
        <w:rPr>
          <w:rFonts w:hint="eastAsia"/>
        </w:rPr>
        <w:t>数据由市住建局提供的梅州市城镇老旧小区改造工作简报整理，该数量包含发改口径小区数量</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TrueTypeFonts/>
  <w:saveSubsetFonts/>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hdrShapeDefaults>
    <o:shapelayout v:ext="edit">
      <o:idmap v:ext="edit" data="2"/>
    </o:shapelayout>
  </w:hdrShapeDefaults>
  <w:footnotePr>
    <w:footnote w:id="8"/>
    <w:footnote w:id="9"/>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TQ3MDc3YTJkYjljMTczYWVkMTgzZTE3YjM5Mzc0NzYifQ=="/>
  </w:docVars>
  <w:rsids>
    <w:rsidRoot w:val="002837EC"/>
    <w:rsid w:val="000053BF"/>
    <w:rsid w:val="00006211"/>
    <w:rsid w:val="00006753"/>
    <w:rsid w:val="00034EFE"/>
    <w:rsid w:val="0004262F"/>
    <w:rsid w:val="00042F4B"/>
    <w:rsid w:val="00044795"/>
    <w:rsid w:val="000560C9"/>
    <w:rsid w:val="0005753A"/>
    <w:rsid w:val="0007047E"/>
    <w:rsid w:val="0007548C"/>
    <w:rsid w:val="00076823"/>
    <w:rsid w:val="00080CC4"/>
    <w:rsid w:val="00083870"/>
    <w:rsid w:val="00090C57"/>
    <w:rsid w:val="0009311B"/>
    <w:rsid w:val="00093ADE"/>
    <w:rsid w:val="000A3B93"/>
    <w:rsid w:val="000A50B4"/>
    <w:rsid w:val="000B0C16"/>
    <w:rsid w:val="000C2887"/>
    <w:rsid w:val="000D3C1C"/>
    <w:rsid w:val="000D4F94"/>
    <w:rsid w:val="000D7D13"/>
    <w:rsid w:val="000E6E09"/>
    <w:rsid w:val="00102D32"/>
    <w:rsid w:val="00102F81"/>
    <w:rsid w:val="001058D4"/>
    <w:rsid w:val="0010723C"/>
    <w:rsid w:val="00110B1B"/>
    <w:rsid w:val="00116586"/>
    <w:rsid w:val="00123A01"/>
    <w:rsid w:val="00123CAE"/>
    <w:rsid w:val="0012495A"/>
    <w:rsid w:val="00133DB1"/>
    <w:rsid w:val="001349DE"/>
    <w:rsid w:val="00137E76"/>
    <w:rsid w:val="00144BCA"/>
    <w:rsid w:val="001464C6"/>
    <w:rsid w:val="00150368"/>
    <w:rsid w:val="00167202"/>
    <w:rsid w:val="001700A4"/>
    <w:rsid w:val="00170506"/>
    <w:rsid w:val="001737CC"/>
    <w:rsid w:val="001813FD"/>
    <w:rsid w:val="00182D4B"/>
    <w:rsid w:val="0019402A"/>
    <w:rsid w:val="001953CC"/>
    <w:rsid w:val="00197E49"/>
    <w:rsid w:val="001B291A"/>
    <w:rsid w:val="001B5445"/>
    <w:rsid w:val="001C7AA3"/>
    <w:rsid w:val="001D0223"/>
    <w:rsid w:val="001D07A2"/>
    <w:rsid w:val="001D4B59"/>
    <w:rsid w:val="001E4B83"/>
    <w:rsid w:val="001E6FEA"/>
    <w:rsid w:val="001F101F"/>
    <w:rsid w:val="001F29EA"/>
    <w:rsid w:val="00202EFF"/>
    <w:rsid w:val="00205509"/>
    <w:rsid w:val="00210204"/>
    <w:rsid w:val="00217B20"/>
    <w:rsid w:val="002258B7"/>
    <w:rsid w:val="00233189"/>
    <w:rsid w:val="00235194"/>
    <w:rsid w:val="002459F9"/>
    <w:rsid w:val="00246767"/>
    <w:rsid w:val="00247F0A"/>
    <w:rsid w:val="00251D02"/>
    <w:rsid w:val="002559D5"/>
    <w:rsid w:val="002663BB"/>
    <w:rsid w:val="00277598"/>
    <w:rsid w:val="00281728"/>
    <w:rsid w:val="00282631"/>
    <w:rsid w:val="002829AD"/>
    <w:rsid w:val="002837EC"/>
    <w:rsid w:val="00283ADE"/>
    <w:rsid w:val="00284E68"/>
    <w:rsid w:val="002947E3"/>
    <w:rsid w:val="00296357"/>
    <w:rsid w:val="002A3693"/>
    <w:rsid w:val="002C1F19"/>
    <w:rsid w:val="002D1282"/>
    <w:rsid w:val="002D1865"/>
    <w:rsid w:val="002D2ED3"/>
    <w:rsid w:val="002D50A1"/>
    <w:rsid w:val="002E0DA7"/>
    <w:rsid w:val="002E5EFC"/>
    <w:rsid w:val="002E6302"/>
    <w:rsid w:val="002F3AA4"/>
    <w:rsid w:val="002F7199"/>
    <w:rsid w:val="002F7C2E"/>
    <w:rsid w:val="00300236"/>
    <w:rsid w:val="00301556"/>
    <w:rsid w:val="00325199"/>
    <w:rsid w:val="003266DF"/>
    <w:rsid w:val="003304FA"/>
    <w:rsid w:val="0033148E"/>
    <w:rsid w:val="00333143"/>
    <w:rsid w:val="003368F3"/>
    <w:rsid w:val="00347EEC"/>
    <w:rsid w:val="00357FB3"/>
    <w:rsid w:val="003602CB"/>
    <w:rsid w:val="003817DF"/>
    <w:rsid w:val="0039167F"/>
    <w:rsid w:val="003949DF"/>
    <w:rsid w:val="003C5E3F"/>
    <w:rsid w:val="003D4D25"/>
    <w:rsid w:val="003D4FAB"/>
    <w:rsid w:val="003D5C8B"/>
    <w:rsid w:val="003D76E8"/>
    <w:rsid w:val="003E1011"/>
    <w:rsid w:val="003F2CAE"/>
    <w:rsid w:val="00401BB9"/>
    <w:rsid w:val="0040542F"/>
    <w:rsid w:val="004077AC"/>
    <w:rsid w:val="0041229E"/>
    <w:rsid w:val="004141D7"/>
    <w:rsid w:val="0041681B"/>
    <w:rsid w:val="004303AF"/>
    <w:rsid w:val="00430F4F"/>
    <w:rsid w:val="004333DC"/>
    <w:rsid w:val="0043543E"/>
    <w:rsid w:val="00440246"/>
    <w:rsid w:val="004539D2"/>
    <w:rsid w:val="00454C52"/>
    <w:rsid w:val="004634B8"/>
    <w:rsid w:val="00474708"/>
    <w:rsid w:val="00481D8E"/>
    <w:rsid w:val="0048394A"/>
    <w:rsid w:val="00483B48"/>
    <w:rsid w:val="0049655C"/>
    <w:rsid w:val="004A0703"/>
    <w:rsid w:val="004A2C7C"/>
    <w:rsid w:val="004B63A7"/>
    <w:rsid w:val="004C30CD"/>
    <w:rsid w:val="004D371D"/>
    <w:rsid w:val="004D72E4"/>
    <w:rsid w:val="004E27A7"/>
    <w:rsid w:val="004E498C"/>
    <w:rsid w:val="004F5FBF"/>
    <w:rsid w:val="00501559"/>
    <w:rsid w:val="00503531"/>
    <w:rsid w:val="00505279"/>
    <w:rsid w:val="00512B3A"/>
    <w:rsid w:val="005171DD"/>
    <w:rsid w:val="00522794"/>
    <w:rsid w:val="0052492F"/>
    <w:rsid w:val="00531460"/>
    <w:rsid w:val="0054403E"/>
    <w:rsid w:val="00556B43"/>
    <w:rsid w:val="00560828"/>
    <w:rsid w:val="00565C0A"/>
    <w:rsid w:val="0057039C"/>
    <w:rsid w:val="00573121"/>
    <w:rsid w:val="005748E5"/>
    <w:rsid w:val="005763E7"/>
    <w:rsid w:val="00584579"/>
    <w:rsid w:val="005857D5"/>
    <w:rsid w:val="00596174"/>
    <w:rsid w:val="005A1271"/>
    <w:rsid w:val="005A17F7"/>
    <w:rsid w:val="005A18A7"/>
    <w:rsid w:val="005A354B"/>
    <w:rsid w:val="005A734A"/>
    <w:rsid w:val="005B1114"/>
    <w:rsid w:val="005B3009"/>
    <w:rsid w:val="005B4048"/>
    <w:rsid w:val="005C41EA"/>
    <w:rsid w:val="005C75FE"/>
    <w:rsid w:val="005C7B4F"/>
    <w:rsid w:val="005E1D18"/>
    <w:rsid w:val="005E71CA"/>
    <w:rsid w:val="005F0C78"/>
    <w:rsid w:val="005F1842"/>
    <w:rsid w:val="00601CB8"/>
    <w:rsid w:val="0060246A"/>
    <w:rsid w:val="00612878"/>
    <w:rsid w:val="00614107"/>
    <w:rsid w:val="00624632"/>
    <w:rsid w:val="00633DEA"/>
    <w:rsid w:val="0064181F"/>
    <w:rsid w:val="006426B6"/>
    <w:rsid w:val="00646F71"/>
    <w:rsid w:val="00650848"/>
    <w:rsid w:val="006555BE"/>
    <w:rsid w:val="0067721A"/>
    <w:rsid w:val="006825DF"/>
    <w:rsid w:val="00684B71"/>
    <w:rsid w:val="00687BA8"/>
    <w:rsid w:val="00687C29"/>
    <w:rsid w:val="006923C3"/>
    <w:rsid w:val="006956B9"/>
    <w:rsid w:val="006A241E"/>
    <w:rsid w:val="006A2F9A"/>
    <w:rsid w:val="006A74C0"/>
    <w:rsid w:val="006C4E5D"/>
    <w:rsid w:val="006D1BE0"/>
    <w:rsid w:val="006D334E"/>
    <w:rsid w:val="006E2B69"/>
    <w:rsid w:val="006E45C5"/>
    <w:rsid w:val="006F0E11"/>
    <w:rsid w:val="006F1D2F"/>
    <w:rsid w:val="006F7D4E"/>
    <w:rsid w:val="00703253"/>
    <w:rsid w:val="007117E9"/>
    <w:rsid w:val="007201DF"/>
    <w:rsid w:val="007440D3"/>
    <w:rsid w:val="00746E44"/>
    <w:rsid w:val="00750D26"/>
    <w:rsid w:val="00762089"/>
    <w:rsid w:val="00762C5A"/>
    <w:rsid w:val="00763817"/>
    <w:rsid w:val="00770BEA"/>
    <w:rsid w:val="007739A7"/>
    <w:rsid w:val="0077536C"/>
    <w:rsid w:val="00782F34"/>
    <w:rsid w:val="0078720D"/>
    <w:rsid w:val="00791661"/>
    <w:rsid w:val="00791F89"/>
    <w:rsid w:val="00792BF8"/>
    <w:rsid w:val="0079410A"/>
    <w:rsid w:val="007957E0"/>
    <w:rsid w:val="007B697B"/>
    <w:rsid w:val="007B7713"/>
    <w:rsid w:val="007C1289"/>
    <w:rsid w:val="007D15AD"/>
    <w:rsid w:val="007D51AF"/>
    <w:rsid w:val="007D522B"/>
    <w:rsid w:val="007D67B0"/>
    <w:rsid w:val="007E2A5C"/>
    <w:rsid w:val="007E2B21"/>
    <w:rsid w:val="007E5601"/>
    <w:rsid w:val="007E6F80"/>
    <w:rsid w:val="007F52E7"/>
    <w:rsid w:val="008005D6"/>
    <w:rsid w:val="00806AEB"/>
    <w:rsid w:val="00806B83"/>
    <w:rsid w:val="00814D69"/>
    <w:rsid w:val="008206A1"/>
    <w:rsid w:val="00827290"/>
    <w:rsid w:val="00831653"/>
    <w:rsid w:val="00833938"/>
    <w:rsid w:val="008346C3"/>
    <w:rsid w:val="00836A46"/>
    <w:rsid w:val="0084169C"/>
    <w:rsid w:val="00844E13"/>
    <w:rsid w:val="00847182"/>
    <w:rsid w:val="00855FFB"/>
    <w:rsid w:val="008574E2"/>
    <w:rsid w:val="008575E0"/>
    <w:rsid w:val="00866861"/>
    <w:rsid w:val="008671A4"/>
    <w:rsid w:val="00870C8F"/>
    <w:rsid w:val="0087282F"/>
    <w:rsid w:val="0087307D"/>
    <w:rsid w:val="00877891"/>
    <w:rsid w:val="00884C02"/>
    <w:rsid w:val="00886B8E"/>
    <w:rsid w:val="008900CA"/>
    <w:rsid w:val="0089277D"/>
    <w:rsid w:val="008A21F1"/>
    <w:rsid w:val="008A2B9F"/>
    <w:rsid w:val="008A2F50"/>
    <w:rsid w:val="008A522D"/>
    <w:rsid w:val="008A64FF"/>
    <w:rsid w:val="008B2FCA"/>
    <w:rsid w:val="008B6FFF"/>
    <w:rsid w:val="008C06F8"/>
    <w:rsid w:val="008C18B9"/>
    <w:rsid w:val="008E3C4D"/>
    <w:rsid w:val="00904998"/>
    <w:rsid w:val="00907CB1"/>
    <w:rsid w:val="00907F8A"/>
    <w:rsid w:val="00910CE3"/>
    <w:rsid w:val="00914F6F"/>
    <w:rsid w:val="00915BF1"/>
    <w:rsid w:val="00932237"/>
    <w:rsid w:val="00933BAC"/>
    <w:rsid w:val="00944556"/>
    <w:rsid w:val="0094664A"/>
    <w:rsid w:val="00955EAB"/>
    <w:rsid w:val="00971130"/>
    <w:rsid w:val="00972A88"/>
    <w:rsid w:val="009762D9"/>
    <w:rsid w:val="00981846"/>
    <w:rsid w:val="009A2D56"/>
    <w:rsid w:val="009A5B3E"/>
    <w:rsid w:val="009A7AE1"/>
    <w:rsid w:val="009B1F9A"/>
    <w:rsid w:val="009B2084"/>
    <w:rsid w:val="009B7ADF"/>
    <w:rsid w:val="009C05B5"/>
    <w:rsid w:val="009C1703"/>
    <w:rsid w:val="009C4436"/>
    <w:rsid w:val="009D04CD"/>
    <w:rsid w:val="009D0740"/>
    <w:rsid w:val="009E5721"/>
    <w:rsid w:val="009F0FCE"/>
    <w:rsid w:val="009F267A"/>
    <w:rsid w:val="009F4387"/>
    <w:rsid w:val="009F4FEA"/>
    <w:rsid w:val="009F5BC1"/>
    <w:rsid w:val="00A032A8"/>
    <w:rsid w:val="00A14D16"/>
    <w:rsid w:val="00A15B10"/>
    <w:rsid w:val="00A212B8"/>
    <w:rsid w:val="00A24141"/>
    <w:rsid w:val="00A30899"/>
    <w:rsid w:val="00A32380"/>
    <w:rsid w:val="00A34859"/>
    <w:rsid w:val="00A35D2F"/>
    <w:rsid w:val="00A373A2"/>
    <w:rsid w:val="00A42F7B"/>
    <w:rsid w:val="00A55AFA"/>
    <w:rsid w:val="00A63040"/>
    <w:rsid w:val="00A82248"/>
    <w:rsid w:val="00A909AA"/>
    <w:rsid w:val="00A938B9"/>
    <w:rsid w:val="00AA263C"/>
    <w:rsid w:val="00AA36C9"/>
    <w:rsid w:val="00AA5935"/>
    <w:rsid w:val="00AA786E"/>
    <w:rsid w:val="00AC0269"/>
    <w:rsid w:val="00AC4300"/>
    <w:rsid w:val="00AD1FCD"/>
    <w:rsid w:val="00AD6FDF"/>
    <w:rsid w:val="00B038B4"/>
    <w:rsid w:val="00B12B3E"/>
    <w:rsid w:val="00B13F9C"/>
    <w:rsid w:val="00B160A2"/>
    <w:rsid w:val="00B1797E"/>
    <w:rsid w:val="00B21C6F"/>
    <w:rsid w:val="00B22B30"/>
    <w:rsid w:val="00B22E8E"/>
    <w:rsid w:val="00B25DFA"/>
    <w:rsid w:val="00B27F83"/>
    <w:rsid w:val="00B27F87"/>
    <w:rsid w:val="00B3135A"/>
    <w:rsid w:val="00B31F99"/>
    <w:rsid w:val="00B32B65"/>
    <w:rsid w:val="00B33329"/>
    <w:rsid w:val="00B35139"/>
    <w:rsid w:val="00B36F77"/>
    <w:rsid w:val="00B40D6D"/>
    <w:rsid w:val="00B52383"/>
    <w:rsid w:val="00B63CDC"/>
    <w:rsid w:val="00B63F2F"/>
    <w:rsid w:val="00B6591B"/>
    <w:rsid w:val="00B7379E"/>
    <w:rsid w:val="00B768EF"/>
    <w:rsid w:val="00B8675C"/>
    <w:rsid w:val="00B90BB5"/>
    <w:rsid w:val="00B9127B"/>
    <w:rsid w:val="00B97F68"/>
    <w:rsid w:val="00BA0266"/>
    <w:rsid w:val="00BA17C1"/>
    <w:rsid w:val="00BB2305"/>
    <w:rsid w:val="00BB4210"/>
    <w:rsid w:val="00BB4E98"/>
    <w:rsid w:val="00BB6C2C"/>
    <w:rsid w:val="00BD0727"/>
    <w:rsid w:val="00BD4B78"/>
    <w:rsid w:val="00BD6065"/>
    <w:rsid w:val="00BF4EF1"/>
    <w:rsid w:val="00C05AB9"/>
    <w:rsid w:val="00C0758F"/>
    <w:rsid w:val="00C11874"/>
    <w:rsid w:val="00C138E2"/>
    <w:rsid w:val="00C13BBD"/>
    <w:rsid w:val="00C13D08"/>
    <w:rsid w:val="00C15D60"/>
    <w:rsid w:val="00C25E5E"/>
    <w:rsid w:val="00C31F84"/>
    <w:rsid w:val="00C3701C"/>
    <w:rsid w:val="00C37CC8"/>
    <w:rsid w:val="00C505D1"/>
    <w:rsid w:val="00C51B6A"/>
    <w:rsid w:val="00C54555"/>
    <w:rsid w:val="00C54E00"/>
    <w:rsid w:val="00C56EEC"/>
    <w:rsid w:val="00C76E36"/>
    <w:rsid w:val="00C80524"/>
    <w:rsid w:val="00C80827"/>
    <w:rsid w:val="00C82A0B"/>
    <w:rsid w:val="00C84682"/>
    <w:rsid w:val="00C9068A"/>
    <w:rsid w:val="00C91C08"/>
    <w:rsid w:val="00CB0999"/>
    <w:rsid w:val="00CB4C52"/>
    <w:rsid w:val="00CC0F5D"/>
    <w:rsid w:val="00CC11ED"/>
    <w:rsid w:val="00CD097C"/>
    <w:rsid w:val="00CD1FC0"/>
    <w:rsid w:val="00CD2B0E"/>
    <w:rsid w:val="00CD43FE"/>
    <w:rsid w:val="00CE45FD"/>
    <w:rsid w:val="00CE61AA"/>
    <w:rsid w:val="00CF42B7"/>
    <w:rsid w:val="00CF5DC2"/>
    <w:rsid w:val="00D026C5"/>
    <w:rsid w:val="00D026D6"/>
    <w:rsid w:val="00D05B08"/>
    <w:rsid w:val="00D15F34"/>
    <w:rsid w:val="00D177B3"/>
    <w:rsid w:val="00D22158"/>
    <w:rsid w:val="00D2228E"/>
    <w:rsid w:val="00D301CA"/>
    <w:rsid w:val="00D36D4D"/>
    <w:rsid w:val="00D43A3B"/>
    <w:rsid w:val="00D559D5"/>
    <w:rsid w:val="00D70A9F"/>
    <w:rsid w:val="00D70B6A"/>
    <w:rsid w:val="00D74EEE"/>
    <w:rsid w:val="00D7632E"/>
    <w:rsid w:val="00D82B89"/>
    <w:rsid w:val="00D95EE6"/>
    <w:rsid w:val="00DA49ED"/>
    <w:rsid w:val="00DA4A2B"/>
    <w:rsid w:val="00DA6A2E"/>
    <w:rsid w:val="00DB1FDD"/>
    <w:rsid w:val="00DB4029"/>
    <w:rsid w:val="00DC12F6"/>
    <w:rsid w:val="00DC17C5"/>
    <w:rsid w:val="00DC1D25"/>
    <w:rsid w:val="00DC3EEC"/>
    <w:rsid w:val="00DD2C8F"/>
    <w:rsid w:val="00DE4DC2"/>
    <w:rsid w:val="00DF38F7"/>
    <w:rsid w:val="00DF3DB5"/>
    <w:rsid w:val="00DF5AEE"/>
    <w:rsid w:val="00DF72EB"/>
    <w:rsid w:val="00E03456"/>
    <w:rsid w:val="00E04894"/>
    <w:rsid w:val="00E10922"/>
    <w:rsid w:val="00E1135B"/>
    <w:rsid w:val="00E23B26"/>
    <w:rsid w:val="00E323AA"/>
    <w:rsid w:val="00E334E1"/>
    <w:rsid w:val="00E34761"/>
    <w:rsid w:val="00E34A9A"/>
    <w:rsid w:val="00E54D11"/>
    <w:rsid w:val="00E602FD"/>
    <w:rsid w:val="00E81992"/>
    <w:rsid w:val="00E86053"/>
    <w:rsid w:val="00E96439"/>
    <w:rsid w:val="00EA2928"/>
    <w:rsid w:val="00EA56BE"/>
    <w:rsid w:val="00EB0521"/>
    <w:rsid w:val="00EB45CB"/>
    <w:rsid w:val="00EC1EAA"/>
    <w:rsid w:val="00EC24B5"/>
    <w:rsid w:val="00ED0503"/>
    <w:rsid w:val="00ED4607"/>
    <w:rsid w:val="00EE4DAF"/>
    <w:rsid w:val="00EE6D0F"/>
    <w:rsid w:val="00EF0FA8"/>
    <w:rsid w:val="00F01D16"/>
    <w:rsid w:val="00F101C3"/>
    <w:rsid w:val="00F14313"/>
    <w:rsid w:val="00F20CD8"/>
    <w:rsid w:val="00F210DE"/>
    <w:rsid w:val="00F217C1"/>
    <w:rsid w:val="00F251E7"/>
    <w:rsid w:val="00F26119"/>
    <w:rsid w:val="00F27860"/>
    <w:rsid w:val="00F47E60"/>
    <w:rsid w:val="00F51C7A"/>
    <w:rsid w:val="00F7062D"/>
    <w:rsid w:val="00F73D08"/>
    <w:rsid w:val="00F74781"/>
    <w:rsid w:val="00F74A07"/>
    <w:rsid w:val="00F752F1"/>
    <w:rsid w:val="00F820BB"/>
    <w:rsid w:val="00F83D78"/>
    <w:rsid w:val="00F8443A"/>
    <w:rsid w:val="00F85638"/>
    <w:rsid w:val="00F91791"/>
    <w:rsid w:val="00F9363C"/>
    <w:rsid w:val="00F976A7"/>
    <w:rsid w:val="00FB23B1"/>
    <w:rsid w:val="00FB7964"/>
    <w:rsid w:val="00FC0555"/>
    <w:rsid w:val="00FC24E1"/>
    <w:rsid w:val="00FC35D8"/>
    <w:rsid w:val="00FD341C"/>
    <w:rsid w:val="00FD396E"/>
    <w:rsid w:val="00FD4A33"/>
    <w:rsid w:val="00FD50FC"/>
    <w:rsid w:val="00FE11BE"/>
    <w:rsid w:val="01370158"/>
    <w:rsid w:val="015968CA"/>
    <w:rsid w:val="01675739"/>
    <w:rsid w:val="017265DB"/>
    <w:rsid w:val="01A22C15"/>
    <w:rsid w:val="02675905"/>
    <w:rsid w:val="02844078"/>
    <w:rsid w:val="02A46011"/>
    <w:rsid w:val="03664977"/>
    <w:rsid w:val="038C30FA"/>
    <w:rsid w:val="039C2F9A"/>
    <w:rsid w:val="03E72CB4"/>
    <w:rsid w:val="04001E75"/>
    <w:rsid w:val="042F398A"/>
    <w:rsid w:val="045B7DD6"/>
    <w:rsid w:val="04641412"/>
    <w:rsid w:val="046A01EA"/>
    <w:rsid w:val="049A05B4"/>
    <w:rsid w:val="04A86794"/>
    <w:rsid w:val="05551417"/>
    <w:rsid w:val="05656433"/>
    <w:rsid w:val="057743B8"/>
    <w:rsid w:val="0593449F"/>
    <w:rsid w:val="05A36F5B"/>
    <w:rsid w:val="05C56ED2"/>
    <w:rsid w:val="06087AF2"/>
    <w:rsid w:val="064D518C"/>
    <w:rsid w:val="065C75BB"/>
    <w:rsid w:val="06601965"/>
    <w:rsid w:val="067A25E1"/>
    <w:rsid w:val="069E3258"/>
    <w:rsid w:val="06F94B8F"/>
    <w:rsid w:val="07131E9F"/>
    <w:rsid w:val="071B2A1C"/>
    <w:rsid w:val="071F5BCC"/>
    <w:rsid w:val="0741502D"/>
    <w:rsid w:val="08045C1E"/>
    <w:rsid w:val="080478A9"/>
    <w:rsid w:val="08565724"/>
    <w:rsid w:val="0859655C"/>
    <w:rsid w:val="08BB705D"/>
    <w:rsid w:val="08BD20E2"/>
    <w:rsid w:val="08D00FFA"/>
    <w:rsid w:val="0939688D"/>
    <w:rsid w:val="09562F36"/>
    <w:rsid w:val="099B7EFF"/>
    <w:rsid w:val="09D5270D"/>
    <w:rsid w:val="09D75213"/>
    <w:rsid w:val="09D83701"/>
    <w:rsid w:val="09FD72A4"/>
    <w:rsid w:val="0A083831"/>
    <w:rsid w:val="0AA73886"/>
    <w:rsid w:val="0ABF65E6"/>
    <w:rsid w:val="0B9F03AB"/>
    <w:rsid w:val="0BB92788"/>
    <w:rsid w:val="0BDD1A94"/>
    <w:rsid w:val="0BFB7E56"/>
    <w:rsid w:val="0C172450"/>
    <w:rsid w:val="0C6863AE"/>
    <w:rsid w:val="0CC37C08"/>
    <w:rsid w:val="0CD13E04"/>
    <w:rsid w:val="0CE642FD"/>
    <w:rsid w:val="0D566091"/>
    <w:rsid w:val="0D665303"/>
    <w:rsid w:val="0D925D63"/>
    <w:rsid w:val="0DAE449B"/>
    <w:rsid w:val="0E903DF5"/>
    <w:rsid w:val="0EC97418"/>
    <w:rsid w:val="0F847388"/>
    <w:rsid w:val="0F931DEF"/>
    <w:rsid w:val="0FDB4417"/>
    <w:rsid w:val="102C283E"/>
    <w:rsid w:val="10E248AF"/>
    <w:rsid w:val="11757CA0"/>
    <w:rsid w:val="11A21B40"/>
    <w:rsid w:val="120573A8"/>
    <w:rsid w:val="121C66E3"/>
    <w:rsid w:val="1226519C"/>
    <w:rsid w:val="123C7051"/>
    <w:rsid w:val="123F273C"/>
    <w:rsid w:val="126D6360"/>
    <w:rsid w:val="12AF5192"/>
    <w:rsid w:val="137C39E2"/>
    <w:rsid w:val="13856F6E"/>
    <w:rsid w:val="13977CC3"/>
    <w:rsid w:val="13A32851"/>
    <w:rsid w:val="13C94784"/>
    <w:rsid w:val="13E85A91"/>
    <w:rsid w:val="1402620C"/>
    <w:rsid w:val="141259D8"/>
    <w:rsid w:val="141C7004"/>
    <w:rsid w:val="144D63F0"/>
    <w:rsid w:val="146705D2"/>
    <w:rsid w:val="14CB5B87"/>
    <w:rsid w:val="15210A86"/>
    <w:rsid w:val="15403B4F"/>
    <w:rsid w:val="156E30E2"/>
    <w:rsid w:val="15BB5F62"/>
    <w:rsid w:val="15CD765C"/>
    <w:rsid w:val="15FD4466"/>
    <w:rsid w:val="16521C65"/>
    <w:rsid w:val="165B17CD"/>
    <w:rsid w:val="16664FB7"/>
    <w:rsid w:val="16BE59A3"/>
    <w:rsid w:val="16C35F6B"/>
    <w:rsid w:val="172C2525"/>
    <w:rsid w:val="17371DE5"/>
    <w:rsid w:val="17962E95"/>
    <w:rsid w:val="17E10BFF"/>
    <w:rsid w:val="18544C72"/>
    <w:rsid w:val="18AE3FE9"/>
    <w:rsid w:val="195F6C21"/>
    <w:rsid w:val="19832A44"/>
    <w:rsid w:val="19AE40A0"/>
    <w:rsid w:val="19BA5A71"/>
    <w:rsid w:val="19DE7EBC"/>
    <w:rsid w:val="19E3647E"/>
    <w:rsid w:val="1A2220CB"/>
    <w:rsid w:val="1A622280"/>
    <w:rsid w:val="1A8E7D82"/>
    <w:rsid w:val="1AB6606F"/>
    <w:rsid w:val="1B420427"/>
    <w:rsid w:val="1B8065C3"/>
    <w:rsid w:val="1BB56579"/>
    <w:rsid w:val="1BCF2F69"/>
    <w:rsid w:val="1BDB348B"/>
    <w:rsid w:val="1C2416AE"/>
    <w:rsid w:val="1C3B2E9B"/>
    <w:rsid w:val="1CD2349E"/>
    <w:rsid w:val="1D243CDC"/>
    <w:rsid w:val="1D574167"/>
    <w:rsid w:val="1D8C68A7"/>
    <w:rsid w:val="1D9D71B6"/>
    <w:rsid w:val="1DBC72EA"/>
    <w:rsid w:val="1E4C5F8A"/>
    <w:rsid w:val="1E77792A"/>
    <w:rsid w:val="1F34269A"/>
    <w:rsid w:val="1F72557D"/>
    <w:rsid w:val="1FC61D6D"/>
    <w:rsid w:val="1FDC493F"/>
    <w:rsid w:val="20600639"/>
    <w:rsid w:val="206F42D3"/>
    <w:rsid w:val="2090258B"/>
    <w:rsid w:val="20DB7785"/>
    <w:rsid w:val="211B62F8"/>
    <w:rsid w:val="21417D79"/>
    <w:rsid w:val="214A7798"/>
    <w:rsid w:val="21CB2849"/>
    <w:rsid w:val="21E36C06"/>
    <w:rsid w:val="2210107D"/>
    <w:rsid w:val="222F3C49"/>
    <w:rsid w:val="224C47AB"/>
    <w:rsid w:val="22ED2CD9"/>
    <w:rsid w:val="230E1B9C"/>
    <w:rsid w:val="238511FD"/>
    <w:rsid w:val="23C06BC8"/>
    <w:rsid w:val="23F10082"/>
    <w:rsid w:val="24366DE6"/>
    <w:rsid w:val="24E91BFE"/>
    <w:rsid w:val="252C4420"/>
    <w:rsid w:val="254657D8"/>
    <w:rsid w:val="25710087"/>
    <w:rsid w:val="258E6E89"/>
    <w:rsid w:val="25B5660F"/>
    <w:rsid w:val="260C7575"/>
    <w:rsid w:val="2619363F"/>
    <w:rsid w:val="263E440B"/>
    <w:rsid w:val="27034DCB"/>
    <w:rsid w:val="27280C17"/>
    <w:rsid w:val="273D1AD3"/>
    <w:rsid w:val="27B44B75"/>
    <w:rsid w:val="27B729CE"/>
    <w:rsid w:val="2806382E"/>
    <w:rsid w:val="286D51B9"/>
    <w:rsid w:val="28AF0AE2"/>
    <w:rsid w:val="28AF482A"/>
    <w:rsid w:val="28C66939"/>
    <w:rsid w:val="2916341D"/>
    <w:rsid w:val="292759B7"/>
    <w:rsid w:val="295252EB"/>
    <w:rsid w:val="29FD282F"/>
    <w:rsid w:val="2A766AE3"/>
    <w:rsid w:val="2ADE1C06"/>
    <w:rsid w:val="2B9C53AD"/>
    <w:rsid w:val="2BB4516F"/>
    <w:rsid w:val="2BD47761"/>
    <w:rsid w:val="2C5A1872"/>
    <w:rsid w:val="2C5A7FBA"/>
    <w:rsid w:val="2CC43190"/>
    <w:rsid w:val="2D832425"/>
    <w:rsid w:val="2DAF5BEE"/>
    <w:rsid w:val="2E2B584F"/>
    <w:rsid w:val="2E311604"/>
    <w:rsid w:val="2EAC4D0E"/>
    <w:rsid w:val="2EF676AE"/>
    <w:rsid w:val="2F120B2A"/>
    <w:rsid w:val="2F4453A7"/>
    <w:rsid w:val="2F4B315F"/>
    <w:rsid w:val="2FB95E0F"/>
    <w:rsid w:val="2FC35981"/>
    <w:rsid w:val="303708C8"/>
    <w:rsid w:val="3039730E"/>
    <w:rsid w:val="306B53EE"/>
    <w:rsid w:val="30FC1809"/>
    <w:rsid w:val="3108412F"/>
    <w:rsid w:val="315D04A6"/>
    <w:rsid w:val="31C77AF5"/>
    <w:rsid w:val="32056400"/>
    <w:rsid w:val="321B588F"/>
    <w:rsid w:val="323B0408"/>
    <w:rsid w:val="324273D8"/>
    <w:rsid w:val="327E5D78"/>
    <w:rsid w:val="32A41EF8"/>
    <w:rsid w:val="32A970B0"/>
    <w:rsid w:val="330418DC"/>
    <w:rsid w:val="335C114A"/>
    <w:rsid w:val="33A46E93"/>
    <w:rsid w:val="33C363FF"/>
    <w:rsid w:val="340623D2"/>
    <w:rsid w:val="340C31A9"/>
    <w:rsid w:val="34C93FFF"/>
    <w:rsid w:val="350477DA"/>
    <w:rsid w:val="350615B5"/>
    <w:rsid w:val="3538440A"/>
    <w:rsid w:val="353A7829"/>
    <w:rsid w:val="354E3949"/>
    <w:rsid w:val="359F657E"/>
    <w:rsid w:val="36AC3225"/>
    <w:rsid w:val="36DC6300"/>
    <w:rsid w:val="375C0B95"/>
    <w:rsid w:val="37667C65"/>
    <w:rsid w:val="37C526D6"/>
    <w:rsid w:val="37D716AE"/>
    <w:rsid w:val="38333A05"/>
    <w:rsid w:val="38460FDE"/>
    <w:rsid w:val="3857135C"/>
    <w:rsid w:val="38AC78FA"/>
    <w:rsid w:val="38D87AFC"/>
    <w:rsid w:val="38E5254E"/>
    <w:rsid w:val="3948655B"/>
    <w:rsid w:val="394C61B4"/>
    <w:rsid w:val="394E643C"/>
    <w:rsid w:val="39763A64"/>
    <w:rsid w:val="3A125865"/>
    <w:rsid w:val="3A8C4B76"/>
    <w:rsid w:val="3A8E2809"/>
    <w:rsid w:val="3AD12BEA"/>
    <w:rsid w:val="3AD601A1"/>
    <w:rsid w:val="3B3616FD"/>
    <w:rsid w:val="3B485EE0"/>
    <w:rsid w:val="3B68496C"/>
    <w:rsid w:val="3B9659D1"/>
    <w:rsid w:val="3BAE048E"/>
    <w:rsid w:val="3BD502F9"/>
    <w:rsid w:val="3C2F0274"/>
    <w:rsid w:val="3CDC4FB7"/>
    <w:rsid w:val="3D09599C"/>
    <w:rsid w:val="3D0A773D"/>
    <w:rsid w:val="3E050541"/>
    <w:rsid w:val="3E327EB8"/>
    <w:rsid w:val="3E493DC2"/>
    <w:rsid w:val="3E71234B"/>
    <w:rsid w:val="3E973DF3"/>
    <w:rsid w:val="3EFD2755"/>
    <w:rsid w:val="3F027B6D"/>
    <w:rsid w:val="3F5B4192"/>
    <w:rsid w:val="3F6810C4"/>
    <w:rsid w:val="3FF322B2"/>
    <w:rsid w:val="401947E9"/>
    <w:rsid w:val="401C3FC4"/>
    <w:rsid w:val="40362620"/>
    <w:rsid w:val="407928EC"/>
    <w:rsid w:val="40C764D4"/>
    <w:rsid w:val="41061E61"/>
    <w:rsid w:val="413D33EF"/>
    <w:rsid w:val="41460013"/>
    <w:rsid w:val="415723CD"/>
    <w:rsid w:val="41597EF3"/>
    <w:rsid w:val="42075E71"/>
    <w:rsid w:val="42AA70A5"/>
    <w:rsid w:val="42BC4F9D"/>
    <w:rsid w:val="439F5CC5"/>
    <w:rsid w:val="441070EB"/>
    <w:rsid w:val="444323ED"/>
    <w:rsid w:val="444A1154"/>
    <w:rsid w:val="44694189"/>
    <w:rsid w:val="450F0FE2"/>
    <w:rsid w:val="45583440"/>
    <w:rsid w:val="459B015E"/>
    <w:rsid w:val="46195D97"/>
    <w:rsid w:val="46625A9C"/>
    <w:rsid w:val="467E7F29"/>
    <w:rsid w:val="469558F9"/>
    <w:rsid w:val="46BD2B0D"/>
    <w:rsid w:val="46C9673A"/>
    <w:rsid w:val="473016F6"/>
    <w:rsid w:val="474156B1"/>
    <w:rsid w:val="47631ACB"/>
    <w:rsid w:val="47DA11B4"/>
    <w:rsid w:val="47E20E6C"/>
    <w:rsid w:val="481F5602"/>
    <w:rsid w:val="48383005"/>
    <w:rsid w:val="48433DC7"/>
    <w:rsid w:val="48722D47"/>
    <w:rsid w:val="487535FD"/>
    <w:rsid w:val="4882412D"/>
    <w:rsid w:val="489932CB"/>
    <w:rsid w:val="48A06566"/>
    <w:rsid w:val="48D766C0"/>
    <w:rsid w:val="49180694"/>
    <w:rsid w:val="49890ECD"/>
    <w:rsid w:val="499D7DFC"/>
    <w:rsid w:val="49DE3FED"/>
    <w:rsid w:val="49F60156"/>
    <w:rsid w:val="4A7F4E6E"/>
    <w:rsid w:val="4A9209B9"/>
    <w:rsid w:val="4B4B1269"/>
    <w:rsid w:val="4B8A12B8"/>
    <w:rsid w:val="4BC00F91"/>
    <w:rsid w:val="4C141E0D"/>
    <w:rsid w:val="4D364829"/>
    <w:rsid w:val="4D5817FD"/>
    <w:rsid w:val="4D737FA6"/>
    <w:rsid w:val="4D8E47F2"/>
    <w:rsid w:val="4DEA79A7"/>
    <w:rsid w:val="4DFF1AEA"/>
    <w:rsid w:val="4E064D8A"/>
    <w:rsid w:val="4E5B4D57"/>
    <w:rsid w:val="4E651887"/>
    <w:rsid w:val="4E7C3473"/>
    <w:rsid w:val="4EEC58B6"/>
    <w:rsid w:val="4EFC6B5E"/>
    <w:rsid w:val="4EFE032C"/>
    <w:rsid w:val="4F396028"/>
    <w:rsid w:val="4F471146"/>
    <w:rsid w:val="4F5C4B1D"/>
    <w:rsid w:val="4F615527"/>
    <w:rsid w:val="4FAF69F6"/>
    <w:rsid w:val="50410FC1"/>
    <w:rsid w:val="50C046FC"/>
    <w:rsid w:val="50E600A6"/>
    <w:rsid w:val="50F312A5"/>
    <w:rsid w:val="50F97A8C"/>
    <w:rsid w:val="50FE637F"/>
    <w:rsid w:val="519A1675"/>
    <w:rsid w:val="519D2F0D"/>
    <w:rsid w:val="51F726AF"/>
    <w:rsid w:val="520B7076"/>
    <w:rsid w:val="52311D2A"/>
    <w:rsid w:val="523C588C"/>
    <w:rsid w:val="523D0F29"/>
    <w:rsid w:val="5246477F"/>
    <w:rsid w:val="52C33C07"/>
    <w:rsid w:val="52E05966"/>
    <w:rsid w:val="532F2BCB"/>
    <w:rsid w:val="53476745"/>
    <w:rsid w:val="536B7291"/>
    <w:rsid w:val="536F365D"/>
    <w:rsid w:val="5406249B"/>
    <w:rsid w:val="544E7874"/>
    <w:rsid w:val="54D41D51"/>
    <w:rsid w:val="556644E1"/>
    <w:rsid w:val="556C0353"/>
    <w:rsid w:val="55932BD3"/>
    <w:rsid w:val="559B68D4"/>
    <w:rsid w:val="55A33019"/>
    <w:rsid w:val="564262A5"/>
    <w:rsid w:val="565A3C1F"/>
    <w:rsid w:val="566E5F5F"/>
    <w:rsid w:val="56823E25"/>
    <w:rsid w:val="569C2362"/>
    <w:rsid w:val="56E40F2C"/>
    <w:rsid w:val="56ED315F"/>
    <w:rsid w:val="580852ED"/>
    <w:rsid w:val="58141373"/>
    <w:rsid w:val="58216454"/>
    <w:rsid w:val="58D508C9"/>
    <w:rsid w:val="58D92C30"/>
    <w:rsid w:val="58E660B8"/>
    <w:rsid w:val="58F5454D"/>
    <w:rsid w:val="597072EF"/>
    <w:rsid w:val="597E2795"/>
    <w:rsid w:val="597F3501"/>
    <w:rsid w:val="598F1658"/>
    <w:rsid w:val="59AF6DF2"/>
    <w:rsid w:val="59C26B25"/>
    <w:rsid w:val="59CC5EF2"/>
    <w:rsid w:val="59D8663B"/>
    <w:rsid w:val="5A181C21"/>
    <w:rsid w:val="5A6C515F"/>
    <w:rsid w:val="5AA57D09"/>
    <w:rsid w:val="5AEB5C08"/>
    <w:rsid w:val="5B01348B"/>
    <w:rsid w:val="5B4672E2"/>
    <w:rsid w:val="5B9B74FD"/>
    <w:rsid w:val="5BD668B8"/>
    <w:rsid w:val="5BD812A0"/>
    <w:rsid w:val="5BDC5041"/>
    <w:rsid w:val="5C2313D1"/>
    <w:rsid w:val="5C413847"/>
    <w:rsid w:val="5C593045"/>
    <w:rsid w:val="5C6519EA"/>
    <w:rsid w:val="5C6914DA"/>
    <w:rsid w:val="5C7236C4"/>
    <w:rsid w:val="5C7A4776"/>
    <w:rsid w:val="5C8914AD"/>
    <w:rsid w:val="5DB20E44"/>
    <w:rsid w:val="5DFE3EA4"/>
    <w:rsid w:val="5E1A7052"/>
    <w:rsid w:val="5E3679F0"/>
    <w:rsid w:val="5E581544"/>
    <w:rsid w:val="5EA04F5B"/>
    <w:rsid w:val="5F334021"/>
    <w:rsid w:val="5F6C5226"/>
    <w:rsid w:val="5F7919CD"/>
    <w:rsid w:val="5FC66458"/>
    <w:rsid w:val="5FCB2372"/>
    <w:rsid w:val="5FE36844"/>
    <w:rsid w:val="5FFE51D6"/>
    <w:rsid w:val="60775A74"/>
    <w:rsid w:val="60E46647"/>
    <w:rsid w:val="61225FEB"/>
    <w:rsid w:val="613F6CAD"/>
    <w:rsid w:val="61542E5C"/>
    <w:rsid w:val="61A07EEB"/>
    <w:rsid w:val="61D63455"/>
    <w:rsid w:val="62483940"/>
    <w:rsid w:val="6285433A"/>
    <w:rsid w:val="62894684"/>
    <w:rsid w:val="629D3414"/>
    <w:rsid w:val="62B40FD5"/>
    <w:rsid w:val="62C81FC5"/>
    <w:rsid w:val="62DD4049"/>
    <w:rsid w:val="62F251A7"/>
    <w:rsid w:val="6344336F"/>
    <w:rsid w:val="635051A2"/>
    <w:rsid w:val="63F773CC"/>
    <w:rsid w:val="64523647"/>
    <w:rsid w:val="647C3D75"/>
    <w:rsid w:val="64B96D77"/>
    <w:rsid w:val="65260B2B"/>
    <w:rsid w:val="653D3504"/>
    <w:rsid w:val="65576140"/>
    <w:rsid w:val="65B80DDC"/>
    <w:rsid w:val="65C90CCB"/>
    <w:rsid w:val="65F433F2"/>
    <w:rsid w:val="66550C7C"/>
    <w:rsid w:val="665E7BD6"/>
    <w:rsid w:val="66666A8A"/>
    <w:rsid w:val="66D67BBC"/>
    <w:rsid w:val="675130E9"/>
    <w:rsid w:val="678C5CD8"/>
    <w:rsid w:val="67963366"/>
    <w:rsid w:val="67C6363E"/>
    <w:rsid w:val="67D6076F"/>
    <w:rsid w:val="686576A2"/>
    <w:rsid w:val="68662D72"/>
    <w:rsid w:val="68836785"/>
    <w:rsid w:val="689E6E2F"/>
    <w:rsid w:val="68EB6230"/>
    <w:rsid w:val="68F021D6"/>
    <w:rsid w:val="69216C99"/>
    <w:rsid w:val="69456932"/>
    <w:rsid w:val="699022E4"/>
    <w:rsid w:val="69DD3507"/>
    <w:rsid w:val="6A03057B"/>
    <w:rsid w:val="6A331379"/>
    <w:rsid w:val="6A553A73"/>
    <w:rsid w:val="6A6529F5"/>
    <w:rsid w:val="6A7674E8"/>
    <w:rsid w:val="6B1804F3"/>
    <w:rsid w:val="6B2B2412"/>
    <w:rsid w:val="6B3540CB"/>
    <w:rsid w:val="6B460C38"/>
    <w:rsid w:val="6BF9053F"/>
    <w:rsid w:val="6C830396"/>
    <w:rsid w:val="6CDA1971"/>
    <w:rsid w:val="6D8D2B4F"/>
    <w:rsid w:val="6E194361"/>
    <w:rsid w:val="6E2F0F80"/>
    <w:rsid w:val="6F271CFD"/>
    <w:rsid w:val="6F6C348A"/>
    <w:rsid w:val="6F855D74"/>
    <w:rsid w:val="6F936CF5"/>
    <w:rsid w:val="6FB6638D"/>
    <w:rsid w:val="6FCF205D"/>
    <w:rsid w:val="6FF7722A"/>
    <w:rsid w:val="6FFF6CEB"/>
    <w:rsid w:val="701D640C"/>
    <w:rsid w:val="704553EA"/>
    <w:rsid w:val="706C1141"/>
    <w:rsid w:val="707F5C97"/>
    <w:rsid w:val="709C2F3A"/>
    <w:rsid w:val="713A4D9B"/>
    <w:rsid w:val="71A768D5"/>
    <w:rsid w:val="71B65138"/>
    <w:rsid w:val="721E2F51"/>
    <w:rsid w:val="72331613"/>
    <w:rsid w:val="72565C05"/>
    <w:rsid w:val="727A2829"/>
    <w:rsid w:val="72CC236B"/>
    <w:rsid w:val="730F0F1C"/>
    <w:rsid w:val="73100845"/>
    <w:rsid w:val="73243F55"/>
    <w:rsid w:val="732F422A"/>
    <w:rsid w:val="744250BE"/>
    <w:rsid w:val="745B7503"/>
    <w:rsid w:val="74DF6386"/>
    <w:rsid w:val="75004CFB"/>
    <w:rsid w:val="75110AE4"/>
    <w:rsid w:val="75514A8A"/>
    <w:rsid w:val="75624B17"/>
    <w:rsid w:val="756A3227"/>
    <w:rsid w:val="75B96B45"/>
    <w:rsid w:val="760C30F5"/>
    <w:rsid w:val="763F4F79"/>
    <w:rsid w:val="76510DDE"/>
    <w:rsid w:val="768F1979"/>
    <w:rsid w:val="76FD621B"/>
    <w:rsid w:val="773724A9"/>
    <w:rsid w:val="77CC339C"/>
    <w:rsid w:val="77E35BEE"/>
    <w:rsid w:val="78365BB0"/>
    <w:rsid w:val="78461BC2"/>
    <w:rsid w:val="789E4170"/>
    <w:rsid w:val="79233517"/>
    <w:rsid w:val="795F233C"/>
    <w:rsid w:val="7A23637B"/>
    <w:rsid w:val="7A396538"/>
    <w:rsid w:val="7A4A794E"/>
    <w:rsid w:val="7ABD146C"/>
    <w:rsid w:val="7AD44E74"/>
    <w:rsid w:val="7AED4647"/>
    <w:rsid w:val="7B0025AE"/>
    <w:rsid w:val="7B0A28DC"/>
    <w:rsid w:val="7B152B01"/>
    <w:rsid w:val="7B3665D4"/>
    <w:rsid w:val="7BA45C33"/>
    <w:rsid w:val="7BB55170"/>
    <w:rsid w:val="7BE14791"/>
    <w:rsid w:val="7C407503"/>
    <w:rsid w:val="7C541895"/>
    <w:rsid w:val="7C991B9D"/>
    <w:rsid w:val="7CBD0A1D"/>
    <w:rsid w:val="7CD5227A"/>
    <w:rsid w:val="7D022CC3"/>
    <w:rsid w:val="7D276B1C"/>
    <w:rsid w:val="7D5E0977"/>
    <w:rsid w:val="7DB46688"/>
    <w:rsid w:val="7DC5691D"/>
    <w:rsid w:val="7DF81AA6"/>
    <w:rsid w:val="7E016930"/>
    <w:rsid w:val="7E072B42"/>
    <w:rsid w:val="7E2B6D32"/>
    <w:rsid w:val="7E3C49D4"/>
    <w:rsid w:val="7E53749D"/>
    <w:rsid w:val="7E626BBF"/>
    <w:rsid w:val="7EA87927"/>
    <w:rsid w:val="7EB77A2B"/>
    <w:rsid w:val="7EF743D8"/>
    <w:rsid w:val="7F192ACB"/>
    <w:rsid w:val="7F62594E"/>
    <w:rsid w:val="7FE8267A"/>
    <w:rsid w:val="7FF56A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60" w:lineRule="exact"/>
      <w:ind w:firstLine="200" w:firstLineChars="200"/>
      <w:jc w:val="both"/>
    </w:pPr>
    <w:rPr>
      <w:rFonts w:eastAsia="仿宋_GB2312" w:asciiTheme="minorHAnsi" w:hAnsiTheme="minorHAnsi" w:cstheme="minorBidi"/>
      <w:kern w:val="2"/>
      <w:sz w:val="32"/>
      <w:szCs w:val="22"/>
      <w:lang w:val="en-US" w:eastAsia="zh-CN" w:bidi="ar-SA"/>
    </w:rPr>
  </w:style>
  <w:style w:type="paragraph" w:styleId="2">
    <w:name w:val="heading 1"/>
    <w:basedOn w:val="1"/>
    <w:next w:val="1"/>
    <w:link w:val="39"/>
    <w:qFormat/>
    <w:uiPriority w:val="9"/>
    <w:pPr>
      <w:keepNext/>
      <w:keepLines/>
      <w:spacing w:before="156" w:after="156"/>
      <w:outlineLvl w:val="0"/>
    </w:pPr>
    <w:rPr>
      <w:rFonts w:hint="eastAsia" w:ascii="仿宋_GB2312" w:hAnsi="Calibri" w:eastAsia="黑体" w:cs="Times New Roman"/>
      <w:bCs/>
      <w:kern w:val="44"/>
      <w:szCs w:val="44"/>
    </w:rPr>
  </w:style>
  <w:style w:type="paragraph" w:styleId="3">
    <w:name w:val="heading 2"/>
    <w:basedOn w:val="1"/>
    <w:next w:val="1"/>
    <w:link w:val="30"/>
    <w:qFormat/>
    <w:uiPriority w:val="0"/>
    <w:pPr>
      <w:keepNext/>
      <w:keepLines/>
      <w:outlineLvl w:val="1"/>
    </w:pPr>
    <w:rPr>
      <w:rFonts w:ascii="Cambria" w:hAnsi="Cambria" w:eastAsia="楷体_GB2312" w:cs="Times New Roman"/>
      <w:b/>
      <w:bCs/>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qFormat/>
    <w:uiPriority w:val="35"/>
    <w:pPr>
      <w:adjustRightInd/>
      <w:snapToGrid/>
      <w:spacing w:line="240" w:lineRule="auto"/>
      <w:jc w:val="center"/>
    </w:pPr>
    <w:rPr>
      <w:rFonts w:ascii="Cambria" w:hAnsi="Cambria" w:eastAsia="黑体" w:cs="Times New Roman"/>
      <w:sz w:val="28"/>
      <w:szCs w:val="20"/>
    </w:rPr>
  </w:style>
  <w:style w:type="paragraph" w:styleId="5">
    <w:name w:val="Document Map"/>
    <w:basedOn w:val="1"/>
    <w:link w:val="42"/>
    <w:semiHidden/>
    <w:unhideWhenUsed/>
    <w:qFormat/>
    <w:uiPriority w:val="99"/>
    <w:rPr>
      <w:rFonts w:ascii="宋体" w:eastAsia="宋体"/>
      <w:sz w:val="18"/>
      <w:szCs w:val="18"/>
    </w:rPr>
  </w:style>
  <w:style w:type="paragraph" w:styleId="6">
    <w:name w:val="annotation text"/>
    <w:basedOn w:val="1"/>
    <w:link w:val="43"/>
    <w:semiHidden/>
    <w:unhideWhenUsed/>
    <w:qFormat/>
    <w:uiPriority w:val="99"/>
    <w:pPr>
      <w:jc w:val="left"/>
    </w:pPr>
  </w:style>
  <w:style w:type="paragraph" w:styleId="7">
    <w:name w:val="Body Text"/>
    <w:basedOn w:val="1"/>
    <w:link w:val="25"/>
    <w:unhideWhenUsed/>
    <w:qFormat/>
    <w:uiPriority w:val="99"/>
    <w:pPr>
      <w:adjustRightInd/>
      <w:snapToGrid/>
      <w:spacing w:after="120" w:line="240" w:lineRule="auto"/>
    </w:pPr>
  </w:style>
  <w:style w:type="paragraph" w:styleId="8">
    <w:name w:val="Balloon Text"/>
    <w:basedOn w:val="1"/>
    <w:link w:val="31"/>
    <w:semiHidden/>
    <w:unhideWhenUsed/>
    <w:qFormat/>
    <w:uiPriority w:val="99"/>
    <w:pPr>
      <w:spacing w:line="240" w:lineRule="auto"/>
    </w:pPr>
    <w:rPr>
      <w:sz w:val="18"/>
      <w:szCs w:val="18"/>
    </w:rPr>
  </w:style>
  <w:style w:type="paragraph" w:styleId="9">
    <w:name w:val="footer"/>
    <w:basedOn w:val="1"/>
    <w:link w:val="37"/>
    <w:qFormat/>
    <w:uiPriority w:val="0"/>
    <w:pPr>
      <w:tabs>
        <w:tab w:val="center" w:pos="4153"/>
        <w:tab w:val="right" w:pos="8306"/>
      </w:tabs>
      <w:adjustRightInd/>
      <w:spacing w:line="240" w:lineRule="auto"/>
      <w:jc w:val="left"/>
    </w:pPr>
    <w:rPr>
      <w:rFonts w:ascii="Times New Roman" w:hAnsi="Times New Roman" w:cs="Times New Roman"/>
      <w:sz w:val="18"/>
    </w:rPr>
  </w:style>
  <w:style w:type="paragraph" w:styleId="10">
    <w:name w:val="header"/>
    <w:basedOn w:val="1"/>
    <w:link w:val="38"/>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1">
    <w:name w:val="toc 1"/>
    <w:basedOn w:val="1"/>
    <w:next w:val="1"/>
    <w:unhideWhenUsed/>
    <w:qFormat/>
    <w:uiPriority w:val="39"/>
    <w:pPr>
      <w:tabs>
        <w:tab w:val="right" w:leader="dot" w:pos="8296"/>
      </w:tabs>
      <w:ind w:firstLine="0" w:firstLineChars="0"/>
      <w:jc w:val="center"/>
    </w:pPr>
    <w:rPr>
      <w:rFonts w:eastAsia="黑体"/>
    </w:rPr>
  </w:style>
  <w:style w:type="paragraph" w:styleId="12">
    <w:name w:val="footnote text"/>
    <w:basedOn w:val="1"/>
    <w:link w:val="24"/>
    <w:unhideWhenUsed/>
    <w:qFormat/>
    <w:uiPriority w:val="99"/>
    <w:pPr>
      <w:jc w:val="left"/>
    </w:pPr>
    <w:rPr>
      <w:rFonts w:ascii="Times New Roman" w:hAnsi="Times New Roman" w:cs="Times New Roman"/>
      <w:sz w:val="18"/>
      <w:szCs w:val="18"/>
    </w:rPr>
  </w:style>
  <w:style w:type="paragraph" w:styleId="13">
    <w:name w:val="Body Text Indent 3"/>
    <w:basedOn w:val="1"/>
    <w:link w:val="34"/>
    <w:semiHidden/>
    <w:unhideWhenUsed/>
    <w:qFormat/>
    <w:uiPriority w:val="99"/>
    <w:pPr>
      <w:spacing w:after="120" w:line="360" w:lineRule="auto"/>
      <w:ind w:left="420" w:leftChars="200"/>
    </w:pPr>
    <w:rPr>
      <w:rFonts w:hint="eastAsia" w:ascii="仿宋_GB2312" w:hAnsi="Calibri" w:cs="Times New Roman"/>
      <w:sz w:val="16"/>
      <w:szCs w:val="16"/>
    </w:rPr>
  </w:style>
  <w:style w:type="paragraph" w:styleId="14">
    <w:name w:val="toc 2"/>
    <w:basedOn w:val="1"/>
    <w:next w:val="1"/>
    <w:unhideWhenUsed/>
    <w:qFormat/>
    <w:uiPriority w:val="39"/>
    <w:pPr>
      <w:ind w:left="420" w:leftChars="200"/>
    </w:pPr>
  </w:style>
  <w:style w:type="paragraph" w:styleId="15">
    <w:name w:val="Normal (Web)"/>
    <w:basedOn w:val="1"/>
    <w:unhideWhenUsed/>
    <w:qFormat/>
    <w:uiPriority w:val="99"/>
    <w:rPr>
      <w:sz w:val="24"/>
    </w:rPr>
  </w:style>
  <w:style w:type="paragraph" w:styleId="16">
    <w:name w:val="Body Text First Indent"/>
    <w:basedOn w:val="7"/>
    <w:link w:val="26"/>
    <w:semiHidden/>
    <w:unhideWhenUsed/>
    <w:qFormat/>
    <w:uiPriority w:val="99"/>
    <w:pPr>
      <w:adjustRightInd w:val="0"/>
      <w:snapToGrid w:val="0"/>
      <w:spacing w:line="560" w:lineRule="exact"/>
      <w:ind w:firstLine="420" w:firstLineChars="100"/>
    </w:p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qFormat/>
    <w:uiPriority w:val="0"/>
    <w:rPr>
      <w:rFonts w:ascii="Times New Roman" w:hAnsi="Times New Roman" w:eastAsia="宋体" w:cs="Times New Roman"/>
    </w:rPr>
  </w:style>
  <w:style w:type="character" w:styleId="21">
    <w:name w:val="Hyperlink"/>
    <w:basedOn w:val="19"/>
    <w:unhideWhenUsed/>
    <w:qFormat/>
    <w:uiPriority w:val="99"/>
    <w:rPr>
      <w:color w:val="0563C1" w:themeColor="hyperlink"/>
      <w:u w:val="single"/>
    </w:rPr>
  </w:style>
  <w:style w:type="character" w:styleId="22">
    <w:name w:val="annotation reference"/>
    <w:basedOn w:val="19"/>
    <w:semiHidden/>
    <w:unhideWhenUsed/>
    <w:qFormat/>
    <w:uiPriority w:val="99"/>
    <w:rPr>
      <w:sz w:val="21"/>
      <w:szCs w:val="21"/>
    </w:rPr>
  </w:style>
  <w:style w:type="character" w:styleId="23">
    <w:name w:val="footnote reference"/>
    <w:basedOn w:val="19"/>
    <w:unhideWhenUsed/>
    <w:qFormat/>
    <w:uiPriority w:val="99"/>
    <w:rPr>
      <w:vertAlign w:val="superscript"/>
    </w:rPr>
  </w:style>
  <w:style w:type="character" w:customStyle="1" w:styleId="24">
    <w:name w:val="脚注文本 Char"/>
    <w:basedOn w:val="19"/>
    <w:link w:val="12"/>
    <w:qFormat/>
    <w:uiPriority w:val="99"/>
    <w:rPr>
      <w:rFonts w:eastAsia="仿宋_GB2312"/>
      <w:sz w:val="18"/>
    </w:rPr>
  </w:style>
  <w:style w:type="character" w:customStyle="1" w:styleId="25">
    <w:name w:val="正文文本 Char"/>
    <w:basedOn w:val="19"/>
    <w:link w:val="7"/>
    <w:qFormat/>
    <w:uiPriority w:val="99"/>
    <w:rPr>
      <w:rFonts w:eastAsia="仿宋_GB2312"/>
      <w:sz w:val="32"/>
    </w:rPr>
  </w:style>
  <w:style w:type="character" w:customStyle="1" w:styleId="26">
    <w:name w:val="正文首行缩进 Char"/>
    <w:basedOn w:val="25"/>
    <w:link w:val="16"/>
    <w:semiHidden/>
    <w:qFormat/>
    <w:uiPriority w:val="99"/>
    <w:rPr>
      <w:rFonts w:eastAsia="仿宋_GB2312"/>
      <w:sz w:val="32"/>
    </w:rPr>
  </w:style>
  <w:style w:type="character" w:customStyle="1" w:styleId="27">
    <w:name w:val="脚注文本 字符1"/>
    <w:qFormat/>
    <w:uiPriority w:val="99"/>
    <w:rPr>
      <w:rFonts w:ascii="Times New Roman" w:hAnsi="Times New Roman" w:eastAsia="仿宋_GB2312" w:cs="Times New Roman"/>
      <w:kern w:val="2"/>
      <w:sz w:val="18"/>
      <w:szCs w:val="18"/>
    </w:rPr>
  </w:style>
  <w:style w:type="paragraph" w:customStyle="1" w:styleId="28">
    <w:name w:val="p0"/>
    <w:basedOn w:val="1"/>
    <w:qFormat/>
    <w:uiPriority w:val="0"/>
    <w:pPr>
      <w:widowControl/>
      <w:adjustRightInd/>
    </w:pPr>
    <w:rPr>
      <w:rFonts w:ascii="Times New Roman" w:hAnsi="Times New Roman" w:eastAsia="宋体" w:cs="Times New Roman"/>
      <w:kern w:val="0"/>
      <w:sz w:val="21"/>
      <w:szCs w:val="21"/>
    </w:rPr>
  </w:style>
  <w:style w:type="character" w:customStyle="1" w:styleId="29">
    <w:name w:val="标题 2 Char"/>
    <w:basedOn w:val="19"/>
    <w:semiHidden/>
    <w:qFormat/>
    <w:uiPriority w:val="9"/>
    <w:rPr>
      <w:rFonts w:asciiTheme="majorHAnsi" w:hAnsiTheme="majorHAnsi" w:eastAsiaTheme="majorEastAsia" w:cstheme="majorBidi"/>
      <w:b/>
      <w:bCs/>
      <w:sz w:val="32"/>
      <w:szCs w:val="32"/>
    </w:rPr>
  </w:style>
  <w:style w:type="character" w:customStyle="1" w:styleId="30">
    <w:name w:val="标题 2 Char1"/>
    <w:link w:val="3"/>
    <w:qFormat/>
    <w:uiPriority w:val="0"/>
    <w:rPr>
      <w:rFonts w:ascii="Cambria" w:hAnsi="Cambria" w:eastAsia="楷体_GB2312" w:cs="Times New Roman"/>
      <w:b/>
      <w:bCs/>
      <w:sz w:val="32"/>
      <w:szCs w:val="32"/>
    </w:rPr>
  </w:style>
  <w:style w:type="character" w:customStyle="1" w:styleId="31">
    <w:name w:val="批注框文本 Char"/>
    <w:basedOn w:val="19"/>
    <w:link w:val="8"/>
    <w:semiHidden/>
    <w:qFormat/>
    <w:uiPriority w:val="99"/>
    <w:rPr>
      <w:rFonts w:eastAsia="仿宋_GB2312"/>
      <w:sz w:val="18"/>
      <w:szCs w:val="18"/>
    </w:rPr>
  </w:style>
  <w:style w:type="character" w:customStyle="1" w:styleId="32">
    <w:name w:val="页脚 Char1"/>
    <w:qFormat/>
    <w:uiPriority w:val="0"/>
    <w:rPr>
      <w:rFonts w:ascii="Times New Roman" w:hAnsi="Times New Roman" w:eastAsia="仿宋_GB2312" w:cs="Times New Roman"/>
      <w:sz w:val="18"/>
    </w:rPr>
  </w:style>
  <w:style w:type="character" w:customStyle="1" w:styleId="33">
    <w:name w:val="页脚 Char"/>
    <w:basedOn w:val="19"/>
    <w:semiHidden/>
    <w:qFormat/>
    <w:uiPriority w:val="99"/>
    <w:rPr>
      <w:rFonts w:eastAsia="仿宋_GB2312"/>
      <w:sz w:val="18"/>
      <w:szCs w:val="18"/>
    </w:rPr>
  </w:style>
  <w:style w:type="character" w:customStyle="1" w:styleId="34">
    <w:name w:val="正文文本缩进 3 Char"/>
    <w:basedOn w:val="19"/>
    <w:link w:val="13"/>
    <w:qFormat/>
    <w:uiPriority w:val="0"/>
    <w:rPr>
      <w:rFonts w:hint="eastAsia" w:ascii="仿宋_GB2312" w:hAnsi="Calibri" w:eastAsia="仿宋_GB2312" w:cs="Times New Roman"/>
      <w:kern w:val="2"/>
      <w:sz w:val="16"/>
      <w:szCs w:val="16"/>
    </w:rPr>
  </w:style>
  <w:style w:type="character" w:customStyle="1" w:styleId="35">
    <w:name w:val="脚注文本 字符"/>
    <w:basedOn w:val="19"/>
    <w:qFormat/>
    <w:uiPriority w:val="0"/>
    <w:rPr>
      <w:kern w:val="2"/>
      <w:sz w:val="18"/>
      <w:szCs w:val="18"/>
    </w:rPr>
  </w:style>
  <w:style w:type="character" w:customStyle="1" w:styleId="36">
    <w:name w:val="页眉 字符"/>
    <w:basedOn w:val="19"/>
    <w:qFormat/>
    <w:uiPriority w:val="0"/>
    <w:rPr>
      <w:sz w:val="18"/>
      <w:szCs w:val="18"/>
    </w:rPr>
  </w:style>
  <w:style w:type="character" w:customStyle="1" w:styleId="37">
    <w:name w:val="页脚 Char2"/>
    <w:basedOn w:val="19"/>
    <w:link w:val="9"/>
    <w:qFormat/>
    <w:uiPriority w:val="0"/>
    <w:rPr>
      <w:sz w:val="18"/>
      <w:szCs w:val="18"/>
    </w:rPr>
  </w:style>
  <w:style w:type="character" w:customStyle="1" w:styleId="38">
    <w:name w:val="页眉 Char"/>
    <w:basedOn w:val="19"/>
    <w:link w:val="10"/>
    <w:qFormat/>
    <w:uiPriority w:val="0"/>
    <w:rPr>
      <w:kern w:val="2"/>
      <w:sz w:val="18"/>
      <w:szCs w:val="18"/>
    </w:rPr>
  </w:style>
  <w:style w:type="character" w:customStyle="1" w:styleId="39">
    <w:name w:val="标题 1 Char"/>
    <w:basedOn w:val="19"/>
    <w:link w:val="2"/>
    <w:qFormat/>
    <w:uiPriority w:val="0"/>
    <w:rPr>
      <w:rFonts w:hint="eastAsia" w:ascii="仿宋_GB2312" w:hAnsi="Calibri" w:eastAsia="黑体" w:cs="Times New Roman"/>
      <w:bCs/>
      <w:kern w:val="44"/>
      <w:sz w:val="32"/>
      <w:szCs w:val="44"/>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2">
    <w:name w:val="文档结构图 Char"/>
    <w:basedOn w:val="19"/>
    <w:link w:val="5"/>
    <w:semiHidden/>
    <w:qFormat/>
    <w:uiPriority w:val="99"/>
    <w:rPr>
      <w:rFonts w:ascii="宋体" w:hAnsiTheme="minorHAnsi" w:cstheme="minorBidi"/>
      <w:kern w:val="2"/>
      <w:sz w:val="18"/>
      <w:szCs w:val="18"/>
    </w:rPr>
  </w:style>
  <w:style w:type="character" w:customStyle="1" w:styleId="43">
    <w:name w:val="批注文字 Char"/>
    <w:basedOn w:val="19"/>
    <w:link w:val="6"/>
    <w:semiHidden/>
    <w:qFormat/>
    <w:uiPriority w:val="99"/>
    <w:rPr>
      <w:rFonts w:eastAsia="仿宋_GB2312" w:asciiTheme="minorHAnsi" w:hAnsiTheme="minorHAnsi" w:cstheme="minorBidi"/>
      <w:kern w:val="2"/>
      <w:sz w:val="32"/>
      <w:szCs w:val="22"/>
    </w:rPr>
  </w:style>
  <w:style w:type="paragraph" w:customStyle="1" w:styleId="44">
    <w:name w:val="Other|1"/>
    <w:basedOn w:val="1"/>
    <w:qFormat/>
    <w:uiPriority w:val="0"/>
    <w:pPr>
      <w:shd w:val="clear" w:color="auto" w:fill="FFFFFF"/>
      <w:adjustRightInd/>
      <w:snapToGrid/>
      <w:spacing w:line="240" w:lineRule="auto"/>
      <w:ind w:firstLine="0" w:firstLineChars="0"/>
      <w:jc w:val="center"/>
    </w:pPr>
    <w:rPr>
      <w:rFonts w:ascii="宋体" w:hAnsi="宋体" w:eastAsia="宋体" w:cs="宋体"/>
      <w:color w:val="000000"/>
      <w:kern w:val="0"/>
      <w:sz w:val="20"/>
      <w:szCs w:val="20"/>
    </w:rPr>
  </w:style>
  <w:style w:type="character" w:customStyle="1" w:styleId="45">
    <w:name w:val="font51"/>
    <w:basedOn w:val="19"/>
    <w:qFormat/>
    <w:uiPriority w:val="0"/>
    <w:rPr>
      <w:rFonts w:hint="eastAsia" w:ascii="宋体" w:hAnsi="宋体" w:eastAsia="宋体" w:cs="宋体"/>
      <w:color w:val="FF0000"/>
      <w:sz w:val="18"/>
      <w:szCs w:val="18"/>
      <w:u w:val="none"/>
    </w:rPr>
  </w:style>
  <w:style w:type="character" w:customStyle="1" w:styleId="46">
    <w:name w:val="font41"/>
    <w:basedOn w:val="19"/>
    <w:qFormat/>
    <w:uiPriority w:val="0"/>
    <w:rPr>
      <w:rFonts w:hint="eastAsia" w:ascii="宋体" w:hAnsi="宋体" w:eastAsia="宋体" w:cs="宋体"/>
      <w:color w:val="000000"/>
      <w:sz w:val="18"/>
      <w:szCs w:val="18"/>
      <w:u w:val="none"/>
    </w:rPr>
  </w:style>
  <w:style w:type="paragraph" w:styleId="47">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400064-94AE-4BC1-8998-682B646A7ED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43</Pages>
  <Words>17091</Words>
  <Characters>18235</Characters>
  <Lines>155</Lines>
  <Paragraphs>43</Paragraphs>
  <TotalTime>13</TotalTime>
  <ScaleCrop>false</ScaleCrop>
  <LinksUpToDate>false</LinksUpToDate>
  <CharactersWithSpaces>18388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2022-04-22T02:41:00Z</dcterms:created>
  <dc:creator>Administrator</dc:creator>
  <cp:lastModifiedBy>小木头</cp:lastModifiedBy>
  <cp:lastPrinted>2022-11-18T01:15:00Z</cp:lastPrinted>
  <dcterms:modified xsi:type="dcterms:W3CDTF">2023-01-12T02:14:13Z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57BD77750614460CAE891FC8249E96F7</vt:lpwstr>
  </property>
</Properties>
</file>