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84" w:lineRule="atLeast"/>
        <w:jc w:val="center"/>
        <w:rPr>
          <w:rFonts w:hint="eastAsia" w:ascii="方正小标宋简体" w:hAnsi="方正小标宋简体" w:eastAsia="方正小标宋简体" w:cs="方正小标宋简体"/>
          <w:color w:val="3E3E3E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梅州市退役军人事务局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普法责任清单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719"/>
        <w:gridCol w:w="794"/>
        <w:gridCol w:w="2475"/>
        <w:gridCol w:w="4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责任领导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责任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科室（单位）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重点普法内容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重点工作任务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4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hd w:val="clear" w:color="auto" w:fill="FFFFFF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Helvetica Neue" w:hAnsi="宋体" w:eastAsiaTheme="minorEastAsia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卫华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办公室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组织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局党组成员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学习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习近平法治思想、《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宪法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》《中国共产党纪律处分条例》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《中华人民共和国公职人员</w:t>
            </w:r>
            <w:r>
              <w:rPr>
                <w:rFonts w:hint="default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政务处分法》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等重要指示和党内外法律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法规。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利用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党组会、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理论学习例会安排学习相关法律法规知识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通过微信群发相关法律法规知识要点，采取自学的方式学习掌握相关法律法规。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hd w:val="clear" w:color="auto" w:fill="FFFFFF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龙光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权益维护科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组织全体工作人员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学习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宪法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》《民法典》《退役军人保障法》等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法律法规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及“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八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五”普法相关文件精神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聘请法律专业老师通过讲座的形式集中学习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利用理论学习例会安排学习相关法律法规知识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3.通过微信群发相关法律法规知识要点，采取自学的方式学习掌握相关法律法规。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hd w:val="clear" w:color="auto" w:fill="FFFFFF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Helvetica Neue" w:hAnsi="宋体" w:eastAsia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洪波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移交安置与军休服务科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重点学习宣传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《退役士兵安置条例》《军队离退休干部服务管理办法》《军队无军籍退休退职职工服务管理办法》。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1.利用LED显示屏、横幅等进行法治宣传。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2.做好重要时间节点的法律法规宣传。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3.组织举办专题培训、理论讲授和集中上课等法治宣传活动，利用各种平台和载体进行形式多样的法治宣传教育。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hd w:val="clear" w:color="auto" w:fill="FFFFFF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振东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双拥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科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重点宣传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《国防法》《退役军人保障法》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方面的法律法规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1.利用LED显示屏、横幅等进行法治宣传。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2.做好重要时间节点的法律法规宣传。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3.组织举办专题培训、理论讲授和集中上课等法治宣传活动，利用各种平台和载体进行形式多样的法治宣传教育。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hint="eastAsia" w:ascii="Helvetica Neue" w:hAnsi="宋体" w:eastAsiaTheme="minorEastAsia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Helvetica Neue" w:hAnsi="宋体"/>
                <w:color w:val="auto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Helvetica Neue" w:hAnsi="宋体" w:eastAsiaTheme="minorEastAsia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振东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拥军优抚与褒扬纪念科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重点宣传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《英雄烈士保护法》《军人抚恤优待条例》《烈士褒扬条例》《伤残抚恤管理办法》等</w:t>
            </w: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方面的法律法规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1.利用LED显示屏、横幅等进行法治宣传。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2.做好重要时间节点的法律法规宣传。</w:t>
            </w:r>
          </w:p>
          <w:p>
            <w:pPr>
              <w:shd w:val="solid" w:color="FFFFFF" w:fill="auto"/>
              <w:autoSpaceDN w:val="0"/>
              <w:spacing w:line="270" w:lineRule="atLeast"/>
              <w:rPr>
                <w:rFonts w:ascii="Helvetica Neue" w:hAnsi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auto"/>
                <w:sz w:val="24"/>
                <w:szCs w:val="24"/>
                <w:shd w:val="clear" w:color="auto" w:fill="FFFFFF"/>
              </w:rPr>
              <w:t>3.组织举办专题培训、理论讲授和集中上课等法治宣传活动，利用各种平台和载体进行形式多样的法治宣传教育。</w:t>
            </w:r>
          </w:p>
        </w:tc>
      </w:tr>
    </w:tbl>
    <w:p>
      <w:pPr>
        <w:ind w:firstLine="64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 Neue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OWEzMGRlNmUyZGYzN2EwMDI1ZDk4Y2I3OGM4YWEifQ=="/>
  </w:docVars>
  <w:rsids>
    <w:rsidRoot w:val="3EE82DCC"/>
    <w:rsid w:val="003F546E"/>
    <w:rsid w:val="00C26CC2"/>
    <w:rsid w:val="00F43E1A"/>
    <w:rsid w:val="3EE82DCC"/>
    <w:rsid w:val="6E856105"/>
    <w:rsid w:val="7DA70625"/>
    <w:rsid w:val="7DDF31D1"/>
    <w:rsid w:val="FCF9BE66"/>
    <w:rsid w:val="FF7F1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2022-12-08T16:08:00Z</dcterms:created>
  <dc:creator>瑜玲_</dc:creator>
  <cp:lastModifiedBy>greatwall</cp:lastModifiedBy>
  <cp:lastPrinted>2022-12-13T08:37:00Z</cp:lastPrinted>
  <dcterms:modified xsi:type="dcterms:W3CDTF">2023-04-24T15:12:55Z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222F319FB51C4FEDB27DEB2D47B526E2</vt:lpwstr>
  </property>
</Properties>
</file>