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bookmarkStart w:id="0" w:name="_GoBack"/>
      <w:bookmarkEnd w:id="0"/>
    </w:p>
    <w:p>
      <w:pPr>
        <w:pStyle w:val="2"/>
        <w:rPr>
          <w:rFonts w:hint="default"/>
          <w:lang w:val="en-US" w:eastAsia="zh-CN"/>
        </w:rPr>
      </w:pPr>
    </w:p>
    <w:p>
      <w:pPr>
        <w:adjustRightInd w:val="0"/>
        <w:snapToGrid w:val="0"/>
        <w:spacing w:line="600" w:lineRule="exact"/>
        <w:jc w:val="center"/>
        <w:rPr>
          <w:rFonts w:eastAsia="方正小标宋简体" w:cs="方正仿宋简体"/>
          <w:color w:val="000000"/>
          <w:sz w:val="44"/>
          <w:szCs w:val="44"/>
        </w:rPr>
      </w:pPr>
      <w:r>
        <w:rPr>
          <w:rFonts w:hint="eastAsia" w:eastAsia="方正小标宋简体" w:cs="方正仿宋简体"/>
          <w:color w:val="000000"/>
          <w:sz w:val="44"/>
          <w:szCs w:val="44"/>
          <w:lang w:eastAsia="zh-CN"/>
        </w:rPr>
        <w:t>梅州市</w:t>
      </w:r>
      <w:r>
        <w:rPr>
          <w:rFonts w:hint="eastAsia" w:eastAsia="方正小标宋简体" w:cs="方正仿宋简体"/>
          <w:color w:val="000000"/>
          <w:sz w:val="44"/>
          <w:szCs w:val="44"/>
        </w:rPr>
        <w:t>水泥和混凝土制品产品质量</w:t>
      </w:r>
    </w:p>
    <w:p>
      <w:pPr>
        <w:adjustRightInd w:val="0"/>
        <w:snapToGrid w:val="0"/>
        <w:spacing w:line="600" w:lineRule="exact"/>
        <w:jc w:val="center"/>
        <w:rPr>
          <w:rFonts w:eastAsia="方正小标宋简体" w:cs="方正仿宋简体"/>
          <w:color w:val="000000"/>
          <w:sz w:val="44"/>
          <w:szCs w:val="44"/>
        </w:rPr>
      </w:pPr>
      <w:r>
        <w:rPr>
          <w:rFonts w:hint="eastAsia" w:eastAsia="方正小标宋简体" w:cs="方正仿宋简体"/>
          <w:color w:val="000000"/>
          <w:sz w:val="44"/>
          <w:szCs w:val="44"/>
        </w:rPr>
        <w:t>监督抽查实施细则</w:t>
      </w:r>
    </w:p>
    <w:p>
      <w:pPr>
        <w:adjustRightInd w:val="0"/>
        <w:snapToGrid w:val="0"/>
        <w:spacing w:line="600" w:lineRule="exact"/>
        <w:jc w:val="center"/>
        <w:rPr>
          <w:rFonts w:eastAsia="方正小标宋简体" w:cs="方正仿宋简体"/>
          <w:color w:val="000000"/>
          <w:szCs w:val="32"/>
        </w:rPr>
      </w:pPr>
    </w:p>
    <w:p>
      <w:pPr>
        <w:snapToGrid w:val="0"/>
        <w:spacing w:line="600" w:lineRule="exact"/>
        <w:ind w:firstLine="640" w:firstLineChars="200"/>
        <w:rPr>
          <w:rFonts w:ascii="黑体" w:hAnsi="宋体" w:eastAsia="黑体"/>
          <w:color w:val="000000"/>
          <w:szCs w:val="21"/>
        </w:rPr>
      </w:pPr>
      <w:r>
        <w:rPr>
          <w:rFonts w:hint="eastAsia" w:ascii="黑体" w:hAnsi="宋体" w:eastAsia="黑体"/>
          <w:color w:val="000000"/>
          <w:szCs w:val="21"/>
        </w:rPr>
        <w:t>一、抽样方法</w:t>
      </w:r>
    </w:p>
    <w:p>
      <w:pPr>
        <w:widowControl/>
        <w:spacing w:line="600" w:lineRule="exact"/>
        <w:ind w:firstLine="640" w:firstLineChars="200"/>
        <w:rPr>
          <w:szCs w:val="32"/>
        </w:rPr>
      </w:pPr>
      <w:r>
        <w:rPr>
          <w:kern w:val="0"/>
          <w:szCs w:val="32"/>
        </w:rPr>
        <w:t>以随机抽样的方式在被</w:t>
      </w:r>
      <w:r>
        <w:rPr>
          <w:rFonts w:hint="eastAsia"/>
          <w:kern w:val="0"/>
          <w:szCs w:val="32"/>
          <w:lang w:eastAsia="zh-CN"/>
        </w:rPr>
        <w:t>抽查市场主体</w:t>
      </w:r>
      <w:r>
        <w:rPr>
          <w:kern w:val="0"/>
          <w:szCs w:val="32"/>
        </w:rPr>
        <w:t>的待销产品中抽取。</w:t>
      </w:r>
    </w:p>
    <w:p>
      <w:pPr>
        <w:snapToGrid w:val="0"/>
        <w:spacing w:line="600" w:lineRule="exact"/>
        <w:ind w:firstLine="64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600" w:lineRule="exact"/>
        <w:ind w:firstLine="640" w:firstLineChars="200"/>
        <w:rPr>
          <w:color w:val="000000"/>
          <w:szCs w:val="21"/>
        </w:rPr>
      </w:pPr>
      <w:r>
        <w:rPr>
          <w:rFonts w:hint="eastAsia"/>
          <w:color w:val="000000"/>
          <w:szCs w:val="32"/>
        </w:rPr>
        <w:t>抽查数量：每款产品抽取2组样本，第1组用于检验，第2组用于备样。具体抽样数量如下：</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45"/>
        <w:gridCol w:w="1981"/>
        <w:gridCol w:w="169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23" w:type="dxa"/>
          </w:tcPr>
          <w:p>
            <w:pPr>
              <w:spacing w:line="520" w:lineRule="exact"/>
              <w:jc w:val="center"/>
              <w:rPr>
                <w:b/>
                <w:bCs/>
                <w:sz w:val="21"/>
                <w:szCs w:val="21"/>
              </w:rPr>
            </w:pPr>
            <w:r>
              <w:rPr>
                <w:rFonts w:hint="eastAsia"/>
                <w:b/>
                <w:bCs/>
                <w:sz w:val="21"/>
                <w:szCs w:val="21"/>
              </w:rPr>
              <w:t>序号</w:t>
            </w:r>
          </w:p>
        </w:tc>
        <w:tc>
          <w:tcPr>
            <w:tcW w:w="4026" w:type="dxa"/>
            <w:gridSpan w:val="2"/>
            <w:vAlign w:val="center"/>
          </w:tcPr>
          <w:p>
            <w:pPr>
              <w:spacing w:line="520" w:lineRule="exact"/>
              <w:jc w:val="center"/>
              <w:rPr>
                <w:b/>
                <w:bCs/>
                <w:sz w:val="21"/>
                <w:szCs w:val="21"/>
              </w:rPr>
            </w:pPr>
            <w:r>
              <w:rPr>
                <w:b/>
                <w:bCs/>
                <w:sz w:val="21"/>
                <w:szCs w:val="21"/>
              </w:rPr>
              <w:t>被抽查的产品品种</w:t>
            </w:r>
          </w:p>
        </w:tc>
        <w:tc>
          <w:tcPr>
            <w:tcW w:w="1699" w:type="dxa"/>
            <w:vAlign w:val="center"/>
          </w:tcPr>
          <w:p>
            <w:pPr>
              <w:spacing w:line="520" w:lineRule="exact"/>
              <w:jc w:val="center"/>
              <w:rPr>
                <w:b/>
                <w:bCs/>
                <w:sz w:val="21"/>
                <w:szCs w:val="21"/>
              </w:rPr>
            </w:pPr>
            <w:r>
              <w:rPr>
                <w:b/>
                <w:bCs/>
                <w:kern w:val="0"/>
                <w:sz w:val="21"/>
                <w:szCs w:val="21"/>
              </w:rPr>
              <w:t>第1组数量</w:t>
            </w:r>
            <w:r>
              <w:rPr>
                <w:b/>
                <w:bCs/>
                <w:sz w:val="21"/>
                <w:szCs w:val="21"/>
              </w:rPr>
              <w:t>（款）</w:t>
            </w:r>
          </w:p>
        </w:tc>
        <w:tc>
          <w:tcPr>
            <w:tcW w:w="1971" w:type="dxa"/>
            <w:vAlign w:val="center"/>
          </w:tcPr>
          <w:p>
            <w:pPr>
              <w:spacing w:line="520" w:lineRule="exact"/>
              <w:jc w:val="center"/>
              <w:rPr>
                <w:b/>
                <w:bCs/>
                <w:sz w:val="21"/>
                <w:szCs w:val="21"/>
              </w:rPr>
            </w:pPr>
            <w:r>
              <w:rPr>
                <w:b/>
                <w:bCs/>
                <w:kern w:val="0"/>
                <w:sz w:val="21"/>
                <w:szCs w:val="21"/>
              </w:rPr>
              <w:t>第2组数量</w:t>
            </w:r>
            <w:r>
              <w:rPr>
                <w:b/>
                <w:bCs/>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23" w:type="dxa"/>
          </w:tcPr>
          <w:p>
            <w:pPr>
              <w:snapToGrid w:val="0"/>
              <w:spacing w:line="240" w:lineRule="auto"/>
              <w:jc w:val="center"/>
              <w:rPr>
                <w:rFonts w:ascii="仿宋_GB2312" w:hAnsi="仿宋_GB2312" w:cs="仿宋_GB2312"/>
                <w:color w:val="000000"/>
                <w:sz w:val="24"/>
                <w:szCs w:val="24"/>
              </w:rPr>
            </w:pPr>
            <w:r>
              <w:rPr>
                <w:rFonts w:hint="eastAsia" w:ascii="仿宋_GB2312" w:hAnsi="仿宋_GB2312" w:cs="仿宋_GB2312"/>
                <w:color w:val="000000"/>
                <w:sz w:val="24"/>
                <w:szCs w:val="24"/>
              </w:rPr>
              <w:t>1</w:t>
            </w:r>
          </w:p>
        </w:tc>
        <w:tc>
          <w:tcPr>
            <w:tcW w:w="2045" w:type="dxa"/>
            <w:vMerge w:val="restart"/>
            <w:vAlign w:val="center"/>
          </w:tcPr>
          <w:p>
            <w:pPr>
              <w:snapToGrid w:val="0"/>
              <w:spacing w:line="240" w:lineRule="auto"/>
              <w:jc w:val="center"/>
              <w:rPr>
                <w:rFonts w:ascii="仿宋_GB2312" w:hAnsi="仿宋_GB2312" w:cs="仿宋_GB2312"/>
                <w:color w:val="000000"/>
                <w:sz w:val="24"/>
                <w:szCs w:val="24"/>
              </w:rPr>
            </w:pPr>
            <w:r>
              <w:rPr>
                <w:rFonts w:hint="eastAsia" w:ascii="仿宋_GB2312" w:hAnsi="仿宋_GB2312" w:cs="仿宋_GB2312"/>
                <w:color w:val="000000"/>
                <w:sz w:val="24"/>
                <w:szCs w:val="24"/>
              </w:rPr>
              <w:t>水泥</w:t>
            </w:r>
          </w:p>
        </w:tc>
        <w:tc>
          <w:tcPr>
            <w:tcW w:w="1981" w:type="dxa"/>
            <w:vAlign w:val="center"/>
          </w:tcPr>
          <w:p>
            <w:pPr>
              <w:snapToGrid w:val="0"/>
              <w:spacing w:line="240" w:lineRule="auto"/>
              <w:jc w:val="center"/>
              <w:rPr>
                <w:rFonts w:ascii="仿宋_GB2312" w:hAnsi="仿宋_GB2312" w:cs="仿宋_GB2312"/>
                <w:color w:val="000000"/>
                <w:sz w:val="24"/>
                <w:szCs w:val="24"/>
              </w:rPr>
            </w:pPr>
            <w:r>
              <w:rPr>
                <w:rFonts w:hint="eastAsia" w:ascii="仿宋_GB2312" w:hAnsi="仿宋_GB2312" w:cs="仿宋_GB2312"/>
                <w:color w:val="000000"/>
                <w:sz w:val="24"/>
                <w:szCs w:val="24"/>
              </w:rPr>
              <w:t>通用硅酸盐水泥</w:t>
            </w:r>
          </w:p>
        </w:tc>
        <w:tc>
          <w:tcPr>
            <w:tcW w:w="1699" w:type="dxa"/>
            <w:vAlign w:val="center"/>
          </w:tcPr>
          <w:p>
            <w:pPr>
              <w:snapToGrid w:val="0"/>
              <w:spacing w:line="240" w:lineRule="auto"/>
              <w:jc w:val="center"/>
              <w:rPr>
                <w:rFonts w:ascii="仿宋_GB2312" w:hAnsi="仿宋_GB2312" w:cs="仿宋_GB2312"/>
                <w:color w:val="000000"/>
                <w:kern w:val="2"/>
                <w:sz w:val="24"/>
                <w:szCs w:val="24"/>
              </w:rPr>
            </w:pPr>
            <w:r>
              <w:rPr>
                <w:rFonts w:hint="eastAsia" w:ascii="仿宋_GB2312" w:hAnsi="仿宋_GB2312" w:cs="仿宋_GB2312"/>
                <w:color w:val="000000"/>
                <w:kern w:val="2"/>
                <w:sz w:val="24"/>
                <w:szCs w:val="24"/>
              </w:rPr>
              <w:t>每份至少8 kg</w:t>
            </w:r>
          </w:p>
        </w:tc>
        <w:tc>
          <w:tcPr>
            <w:tcW w:w="1971" w:type="dxa"/>
            <w:vAlign w:val="center"/>
          </w:tcPr>
          <w:p>
            <w:pPr>
              <w:snapToGrid w:val="0"/>
              <w:spacing w:line="240" w:lineRule="auto"/>
              <w:jc w:val="center"/>
              <w:rPr>
                <w:rFonts w:ascii="仿宋_GB2312" w:hAnsi="仿宋_GB2312" w:cs="仿宋_GB2312"/>
                <w:color w:val="000000"/>
                <w:kern w:val="2"/>
                <w:sz w:val="24"/>
                <w:szCs w:val="24"/>
              </w:rPr>
            </w:pPr>
            <w:r>
              <w:rPr>
                <w:rFonts w:hint="eastAsia" w:ascii="仿宋_GB2312" w:hAnsi="仿宋_GB2312" w:cs="仿宋_GB2312"/>
                <w:color w:val="000000"/>
                <w:kern w:val="2"/>
                <w:sz w:val="24"/>
                <w:szCs w:val="24"/>
              </w:rPr>
              <w:t>每份至少8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23" w:type="dxa"/>
          </w:tcPr>
          <w:p>
            <w:pPr>
              <w:snapToGrid w:val="0"/>
              <w:spacing w:line="240" w:lineRule="auto"/>
              <w:jc w:val="center"/>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2045" w:type="dxa"/>
            <w:vMerge w:val="continue"/>
            <w:vAlign w:val="center"/>
          </w:tcPr>
          <w:p>
            <w:pPr>
              <w:snapToGrid w:val="0"/>
              <w:spacing w:line="240" w:lineRule="auto"/>
              <w:jc w:val="center"/>
              <w:rPr>
                <w:rFonts w:ascii="仿宋_GB2312" w:hAnsi="仿宋_GB2312" w:cs="仿宋_GB2312"/>
                <w:color w:val="000000"/>
                <w:sz w:val="24"/>
                <w:szCs w:val="24"/>
              </w:rPr>
            </w:pPr>
          </w:p>
        </w:tc>
        <w:tc>
          <w:tcPr>
            <w:tcW w:w="1981" w:type="dxa"/>
            <w:vAlign w:val="center"/>
          </w:tcPr>
          <w:p>
            <w:pPr>
              <w:snapToGrid w:val="0"/>
              <w:spacing w:line="240" w:lineRule="auto"/>
              <w:jc w:val="center"/>
              <w:rPr>
                <w:rFonts w:ascii="仿宋_GB2312" w:hAnsi="仿宋_GB2312" w:cs="仿宋_GB2312"/>
                <w:color w:val="000000"/>
                <w:sz w:val="24"/>
                <w:szCs w:val="24"/>
              </w:rPr>
            </w:pPr>
            <w:r>
              <w:rPr>
                <w:rFonts w:hint="eastAsia" w:ascii="仿宋_GB2312" w:hAnsi="仿宋_GB2312" w:cs="仿宋_GB2312"/>
                <w:color w:val="000000"/>
                <w:sz w:val="24"/>
                <w:szCs w:val="24"/>
              </w:rPr>
              <w:t>砌筑水泥</w:t>
            </w:r>
          </w:p>
        </w:tc>
        <w:tc>
          <w:tcPr>
            <w:tcW w:w="1699" w:type="dxa"/>
            <w:vAlign w:val="center"/>
          </w:tcPr>
          <w:p>
            <w:pPr>
              <w:snapToGrid w:val="0"/>
              <w:spacing w:line="240" w:lineRule="auto"/>
              <w:jc w:val="center"/>
              <w:rPr>
                <w:rFonts w:ascii="仿宋_GB2312" w:hAnsi="仿宋_GB2312" w:cs="仿宋_GB2312"/>
                <w:color w:val="000000"/>
                <w:kern w:val="2"/>
                <w:sz w:val="24"/>
                <w:szCs w:val="24"/>
              </w:rPr>
            </w:pPr>
            <w:r>
              <w:rPr>
                <w:rFonts w:hint="eastAsia" w:ascii="仿宋_GB2312" w:hAnsi="仿宋_GB2312" w:cs="仿宋_GB2312"/>
                <w:color w:val="000000"/>
                <w:kern w:val="2"/>
                <w:sz w:val="24"/>
                <w:szCs w:val="24"/>
              </w:rPr>
              <w:t>每份至少8 kg</w:t>
            </w:r>
          </w:p>
        </w:tc>
        <w:tc>
          <w:tcPr>
            <w:tcW w:w="1971" w:type="dxa"/>
            <w:vAlign w:val="center"/>
          </w:tcPr>
          <w:p>
            <w:pPr>
              <w:snapToGrid w:val="0"/>
              <w:spacing w:line="240" w:lineRule="auto"/>
              <w:jc w:val="center"/>
              <w:rPr>
                <w:rFonts w:ascii="仿宋_GB2312" w:hAnsi="仿宋_GB2312" w:cs="仿宋_GB2312"/>
                <w:color w:val="000000"/>
                <w:kern w:val="2"/>
                <w:sz w:val="24"/>
                <w:szCs w:val="24"/>
              </w:rPr>
            </w:pPr>
            <w:r>
              <w:rPr>
                <w:rFonts w:hint="eastAsia" w:ascii="仿宋_GB2312" w:hAnsi="仿宋_GB2312" w:cs="仿宋_GB2312"/>
                <w:color w:val="000000"/>
                <w:kern w:val="2"/>
                <w:sz w:val="24"/>
                <w:szCs w:val="24"/>
              </w:rPr>
              <w:t>每份至少8 kg</w:t>
            </w:r>
          </w:p>
        </w:tc>
      </w:tr>
    </w:tbl>
    <w:p>
      <w:pPr>
        <w:snapToGrid w:val="0"/>
        <w:spacing w:line="600" w:lineRule="exact"/>
        <w:ind w:firstLine="640" w:firstLineChars="200"/>
        <w:rPr>
          <w:rFonts w:ascii="黑体" w:hAnsi="宋体" w:eastAsia="黑体"/>
          <w:color w:val="000000"/>
          <w:szCs w:val="21"/>
        </w:rPr>
      </w:pPr>
      <w:r>
        <w:rPr>
          <w:rFonts w:hint="eastAsia" w:ascii="黑体" w:hAnsi="宋体" w:eastAsia="黑体"/>
          <w:color w:val="000000"/>
          <w:szCs w:val="21"/>
        </w:rPr>
        <w:t>二、主要检验项目及检验项目属性划分</w:t>
      </w:r>
    </w:p>
    <w:p>
      <w:pPr>
        <w:snapToGrid w:val="0"/>
        <w:spacing w:line="600" w:lineRule="exact"/>
        <w:ind w:firstLine="640" w:firstLineChars="200"/>
        <w:rPr>
          <w:rFonts w:ascii="宋体" w:hAnsi="宋体"/>
          <w:color w:val="000000"/>
          <w:szCs w:val="21"/>
        </w:rPr>
      </w:pPr>
      <w:r>
        <w:rPr>
          <w:rFonts w:hint="eastAsia" w:ascii="宋体" w:hAnsi="宋体"/>
          <w:color w:val="000000"/>
          <w:szCs w:val="21"/>
        </w:rPr>
        <w:t>1.水泥（通用硅酸盐水泥）</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1"/>
        <w:gridCol w:w="1417"/>
        <w:gridCol w:w="1129"/>
        <w:gridCol w:w="1129"/>
        <w:gridCol w:w="1131"/>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序号</w:t>
            </w:r>
          </w:p>
        </w:tc>
        <w:tc>
          <w:tcPr>
            <w:tcW w:w="991"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检验项目</w:t>
            </w:r>
          </w:p>
        </w:tc>
        <w:tc>
          <w:tcPr>
            <w:tcW w:w="1417"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检验方法</w:t>
            </w:r>
          </w:p>
        </w:tc>
        <w:tc>
          <w:tcPr>
            <w:tcW w:w="1129"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强制性</w:t>
            </w:r>
          </w:p>
        </w:tc>
        <w:tc>
          <w:tcPr>
            <w:tcW w:w="1129"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非强制性</w:t>
            </w:r>
          </w:p>
        </w:tc>
        <w:tc>
          <w:tcPr>
            <w:tcW w:w="1131"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重要项</w:t>
            </w:r>
          </w:p>
        </w:tc>
        <w:tc>
          <w:tcPr>
            <w:tcW w:w="1132"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较重要项</w:t>
            </w:r>
          </w:p>
        </w:tc>
        <w:tc>
          <w:tcPr>
            <w:tcW w:w="1132"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1</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三氧化硫</w:t>
            </w:r>
          </w:p>
        </w:tc>
        <w:tc>
          <w:tcPr>
            <w:tcW w:w="1417" w:type="dxa"/>
            <w:vMerge w:val="restart"/>
            <w:vAlign w:val="center"/>
          </w:tcPr>
          <w:p>
            <w:pPr>
              <w:snapToGrid w:val="0"/>
              <w:jc w:val="center"/>
              <w:rPr>
                <w:sz w:val="24"/>
              </w:rPr>
            </w:pPr>
            <w:r>
              <w:rPr>
                <w:rFonts w:hint="eastAsia"/>
                <w:sz w:val="24"/>
              </w:rPr>
              <w:t>GB/T 176-2017</w:t>
            </w: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2</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氧化镁</w:t>
            </w:r>
          </w:p>
        </w:tc>
        <w:tc>
          <w:tcPr>
            <w:tcW w:w="1417" w:type="dxa"/>
            <w:vMerge w:val="continue"/>
            <w:vAlign w:val="center"/>
          </w:tcPr>
          <w:p>
            <w:pPr>
              <w:snapToGrid w:val="0"/>
              <w:jc w:val="center"/>
              <w:rPr>
                <w:sz w:val="24"/>
              </w:rPr>
            </w:pP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3</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烧失量</w:t>
            </w:r>
          </w:p>
        </w:tc>
        <w:tc>
          <w:tcPr>
            <w:tcW w:w="1417" w:type="dxa"/>
            <w:vMerge w:val="continue"/>
            <w:vAlign w:val="center"/>
          </w:tcPr>
          <w:p>
            <w:pPr>
              <w:snapToGrid w:val="0"/>
              <w:jc w:val="center"/>
              <w:rPr>
                <w:sz w:val="24"/>
              </w:rPr>
            </w:pP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4</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不溶物</w:t>
            </w:r>
          </w:p>
        </w:tc>
        <w:tc>
          <w:tcPr>
            <w:tcW w:w="1417" w:type="dxa"/>
            <w:vMerge w:val="continue"/>
            <w:vAlign w:val="center"/>
          </w:tcPr>
          <w:p>
            <w:pPr>
              <w:snapToGrid w:val="0"/>
              <w:jc w:val="center"/>
              <w:rPr>
                <w:sz w:val="24"/>
              </w:rPr>
            </w:pP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5</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氯离子</w:t>
            </w:r>
          </w:p>
        </w:tc>
        <w:tc>
          <w:tcPr>
            <w:tcW w:w="1417" w:type="dxa"/>
            <w:vMerge w:val="continue"/>
            <w:vAlign w:val="center"/>
          </w:tcPr>
          <w:p>
            <w:pPr>
              <w:snapToGrid w:val="0"/>
              <w:jc w:val="center"/>
              <w:rPr>
                <w:sz w:val="24"/>
              </w:rPr>
            </w:pP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6</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凝结时间</w:t>
            </w:r>
          </w:p>
        </w:tc>
        <w:tc>
          <w:tcPr>
            <w:tcW w:w="1417" w:type="dxa"/>
            <w:vMerge w:val="restart"/>
            <w:vAlign w:val="center"/>
          </w:tcPr>
          <w:p>
            <w:pPr>
              <w:snapToGrid w:val="0"/>
              <w:jc w:val="center"/>
              <w:rPr>
                <w:sz w:val="24"/>
              </w:rPr>
            </w:pPr>
            <w:r>
              <w:rPr>
                <w:rFonts w:hint="eastAsia"/>
                <w:sz w:val="24"/>
              </w:rPr>
              <w:t>GB/T 1346-2011</w:t>
            </w: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7</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安定性</w:t>
            </w:r>
          </w:p>
        </w:tc>
        <w:tc>
          <w:tcPr>
            <w:tcW w:w="1417" w:type="dxa"/>
            <w:vMerge w:val="continue"/>
            <w:vAlign w:val="center"/>
          </w:tcPr>
          <w:p>
            <w:pPr>
              <w:snapToGrid w:val="0"/>
              <w:jc w:val="center"/>
              <w:rPr>
                <w:sz w:val="24"/>
              </w:rPr>
            </w:pP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8</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强度</w:t>
            </w:r>
          </w:p>
        </w:tc>
        <w:tc>
          <w:tcPr>
            <w:tcW w:w="1417" w:type="dxa"/>
            <w:vAlign w:val="center"/>
          </w:tcPr>
          <w:p>
            <w:pPr>
              <w:snapToGrid w:val="0"/>
              <w:jc w:val="center"/>
              <w:rPr>
                <w:sz w:val="24"/>
              </w:rPr>
            </w:pPr>
            <w:r>
              <w:rPr>
                <w:rFonts w:hint="eastAsia"/>
                <w:sz w:val="24"/>
              </w:rPr>
              <w:t>GB 175-2007</w:t>
            </w:r>
          </w:p>
          <w:p>
            <w:pPr>
              <w:snapToGrid w:val="0"/>
              <w:jc w:val="center"/>
              <w:rPr>
                <w:sz w:val="24"/>
              </w:rPr>
            </w:pPr>
            <w:r>
              <w:rPr>
                <w:rFonts w:hint="eastAsia"/>
                <w:sz w:val="24"/>
              </w:rPr>
              <w:t>GB/T 17671-1999</w:t>
            </w:r>
          </w:p>
          <w:p>
            <w:pPr>
              <w:snapToGrid w:val="0"/>
              <w:jc w:val="center"/>
              <w:rPr>
                <w:color w:val="FF0000"/>
                <w:sz w:val="24"/>
              </w:rPr>
            </w:pPr>
            <w:r>
              <w:rPr>
                <w:rFonts w:hint="eastAsia"/>
                <w:sz w:val="24"/>
              </w:rPr>
              <w:t>GB/T 2419-2005</w:t>
            </w:r>
          </w:p>
        </w:tc>
        <w:tc>
          <w:tcPr>
            <w:tcW w:w="1129"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sz w:val="24"/>
              </w:rPr>
            </w:pPr>
          </w:p>
        </w:tc>
        <w:tc>
          <w:tcPr>
            <w:tcW w:w="1132"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9</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放射性</w:t>
            </w:r>
          </w:p>
        </w:tc>
        <w:tc>
          <w:tcPr>
            <w:tcW w:w="1417" w:type="dxa"/>
            <w:vAlign w:val="center"/>
          </w:tcPr>
          <w:p>
            <w:pPr>
              <w:snapToGrid w:val="0"/>
              <w:jc w:val="center"/>
              <w:rPr>
                <w:color w:val="000000"/>
                <w:sz w:val="24"/>
              </w:rPr>
            </w:pPr>
            <w:r>
              <w:rPr>
                <w:rFonts w:hint="eastAsia"/>
                <w:color w:val="000000"/>
                <w:sz w:val="24"/>
              </w:rPr>
              <w:t>GB 6566-2010</w:t>
            </w:r>
          </w:p>
        </w:tc>
        <w:tc>
          <w:tcPr>
            <w:tcW w:w="1129"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color w:val="000000"/>
                <w:sz w:val="24"/>
              </w:rPr>
            </w:pPr>
          </w:p>
        </w:tc>
        <w:tc>
          <w:tcPr>
            <w:tcW w:w="1132" w:type="dxa"/>
            <w:vAlign w:val="center"/>
          </w:tcPr>
          <w:p>
            <w:pPr>
              <w:snapToGrid w:val="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10</w:t>
            </w:r>
          </w:p>
        </w:tc>
        <w:tc>
          <w:tcPr>
            <w:tcW w:w="991"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水溶性铬(Ⅵ)</w:t>
            </w:r>
          </w:p>
        </w:tc>
        <w:tc>
          <w:tcPr>
            <w:tcW w:w="1417" w:type="dxa"/>
            <w:vAlign w:val="center"/>
          </w:tcPr>
          <w:p>
            <w:pPr>
              <w:snapToGrid w:val="0"/>
              <w:jc w:val="center"/>
              <w:rPr>
                <w:color w:val="000000"/>
                <w:sz w:val="24"/>
              </w:rPr>
            </w:pPr>
            <w:r>
              <w:rPr>
                <w:rFonts w:hint="eastAsia"/>
                <w:color w:val="000000"/>
                <w:sz w:val="24"/>
              </w:rPr>
              <w:t>GB 31893-2015</w:t>
            </w:r>
          </w:p>
        </w:tc>
        <w:tc>
          <w:tcPr>
            <w:tcW w:w="1129"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29"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2" w:type="dxa"/>
            <w:vAlign w:val="center"/>
          </w:tcPr>
          <w:p>
            <w:pPr>
              <w:snapToGrid w:val="0"/>
              <w:jc w:val="center"/>
              <w:rPr>
                <w:rFonts w:ascii="仿宋_GB2312" w:hAnsi="仿宋_GB2312" w:cs="仿宋_GB2312"/>
                <w:color w:val="000000"/>
                <w:sz w:val="24"/>
              </w:rPr>
            </w:pPr>
          </w:p>
        </w:tc>
        <w:tc>
          <w:tcPr>
            <w:tcW w:w="1132" w:type="dxa"/>
            <w:vAlign w:val="center"/>
          </w:tcPr>
          <w:p>
            <w:pPr>
              <w:snapToGrid w:val="0"/>
              <w:jc w:val="center"/>
              <w:rPr>
                <w:rFonts w:ascii="仿宋_GB2312" w:hAnsi="仿宋_GB2312" w:cs="仿宋_GB2312"/>
                <w:color w:val="000000"/>
                <w:sz w:val="24"/>
              </w:rPr>
            </w:pPr>
          </w:p>
        </w:tc>
      </w:tr>
    </w:tbl>
    <w:p>
      <w:pPr>
        <w:snapToGrid w:val="0"/>
        <w:spacing w:line="440" w:lineRule="exact"/>
        <w:jc w:val="center"/>
        <w:rPr>
          <w:color w:val="000000"/>
          <w:szCs w:val="21"/>
        </w:rPr>
      </w:pPr>
    </w:p>
    <w:p>
      <w:pPr>
        <w:snapToGrid w:val="0"/>
        <w:spacing w:line="440" w:lineRule="exact"/>
        <w:ind w:firstLine="640" w:firstLineChars="200"/>
        <w:rPr>
          <w:color w:val="000000"/>
          <w:szCs w:val="21"/>
        </w:rPr>
      </w:pPr>
      <w:r>
        <w:rPr>
          <w:rFonts w:hint="eastAsia" w:ascii="宋体" w:hAnsi="宋体"/>
          <w:color w:val="000000"/>
          <w:szCs w:val="21"/>
        </w:rPr>
        <w:t>2.</w:t>
      </w:r>
      <w:r>
        <w:rPr>
          <w:rFonts w:hint="eastAsia"/>
          <w:color w:val="000000"/>
          <w:szCs w:val="21"/>
        </w:rPr>
        <w:t>水泥（</w:t>
      </w:r>
      <w:r>
        <w:t>砌筑水泥</w:t>
      </w:r>
      <w:r>
        <w:rPr>
          <w:rFonts w:hint="eastAsia"/>
          <w:color w:val="000000"/>
          <w:szCs w:val="21"/>
        </w:rPr>
        <w:t>）</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0"/>
        <w:gridCol w:w="1416"/>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序号</w:t>
            </w:r>
          </w:p>
        </w:tc>
        <w:tc>
          <w:tcPr>
            <w:tcW w:w="990"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检验项目</w:t>
            </w:r>
          </w:p>
        </w:tc>
        <w:tc>
          <w:tcPr>
            <w:tcW w:w="1416" w:type="dxa"/>
          </w:tcPr>
          <w:p>
            <w:pPr>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检验方法</w:t>
            </w:r>
          </w:p>
        </w:tc>
        <w:tc>
          <w:tcPr>
            <w:tcW w:w="1131" w:type="dxa"/>
            <w:vAlign w:val="center"/>
          </w:tcPr>
          <w:p>
            <w:pPr>
              <w:adjustRightInd/>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强制性</w:t>
            </w:r>
          </w:p>
        </w:tc>
        <w:tc>
          <w:tcPr>
            <w:tcW w:w="1131" w:type="dxa"/>
            <w:vAlign w:val="center"/>
          </w:tcPr>
          <w:p>
            <w:pPr>
              <w:adjustRightInd/>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非强制性</w:t>
            </w:r>
          </w:p>
        </w:tc>
        <w:tc>
          <w:tcPr>
            <w:tcW w:w="1131" w:type="dxa"/>
            <w:vAlign w:val="center"/>
          </w:tcPr>
          <w:p>
            <w:pPr>
              <w:adjustRightInd/>
              <w:snapToGrid w:val="0"/>
              <w:spacing w:line="440" w:lineRule="exact"/>
              <w:jc w:val="center"/>
              <w:rPr>
                <w:rFonts w:ascii="仿宋_GB2312" w:hAnsi="仿宋_GB2312" w:cs="仿宋_GB2312"/>
                <w:b/>
                <w:color w:val="000000"/>
                <w:sz w:val="24"/>
              </w:rPr>
            </w:pPr>
            <w:r>
              <w:rPr>
                <w:rFonts w:hint="eastAsia" w:ascii="仿宋_GB2312" w:hAnsi="仿宋_GB2312" w:cs="仿宋_GB2312"/>
                <w:b/>
                <w:color w:val="000000"/>
                <w:sz w:val="24"/>
              </w:rPr>
              <w:t>重要项</w:t>
            </w:r>
          </w:p>
        </w:tc>
        <w:tc>
          <w:tcPr>
            <w:tcW w:w="1131" w:type="dxa"/>
            <w:vAlign w:val="center"/>
          </w:tcPr>
          <w:p>
            <w:pPr>
              <w:adjustRightInd/>
              <w:snapToGrid w:val="0"/>
              <w:spacing w:line="440" w:lineRule="exact"/>
              <w:jc w:val="center"/>
              <w:rPr>
                <w:rFonts w:ascii="仿宋_GB2312" w:hAnsi="仿宋_GB2312" w:cs="仿宋_GB2312"/>
                <w:b/>
                <w:color w:val="000000"/>
                <w:sz w:val="24"/>
              </w:rPr>
            </w:pPr>
            <w:r>
              <w:rPr>
                <w:rFonts w:hint="eastAsia" w:ascii="仿宋_GB2312" w:hAnsi="仿宋_GB2312" w:cs="仿宋_GB2312"/>
                <w:b/>
                <w:bCs w:val="0"/>
                <w:color w:val="000000"/>
                <w:sz w:val="24"/>
              </w:rPr>
              <w:t>较重要项</w:t>
            </w:r>
          </w:p>
        </w:tc>
        <w:tc>
          <w:tcPr>
            <w:tcW w:w="1131" w:type="dxa"/>
            <w:vAlign w:val="center"/>
          </w:tcPr>
          <w:p>
            <w:pPr>
              <w:adjustRightInd/>
              <w:snapToGrid w:val="0"/>
              <w:spacing w:line="440" w:lineRule="exact"/>
              <w:jc w:val="center"/>
              <w:rPr>
                <w:rFonts w:ascii="仿宋_GB2312" w:hAnsi="仿宋_GB2312" w:cs="仿宋_GB2312"/>
                <w:b/>
                <w:color w:val="000000"/>
                <w:sz w:val="24"/>
              </w:rPr>
            </w:pPr>
            <w:r>
              <w:rPr>
                <w:rFonts w:hint="eastAsia" w:ascii="仿宋_GB2312" w:hAnsi="仿宋_GB2312" w:cs="仿宋_GB2312"/>
                <w:b/>
                <w:bCs w:val="0"/>
                <w:color w:val="000000"/>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1</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三氧化硫</w:t>
            </w:r>
          </w:p>
        </w:tc>
        <w:tc>
          <w:tcPr>
            <w:tcW w:w="1416" w:type="dxa"/>
            <w:vMerge w:val="restart"/>
            <w:vAlign w:val="center"/>
          </w:tcPr>
          <w:p>
            <w:pPr>
              <w:snapToGrid w:val="0"/>
              <w:jc w:val="center"/>
              <w:rPr>
                <w:color w:val="000000"/>
                <w:sz w:val="24"/>
              </w:rPr>
            </w:pPr>
            <w:r>
              <w:rPr>
                <w:rFonts w:hint="eastAsia"/>
                <w:sz w:val="24"/>
              </w:rPr>
              <w:t>GB/T 176-2017</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2</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氯离子</w:t>
            </w:r>
          </w:p>
        </w:tc>
        <w:tc>
          <w:tcPr>
            <w:tcW w:w="1416" w:type="dxa"/>
            <w:vMerge w:val="continue"/>
            <w:vAlign w:val="center"/>
          </w:tcPr>
          <w:p>
            <w:pPr>
              <w:snapToGrid w:val="0"/>
              <w:jc w:val="center"/>
              <w:rPr>
                <w:color w:val="000000"/>
                <w:sz w:val="24"/>
              </w:rPr>
            </w:pPr>
          </w:p>
        </w:tc>
        <w:tc>
          <w:tcPr>
            <w:tcW w:w="1131"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3</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水溶性铬(Ⅵ)</w:t>
            </w:r>
          </w:p>
        </w:tc>
        <w:tc>
          <w:tcPr>
            <w:tcW w:w="1416" w:type="dxa"/>
            <w:vAlign w:val="center"/>
          </w:tcPr>
          <w:p>
            <w:pPr>
              <w:snapToGrid w:val="0"/>
              <w:jc w:val="center"/>
              <w:rPr>
                <w:sz w:val="24"/>
              </w:rPr>
            </w:pPr>
            <w:r>
              <w:rPr>
                <w:rFonts w:hint="eastAsia"/>
                <w:sz w:val="24"/>
              </w:rPr>
              <w:t>GB 31893-2015</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4</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细度</w:t>
            </w:r>
          </w:p>
        </w:tc>
        <w:tc>
          <w:tcPr>
            <w:tcW w:w="1416" w:type="dxa"/>
            <w:vAlign w:val="center"/>
          </w:tcPr>
          <w:p>
            <w:pPr>
              <w:snapToGrid w:val="0"/>
              <w:jc w:val="center"/>
              <w:rPr>
                <w:sz w:val="24"/>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 w:val="24"/>
              </w:rPr>
              <w:t>GB/T 1345</w:t>
            </w:r>
            <w:r>
              <w:rPr>
                <w:rFonts w:hint="eastAsia"/>
                <w:sz w:val="24"/>
              </w:rPr>
              <w:fldChar w:fldCharType="end"/>
            </w:r>
            <w:r>
              <w:rPr>
                <w:rFonts w:hint="eastAsia"/>
                <w:sz w:val="24"/>
              </w:rPr>
              <w:t>-2005</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5</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凝结时间</w:t>
            </w:r>
          </w:p>
        </w:tc>
        <w:tc>
          <w:tcPr>
            <w:tcW w:w="1416" w:type="dxa"/>
            <w:vMerge w:val="restart"/>
            <w:vAlign w:val="center"/>
          </w:tcPr>
          <w:p>
            <w:pPr>
              <w:snapToGrid w:val="0"/>
              <w:jc w:val="center"/>
              <w:rPr>
                <w:sz w:val="24"/>
              </w:rPr>
            </w:pPr>
            <w:r>
              <w:rPr>
                <w:rFonts w:hint="eastAsia"/>
                <w:sz w:val="24"/>
              </w:rPr>
              <w:t>GB/T 1346-2011</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6</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沸煮法安定性</w:t>
            </w:r>
          </w:p>
        </w:tc>
        <w:tc>
          <w:tcPr>
            <w:tcW w:w="1416" w:type="dxa"/>
            <w:vMerge w:val="continue"/>
            <w:vAlign w:val="center"/>
          </w:tcPr>
          <w:p>
            <w:pPr>
              <w:snapToGrid w:val="0"/>
              <w:jc w:val="center"/>
              <w:rPr>
                <w:color w:val="000000"/>
                <w:sz w:val="24"/>
              </w:rPr>
            </w:pPr>
          </w:p>
        </w:tc>
        <w:tc>
          <w:tcPr>
            <w:tcW w:w="1131"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color w:val="000000"/>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sz w:val="24"/>
              </w:rPr>
            </w:pPr>
            <w:r>
              <w:rPr>
                <w:rFonts w:hint="eastAsia" w:ascii="仿宋_GB2312" w:hAnsi="仿宋_GB2312" w:cs="仿宋_GB2312"/>
                <w:sz w:val="24"/>
              </w:rPr>
              <w:t>7</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保水率</w:t>
            </w:r>
          </w:p>
        </w:tc>
        <w:tc>
          <w:tcPr>
            <w:tcW w:w="1416" w:type="dxa"/>
            <w:vAlign w:val="center"/>
          </w:tcPr>
          <w:p>
            <w:pPr>
              <w:snapToGrid w:val="0"/>
              <w:jc w:val="center"/>
              <w:rPr>
                <w:sz w:val="24"/>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 w:val="24"/>
              </w:rPr>
              <w:t>GB/T 3183</w:t>
            </w:r>
            <w:r>
              <w:rPr>
                <w:rFonts w:hint="eastAsia"/>
                <w:sz w:val="24"/>
              </w:rPr>
              <w:fldChar w:fldCharType="end"/>
            </w:r>
            <w:r>
              <w:rPr>
                <w:rFonts w:hint="eastAsia"/>
                <w:sz w:val="24"/>
              </w:rPr>
              <w:t>-2017</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8</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强度</w:t>
            </w:r>
          </w:p>
        </w:tc>
        <w:tc>
          <w:tcPr>
            <w:tcW w:w="1416" w:type="dxa"/>
            <w:vAlign w:val="center"/>
          </w:tcPr>
          <w:p>
            <w:pPr>
              <w:snapToGrid w:val="0"/>
              <w:jc w:val="center"/>
              <w:rPr>
                <w:sz w:val="24"/>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 w:val="24"/>
              </w:rPr>
              <w:t>GB/T 3183</w:t>
            </w:r>
            <w:r>
              <w:rPr>
                <w:rFonts w:hint="eastAsia"/>
                <w:sz w:val="24"/>
              </w:rPr>
              <w:fldChar w:fldCharType="end"/>
            </w:r>
            <w:r>
              <w:rPr>
                <w:rFonts w:hint="eastAsia"/>
                <w:sz w:val="24"/>
              </w:rPr>
              <w:t>-2017</w:t>
            </w:r>
          </w:p>
          <w:p>
            <w:pPr>
              <w:snapToGrid w:val="0"/>
              <w:jc w:val="center"/>
              <w:rPr>
                <w:sz w:val="24"/>
              </w:rPr>
            </w:pPr>
            <w:r>
              <w:rPr>
                <w:rFonts w:hint="eastAsia"/>
                <w:sz w:val="24"/>
              </w:rPr>
              <w:t>GB/T 17671-1999</w:t>
            </w:r>
          </w:p>
          <w:p>
            <w:pPr>
              <w:snapToGrid w:val="0"/>
              <w:jc w:val="center"/>
              <w:rPr>
                <w:color w:val="FF0000"/>
                <w:sz w:val="24"/>
              </w:rPr>
            </w:pPr>
            <w:r>
              <w:rPr>
                <w:rFonts w:hint="eastAsia"/>
                <w:sz w:val="24"/>
              </w:rPr>
              <w:t>GB/T 2419-2005</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napToGrid w:val="0"/>
              <w:jc w:val="center"/>
              <w:rPr>
                <w:rFonts w:ascii="仿宋_GB2312" w:hAnsi="仿宋_GB2312" w:cs="仿宋_GB2312"/>
                <w:color w:val="000000"/>
                <w:sz w:val="24"/>
              </w:rPr>
            </w:pPr>
            <w:r>
              <w:rPr>
                <w:rFonts w:hint="eastAsia" w:ascii="仿宋_GB2312" w:hAnsi="仿宋_GB2312" w:cs="仿宋_GB2312"/>
                <w:sz w:val="24"/>
              </w:rPr>
              <w:t>9</w:t>
            </w:r>
          </w:p>
        </w:tc>
        <w:tc>
          <w:tcPr>
            <w:tcW w:w="990" w:type="dxa"/>
            <w:vAlign w:val="center"/>
          </w:tcPr>
          <w:p>
            <w:pPr>
              <w:snapToGrid w:val="0"/>
              <w:jc w:val="center"/>
              <w:rPr>
                <w:rFonts w:ascii="仿宋_GB2312" w:hAnsi="仿宋_GB2312" w:cs="仿宋_GB2312"/>
                <w:color w:val="000000"/>
                <w:sz w:val="24"/>
              </w:rPr>
            </w:pPr>
            <w:r>
              <w:rPr>
                <w:rFonts w:hint="eastAsia" w:ascii="仿宋_GB2312" w:hAnsi="仿宋_GB2312" w:cs="仿宋_GB2312"/>
                <w:color w:val="000000"/>
                <w:sz w:val="24"/>
              </w:rPr>
              <w:t>放射性</w:t>
            </w:r>
          </w:p>
        </w:tc>
        <w:tc>
          <w:tcPr>
            <w:tcW w:w="1416" w:type="dxa"/>
            <w:vAlign w:val="center"/>
          </w:tcPr>
          <w:p>
            <w:pPr>
              <w:snapToGrid w:val="0"/>
              <w:jc w:val="center"/>
              <w:rPr>
                <w:sz w:val="24"/>
              </w:rPr>
            </w:pPr>
            <w:r>
              <w:rPr>
                <w:rFonts w:hint="eastAsia"/>
                <w:sz w:val="24"/>
              </w:rPr>
              <w:t>GB 6566-2010</w:t>
            </w: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r>
              <w:rPr>
                <w:rFonts w:hint="eastAsia" w:ascii="仿宋_GB2312" w:hAnsi="仿宋_GB2312" w:cs="仿宋_GB2312"/>
                <w:sz w:val="24"/>
              </w:rPr>
              <w:t>●</w:t>
            </w:r>
          </w:p>
        </w:tc>
        <w:tc>
          <w:tcPr>
            <w:tcW w:w="1131" w:type="dxa"/>
            <w:vAlign w:val="center"/>
          </w:tcPr>
          <w:p>
            <w:pPr>
              <w:snapToGrid w:val="0"/>
              <w:jc w:val="center"/>
              <w:rPr>
                <w:rFonts w:ascii="仿宋_GB2312" w:hAnsi="仿宋_GB2312" w:cs="仿宋_GB2312"/>
                <w:sz w:val="24"/>
              </w:rPr>
            </w:pPr>
          </w:p>
        </w:tc>
        <w:tc>
          <w:tcPr>
            <w:tcW w:w="1131" w:type="dxa"/>
            <w:vAlign w:val="center"/>
          </w:tcPr>
          <w:p>
            <w:pPr>
              <w:snapToGrid w:val="0"/>
              <w:jc w:val="center"/>
              <w:rPr>
                <w:rFonts w:ascii="仿宋_GB2312" w:hAnsi="仿宋_GB2312" w:cs="仿宋_GB2312"/>
                <w:sz w:val="24"/>
              </w:rPr>
            </w:pPr>
          </w:p>
        </w:tc>
      </w:tr>
    </w:tbl>
    <w:p>
      <w:pPr>
        <w:adjustRightInd w:val="0"/>
        <w:snapToGrid w:val="0"/>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注：执行企业标准、团体标准、地方标准的产品，检验项目参照上述内容执行。</w:t>
      </w:r>
    </w:p>
    <w:p>
      <w:pPr>
        <w:adjustRightInd w:val="0"/>
        <w:snapToGrid w:val="0"/>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凡是注日期的文件，其随后所有的修改单（不包括勘误的内容）或修订版不适用于本细则。凡是不注日期的文件，其最新版本适用于本细则。</w:t>
      </w:r>
    </w:p>
    <w:p>
      <w:pPr>
        <w:spacing w:line="600" w:lineRule="exact"/>
        <w:rPr>
          <w:rFonts w:eastAsia="黑体"/>
          <w:color w:val="000000"/>
          <w:szCs w:val="21"/>
        </w:rPr>
      </w:pPr>
      <w:r>
        <w:rPr>
          <w:rFonts w:hint="eastAsia" w:eastAsia="黑体"/>
          <w:color w:val="000000"/>
          <w:szCs w:val="21"/>
        </w:rPr>
        <w:t xml:space="preserve">    三、</w:t>
      </w:r>
      <w:r>
        <w:rPr>
          <w:rFonts w:eastAsia="黑体"/>
          <w:color w:val="000000"/>
          <w:szCs w:val="21"/>
        </w:rPr>
        <w:t>判定规则</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（一）依据标准</w:t>
      </w:r>
    </w:p>
    <w:p>
      <w:pPr>
        <w:numPr>
          <w:ilvl w:val="0"/>
          <w:numId w:val="1"/>
        </w:numPr>
        <w:snapToGrid w:val="0"/>
        <w:spacing w:line="600" w:lineRule="exact"/>
        <w:ind w:firstLine="640" w:firstLineChars="200"/>
      </w:pPr>
      <w:r>
        <w:rPr>
          <w:rFonts w:hint="eastAsia"/>
        </w:rPr>
        <w:t>强制性标准</w:t>
      </w:r>
    </w:p>
    <w:p>
      <w:pPr>
        <w:snapToGrid w:val="0"/>
        <w:spacing w:line="600" w:lineRule="exact"/>
        <w:ind w:firstLine="640" w:firstLineChars="200"/>
        <w:rPr>
          <w:color w:val="000000"/>
          <w:szCs w:val="21"/>
        </w:rPr>
      </w:pPr>
      <w:r>
        <w:t>GB 175-2007 通用硅酸盐水泥</w:t>
      </w:r>
    </w:p>
    <w:p>
      <w:pPr>
        <w:snapToGrid w:val="0"/>
        <w:spacing w:line="600" w:lineRule="exact"/>
        <w:ind w:firstLine="640" w:firstLineChars="200"/>
      </w:pPr>
      <w:r>
        <w:t>GB 6566-2010 建筑材料放射性核素限量</w:t>
      </w:r>
    </w:p>
    <w:p>
      <w:pPr>
        <w:snapToGrid w:val="0"/>
        <w:spacing w:line="600" w:lineRule="exact"/>
        <w:ind w:firstLine="640" w:firstLineChars="200"/>
      </w:pPr>
      <w:r>
        <w:t>GB 31893-2015 水泥中水溶性铬（</w:t>
      </w:r>
      <w:r>
        <w:rPr>
          <w:rFonts w:hint="eastAsia" w:ascii="宋体" w:hAnsi="宋体" w:eastAsia="宋体" w:cs="宋体"/>
        </w:rPr>
        <w:t>Ⅵ</w:t>
      </w:r>
      <w:r>
        <w:t>）的限量及测定方法</w:t>
      </w:r>
    </w:p>
    <w:p>
      <w:pPr>
        <w:pStyle w:val="2"/>
        <w:spacing w:line="600" w:lineRule="exact"/>
        <w:jc w:val="both"/>
        <w:rPr>
          <w:rFonts w:ascii="Times New Roman" w:eastAsia="仿宋_GB2312"/>
          <w:kern w:val="2"/>
          <w:sz w:val="32"/>
        </w:rPr>
      </w:pPr>
      <w:r>
        <w:rPr>
          <w:rFonts w:hint="eastAsia" w:ascii="Times New Roman" w:eastAsia="仿宋_GB2312"/>
          <w:kern w:val="2"/>
          <w:sz w:val="32"/>
        </w:rPr>
        <w:t xml:space="preserve">    2.推荐性标准</w:t>
      </w:r>
    </w:p>
    <w:p>
      <w:pPr>
        <w:snapToGrid w:val="0"/>
        <w:spacing w:line="600" w:lineRule="exact"/>
        <w:ind w:firstLine="547" w:firstLineChars="171"/>
        <w:rPr>
          <w:color w:val="000000"/>
          <w:szCs w:val="21"/>
        </w:rPr>
      </w:pPr>
      <w:r>
        <w:fldChar w:fldCharType="begin"/>
      </w:r>
      <w:r>
        <w:instrText xml:space="preserve"> HYPERLINK "javascript:__doPostBack('ctl00$ctl00$ContentPlaceHolder1$ContentPlaceHolder1$rptStandard$ctl00$lbtnDetail','')" \o "点击查看标准详细信息" </w:instrText>
      </w:r>
      <w:r>
        <w:fldChar w:fldCharType="separate"/>
      </w:r>
      <w:r>
        <w:t>GB/T 3183</w:t>
      </w:r>
      <w:r>
        <w:fldChar w:fldCharType="end"/>
      </w:r>
      <w:r>
        <w:t>-2017 砌筑水泥</w:t>
      </w:r>
      <w:r>
        <w:rPr>
          <w:color w:val="000000"/>
          <w:szCs w:val="21"/>
        </w:rPr>
        <w:t xml:space="preserve"> </w:t>
      </w:r>
    </w:p>
    <w:p>
      <w:pPr>
        <w:snapToGrid w:val="0"/>
        <w:spacing w:line="600" w:lineRule="exact"/>
        <w:ind w:firstLine="547" w:firstLineChars="171"/>
        <w:rPr>
          <w:color w:val="000000"/>
          <w:szCs w:val="21"/>
        </w:rPr>
      </w:pPr>
      <w:r>
        <w:rPr>
          <w:color w:val="000000"/>
          <w:szCs w:val="21"/>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600" w:lineRule="exact"/>
        <w:ind w:firstLine="640" w:firstLineChars="200"/>
        <w:rPr>
          <w:color w:val="000000"/>
          <w:szCs w:val="21"/>
        </w:rPr>
      </w:pPr>
      <w:r>
        <w:rPr>
          <w:color w:val="000000"/>
          <w:szCs w:val="21"/>
        </w:rPr>
        <w:t>经检验，检验项目全部合格，判定为被抽查产品</w:t>
      </w:r>
      <w:r>
        <w:rPr>
          <w:rFonts w:hint="eastAsia"/>
          <w:color w:val="000000"/>
          <w:szCs w:val="21"/>
        </w:rPr>
        <w:t>所检项目未发现不</w:t>
      </w:r>
      <w:r>
        <w:rPr>
          <w:color w:val="000000"/>
          <w:szCs w:val="21"/>
        </w:rPr>
        <w:t>合格；检验项目中任一项或一项以上不合格，判定为被抽查产品不合格。</w:t>
      </w:r>
    </w:p>
    <w:p>
      <w:pPr>
        <w:snapToGrid w:val="0"/>
        <w:spacing w:line="600" w:lineRule="exact"/>
        <w:ind w:firstLine="636"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600" w:lineRule="exact"/>
        <w:ind w:firstLine="636"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600" w:lineRule="exact"/>
        <w:ind w:firstLine="636"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600" w:lineRule="exact"/>
        <w:ind w:firstLine="636"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600" w:lineRule="exact"/>
        <w:ind w:firstLine="636" w:firstLineChars="199"/>
      </w:pPr>
      <w:r>
        <w:rPr>
          <w:color w:val="000000"/>
          <w:szCs w:val="21"/>
        </w:rPr>
        <w:t>若被检产品明示的质量要求缺少本细则中检验项目依据的推荐性标准要求时，该项目不参与判定</w:t>
      </w:r>
      <w:r>
        <w:rPr>
          <w:rFonts w:hint="eastAsia"/>
          <w:color w:val="00000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44CA7"/>
    <w:multiLevelType w:val="singleLevel"/>
    <w:tmpl w:val="01544CA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mY1ODNmNDMyYjQ5NWNmOTU3NTQzZTVjOTNkMjAifQ=="/>
  </w:docVars>
  <w:rsids>
    <w:rsidRoot w:val="4E2439EC"/>
    <w:rsid w:val="00240E31"/>
    <w:rsid w:val="006B1217"/>
    <w:rsid w:val="00BC2B66"/>
    <w:rsid w:val="026E32AF"/>
    <w:rsid w:val="21DD06FC"/>
    <w:rsid w:val="2BEA0442"/>
    <w:rsid w:val="33D13947"/>
    <w:rsid w:val="3DA022CD"/>
    <w:rsid w:val="3E7914DF"/>
    <w:rsid w:val="41457CF0"/>
    <w:rsid w:val="4E2439EC"/>
    <w:rsid w:val="4F6254E9"/>
    <w:rsid w:val="5A381B90"/>
    <w:rsid w:val="67523A8F"/>
    <w:rsid w:val="6C573536"/>
    <w:rsid w:val="72D60F5E"/>
    <w:rsid w:val="75FFE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eastAsia="仿宋_GB2312"/>
      <w:kern w:val="2"/>
      <w:sz w:val="18"/>
      <w:szCs w:val="18"/>
    </w:rPr>
  </w:style>
  <w:style w:type="character" w:customStyle="1" w:styleId="9">
    <w:name w:val="页脚 字符"/>
    <w:basedOn w:val="7"/>
    <w:link w:val="4"/>
    <w:qFormat/>
    <w:uiPriority w:val="0"/>
    <w:rPr>
      <w:rFonts w:eastAsia="仿宋_GB2312"/>
      <w:kern w:val="2"/>
      <w:sz w:val="18"/>
      <w:szCs w:val="18"/>
    </w:rPr>
  </w:style>
  <w:style w:type="character" w:customStyle="1" w:styleId="10">
    <w:name w:val="批注框文本 字符"/>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Words>
  <Characters>1701</Characters>
  <Lines>14</Lines>
  <Paragraphs>3</Paragraphs>
  <TotalTime>2</TotalTime>
  <ScaleCrop>false</ScaleCrop>
  <LinksUpToDate>false</LinksUpToDate>
  <CharactersWithSpaces>1996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2021-06-02T19:29:00Z</dcterms:created>
  <dc:creator>YWB</dc:creator>
  <cp:lastModifiedBy>greatwall</cp:lastModifiedBy>
  <dcterms:modified xsi:type="dcterms:W3CDTF">2023-08-30T15:22:39Z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1B95FFCF43AA43EF90DD08BFD6ED4A67_12</vt:lpwstr>
  </property>
</Properties>
</file>