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项目绩效自评报告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项目名称：公积金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业务经费</w:t>
      </w:r>
      <w:r>
        <w:rPr>
          <w:rFonts w:hint="eastAsia" w:ascii="文星仿宋" w:hAnsi="文星仿宋" w:eastAsia="文星仿宋" w:cs="文星仿宋"/>
          <w:sz w:val="32"/>
          <w:szCs w:val="32"/>
        </w:rPr>
        <w:t>项目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市级项目主管部门：梅州市住房公积金管理中心（公章）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填报人姓名：黄苑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联系电话：0753-2283269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填报日期：202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6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30</w:t>
      </w:r>
      <w:r>
        <w:rPr>
          <w:rFonts w:hint="eastAsia" w:ascii="文星仿宋" w:hAnsi="文星仿宋" w:eastAsia="文星仿宋" w:cs="文星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黑体" w:eastAsia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Chars="0"/>
        <w:textAlignment w:val="auto"/>
        <w:rPr>
          <w:rFonts w:hint="eastAsia" w:ascii="文星黑体" w:hAnsi="文星黑体" w:eastAsia="文星黑体" w:cs="文星黑体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文星楷体" w:hAnsi="文星楷体" w:eastAsia="文星楷体" w:cs="文星楷体"/>
          <w:sz w:val="32"/>
          <w:szCs w:val="32"/>
        </w:rPr>
      </w:pPr>
      <w:r>
        <w:rPr>
          <w:rFonts w:hint="eastAsia" w:ascii="文星楷体" w:hAnsi="文星楷体" w:eastAsia="文星楷体" w:cs="文星楷体"/>
          <w:sz w:val="32"/>
          <w:szCs w:val="32"/>
        </w:rPr>
        <w:t>（一）项目基本情况</w:t>
      </w:r>
    </w:p>
    <w:p>
      <w:pPr>
        <w:pStyle w:val="10"/>
        <w:keepNext w:val="0"/>
        <w:keepLines w:val="0"/>
        <w:pageBreakBefore w:val="0"/>
        <w:tabs>
          <w:tab w:val="left" w:pos="1022"/>
        </w:tabs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202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公积金业务经费</w:t>
      </w:r>
      <w:r>
        <w:rPr>
          <w:rFonts w:hint="eastAsia" w:ascii="文星仿宋" w:hAnsi="文星仿宋" w:eastAsia="文星仿宋" w:cs="文星仿宋"/>
          <w:sz w:val="32"/>
          <w:szCs w:val="32"/>
        </w:rPr>
        <w:t>项目资金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全年预算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399.03</w:t>
      </w:r>
      <w:r>
        <w:rPr>
          <w:rFonts w:hint="eastAsia" w:ascii="文星仿宋" w:hAnsi="文星仿宋" w:eastAsia="文星仿宋" w:cs="文星仿宋"/>
          <w:sz w:val="32"/>
          <w:szCs w:val="32"/>
        </w:rPr>
        <w:t>万元，实际下达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公积金业务经费</w:t>
      </w:r>
      <w:r>
        <w:rPr>
          <w:rFonts w:hint="eastAsia" w:ascii="文星仿宋" w:hAnsi="文星仿宋" w:eastAsia="文星仿宋" w:cs="文星仿宋"/>
          <w:sz w:val="32"/>
          <w:szCs w:val="32"/>
        </w:rPr>
        <w:t>项目资金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399.03</w:t>
      </w:r>
      <w:bookmarkStart w:id="20" w:name="_GoBack"/>
      <w:bookmarkEnd w:id="20"/>
      <w:r>
        <w:rPr>
          <w:rFonts w:hint="eastAsia" w:ascii="文星仿宋" w:hAnsi="文星仿宋" w:eastAsia="文星仿宋" w:cs="文星仿宋"/>
          <w:sz w:val="32"/>
          <w:szCs w:val="32"/>
        </w:rPr>
        <w:t>万元，该项目是为保障梅州市住房公积金管理中心机构正常运转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而设立的专项工作经费，而非真正意义上的项目。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文星楷体" w:hAnsi="文星楷体" w:eastAsia="文星楷体" w:cs="文星楷体"/>
          <w:sz w:val="32"/>
          <w:szCs w:val="32"/>
        </w:rPr>
      </w:pPr>
      <w:r>
        <w:rPr>
          <w:rFonts w:hint="eastAsia" w:ascii="文星楷体" w:hAnsi="文星楷体" w:eastAsia="文星楷体" w:cs="文星楷体"/>
          <w:sz w:val="32"/>
          <w:szCs w:val="32"/>
        </w:rPr>
        <w:t>（二）项目决策情况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02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 w:bidi="ar-SA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 w:bidi="ar-SA"/>
        </w:rPr>
        <w:t>按照梅市机编发[2021]58号文《梅州市住房公积金管理中心机构编制方案》，我中心负责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贯彻执行国家、省、市有关住房公积金管理的政策、法律和法规；组织实施本市住房公积金业务管理办法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；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编制、执行全市住房公积金的归集、使用计划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；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负责记载全市职工住房公积金的缴存、提取、使用等情况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；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负责全市住房公积金的核算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；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负责审批全市住房公积金的提取、使用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；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负责全市住房公积金的保值和归还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；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负责编制住房公积金归集、使用计划执行情况的报告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；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负责承办住房公积金管理委员会决定的其他事项；负责承办市委、市政府和上级业务主管部门交办的其他任务。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为履行中心工作职责，保障机构正常运转，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 w:bidi="ar-SA"/>
        </w:rPr>
        <w:t>不断提升住房公积金管理服务效率，推动我市住房公积金事业不断向前发展，特设立此专项工作经费。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60" w:lineRule="exact"/>
        <w:ind w:firstLine="640" w:firstLineChars="200"/>
        <w:textAlignment w:val="auto"/>
        <w:rPr>
          <w:rFonts w:hint="eastAsia" w:ascii="文星楷体" w:hAnsi="文星楷体" w:eastAsia="文星楷体" w:cs="文星楷体"/>
          <w:sz w:val="32"/>
          <w:szCs w:val="32"/>
        </w:rPr>
      </w:pPr>
      <w:r>
        <w:rPr>
          <w:rFonts w:hint="eastAsia" w:ascii="文星楷体" w:hAnsi="文星楷体" w:eastAsia="文星楷体" w:cs="文星楷体"/>
          <w:sz w:val="32"/>
          <w:szCs w:val="32"/>
        </w:rPr>
        <w:t>（三）绩效目标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color w:val="auto"/>
          <w:sz w:val="32"/>
          <w:szCs w:val="32"/>
        </w:rPr>
      </w:pPr>
      <w:r>
        <w:rPr>
          <w:rFonts w:hint="eastAsia" w:ascii="文星仿宋" w:hAnsi="文星仿宋" w:eastAsia="文星仿宋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一是保证本单位机构正常运转，有效发挥住房公积金管理中心的职能作用；二是促进城镇化住房建设，为职工解决住房问题、改善职工住房条件提供资金支持；三是有效防范和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</w:rPr>
        <w:t>化解资金流动性风险和贷款逾期风险，确保资金安全有效运行；四是加大租房提取住房公积金支持力度、支持缴存人贷款购买首套普通自住住房特别是共有产权住房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  <w:lang w:eastAsia="zh-CN"/>
        </w:rPr>
        <w:t>，推动我市房地产市场平稳健康发展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Chars="0"/>
        <w:textAlignment w:val="auto"/>
        <w:rPr>
          <w:rFonts w:hint="eastAsia" w:ascii="文星黑体" w:hAnsi="文星黑体" w:eastAsia="文星黑体" w:cs="文星黑体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绩效自评工作组织情况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为加强财政资金的使用管理，提升财政资金使用绩效和科学化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、</w:t>
      </w:r>
      <w:r>
        <w:rPr>
          <w:rFonts w:hint="eastAsia" w:ascii="文星仿宋" w:hAnsi="文星仿宋" w:eastAsia="文星仿宋" w:cs="文星仿宋"/>
          <w:sz w:val="32"/>
          <w:szCs w:val="32"/>
        </w:rPr>
        <w:t>精细化管理水平，我中心组织开展了202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</w:rPr>
        <w:t>年度财政资金绩效自评工作，认真学习绩效自评相关文件，逐条核对绩效评价表数据，认真查阅各部门提供的佐证材料，分析中心绩效目标完成情况。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文星黑体" w:hAnsi="文星黑体" w:eastAsia="文星黑体" w:cs="文星黑体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三、绩效自评结论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按照《项目绩效自评信息指标评分表》的评价指标，我中心进行了认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</w:rPr>
        <w:t>真的自评分析，其中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  <w:lang w:eastAsia="zh-CN"/>
        </w:rPr>
        <w:t>业务经费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</w:rPr>
        <w:t>专项资金自评等级优秀，自评分数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黑体" w:hAnsi="文星黑体" w:eastAsia="文星黑体" w:cs="文星黑体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四、绩效指标分析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楷体" w:hAnsi="文星楷体" w:eastAsia="文星楷体" w:cs="文星楷体"/>
          <w:b w:val="0"/>
          <w:bCs/>
          <w:color w:val="000000"/>
          <w:sz w:val="32"/>
          <w:szCs w:val="32"/>
        </w:rPr>
      </w:pPr>
      <w:r>
        <w:rPr>
          <w:rFonts w:hint="eastAsia" w:ascii="文星楷体" w:hAnsi="文星楷体" w:eastAsia="文星楷体" w:cs="文星楷体"/>
          <w:b w:val="0"/>
          <w:bCs/>
          <w:sz w:val="32"/>
          <w:szCs w:val="32"/>
        </w:rPr>
        <w:t>（一）</w:t>
      </w:r>
      <w:r>
        <w:rPr>
          <w:rFonts w:hint="eastAsia" w:ascii="文星楷体" w:hAnsi="文星楷体" w:eastAsia="文星楷体" w:cs="文星楷体"/>
          <w:b w:val="0"/>
          <w:bCs/>
          <w:color w:val="000000"/>
          <w:sz w:val="32"/>
          <w:szCs w:val="32"/>
        </w:rPr>
        <w:t>决策分析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</w:rPr>
        <w:t>1.项目立项情况</w:t>
      </w:r>
    </w:p>
    <w:p>
      <w:pPr>
        <w:pStyle w:val="10"/>
        <w:keepNext w:val="0"/>
        <w:keepLines w:val="0"/>
        <w:pageBreakBefore w:val="0"/>
        <w:tabs>
          <w:tab w:val="left" w:pos="1022"/>
        </w:tabs>
        <w:kinsoku/>
        <w:wordWrap/>
        <w:overflowPunct w:val="0"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 w:bidi="ar-SA"/>
        </w:rPr>
        <w:t>（1）论证决策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topLinePunct w:val="0"/>
        <w:autoSpaceDE/>
        <w:autoSpaceDN/>
        <w:bidi w:val="0"/>
        <w:spacing w:before="75" w:beforeAutospacing="0" w:after="75" w:afterAutospacing="0"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该项目根据《住房公积金管理条例》第30条规定及梅市机编发[2021]58号文《梅州市住房公积金管理中心机构编制方案》进行立项，符合法律法规，贴合相关政策，符合梅州市住房公积金管理中心的发展规划。</w:t>
      </w:r>
    </w:p>
    <w:p>
      <w:pPr>
        <w:pStyle w:val="10"/>
        <w:keepNext w:val="0"/>
        <w:keepLines w:val="0"/>
        <w:pageBreakBefore w:val="0"/>
        <w:tabs>
          <w:tab w:val="left" w:pos="1022"/>
        </w:tabs>
        <w:kinsoku/>
        <w:wordWrap/>
        <w:overflowPunct w:val="0"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 w:bidi="ar-SA"/>
        </w:rPr>
        <w:t>（2）目标设置</w:t>
      </w:r>
    </w:p>
    <w:p>
      <w:pPr>
        <w:keepNext w:val="0"/>
        <w:keepLines w:val="0"/>
        <w:pageBreakBefore w:val="0"/>
        <w:tabs>
          <w:tab w:val="left" w:pos="1022"/>
        </w:tabs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绩效目标是预算编制的前提和基础，我中心在年初预算编制阶段，对公积金管理经费按要求编制了绩效目标，从项目完成、项目效益、满意度等方面设置了绩效指标，综合反映项目预期完成的数量、成本、时效、质量，预期达到的社会效益、经济效益、生态效益、可持续影响以及服务对象满意度等情况</w:t>
      </w:r>
      <w:r>
        <w:rPr>
          <w:rFonts w:hint="eastAsia" w:ascii="文星仿宋" w:hAnsi="文星仿宋" w:eastAsia="文星仿宋" w:cs="文星仿宋"/>
          <w:color w:val="000000"/>
          <w:sz w:val="30"/>
          <w:szCs w:val="30"/>
          <w:shd w:val="clear" w:color="auto" w:fill="FFFFFF"/>
          <w:lang w:val="zh-TW" w:bidi="zh-TW"/>
        </w:rPr>
        <w:t xml:space="preserve">。 </w:t>
      </w:r>
    </w:p>
    <w:p>
      <w:pPr>
        <w:pStyle w:val="10"/>
        <w:keepNext w:val="0"/>
        <w:keepLines w:val="0"/>
        <w:pageBreakBefore w:val="0"/>
        <w:tabs>
          <w:tab w:val="left" w:pos="1022"/>
        </w:tabs>
        <w:kinsoku/>
        <w:wordWrap/>
        <w:overflowPunct w:val="0"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 w:bidi="ar-SA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 w:bidi="ar-SA"/>
        </w:rPr>
        <w:t>（3）保障措施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为完成目标任务，我中心主要抓好以下工作：一是</w:t>
      </w:r>
      <w:r>
        <w:rPr>
          <w:rFonts w:hint="eastAsia" w:ascii="文星仿宋" w:hAnsi="文星仿宋" w:eastAsia="文星仿宋" w:cs="文星仿宋"/>
          <w:sz w:val="32"/>
          <w:szCs w:val="32"/>
          <w:lang w:bidi="zh-TW"/>
        </w:rPr>
        <w:t>精心组织推进党史学习教育活动</w:t>
      </w:r>
      <w:r>
        <w:rPr>
          <w:rFonts w:hint="eastAsia" w:ascii="文星仿宋" w:hAnsi="文星仿宋" w:eastAsia="文星仿宋" w:cs="文星仿宋"/>
          <w:sz w:val="32"/>
          <w:szCs w:val="32"/>
        </w:rPr>
        <w:t>，注重调动全中心党员干部的参与热情，重点提高党史学习教育质量，积极促进为群众办实事解难题的效果；二是切实做好意识形态工作，积极培育和践行社会主义核心价值观，积极研究和探索新形势下意识形态工作的特点和规律，以广大党员为抓手，以宣传思想工作为载体，加强和改进意识形态领域工作；三是通过细化分解落实归集扩面任务，进园区扩面宣传，形成部门工作合力，稳步推进归集扩面工作，把更多的缴存职工纳入住房公积金制度保障范畴；四是通过深入推进审批服务便民化、积极出台政策优化营商环境、增设服务网点等措施，进一步深化“放管服”改革；五是按照2020年12月市委办、市府办联合印发实施《梅州市住房公积金管理机构调整工作方案》（[2020]147号文）的要求有序推进我市住房公积金管理机构调整工作。</w:t>
      </w:r>
    </w:p>
    <w:p>
      <w:pPr>
        <w:pStyle w:val="10"/>
        <w:keepNext w:val="0"/>
        <w:keepLines w:val="0"/>
        <w:pageBreakBefore w:val="0"/>
        <w:tabs>
          <w:tab w:val="left" w:pos="1029"/>
        </w:tabs>
        <w:kinsoku/>
        <w:wordWrap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</w:rPr>
        <w:t>资金落实情况</w:t>
      </w:r>
    </w:p>
    <w:p>
      <w:pPr>
        <w:pStyle w:val="10"/>
        <w:keepNext w:val="0"/>
        <w:keepLines w:val="0"/>
        <w:pageBreakBefore w:val="0"/>
        <w:tabs>
          <w:tab w:val="left" w:pos="1508"/>
        </w:tabs>
        <w:kinsoku/>
        <w:wordWrap/>
        <w:overflowPunct w:val="0"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 w:bidi="ar-SA"/>
        </w:rPr>
        <w:t>（1）资金到位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公积金业务经费项目全年预算为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399.03万元。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b/>
          <w:bCs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</w:rPr>
        <w:t>（2）资金分配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202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</w:rPr>
        <w:t>年预算支出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399.03</w:t>
      </w:r>
      <w:r>
        <w:rPr>
          <w:rFonts w:hint="eastAsia" w:ascii="文星仿宋" w:hAnsi="文星仿宋" w:eastAsia="文星仿宋" w:cs="文星仿宋"/>
          <w:sz w:val="32"/>
          <w:szCs w:val="32"/>
        </w:rPr>
        <w:t>万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元</w:t>
      </w:r>
      <w:r>
        <w:rPr>
          <w:rFonts w:hint="eastAsia" w:ascii="文星仿宋" w:hAnsi="文星仿宋" w:eastAsia="文星仿宋" w:cs="文星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楷体" w:hAnsi="文星楷体" w:eastAsia="文星楷体" w:cs="文星楷体"/>
          <w:b w:val="0"/>
          <w:bCs/>
          <w:sz w:val="32"/>
          <w:szCs w:val="32"/>
        </w:rPr>
      </w:pPr>
      <w:r>
        <w:rPr>
          <w:rFonts w:hint="eastAsia" w:ascii="文星楷体" w:hAnsi="文星楷体" w:eastAsia="文星楷体" w:cs="文星楷体"/>
          <w:b w:val="0"/>
          <w:bCs/>
          <w:sz w:val="32"/>
          <w:szCs w:val="32"/>
        </w:rPr>
        <w:t>（二）管理分析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b/>
          <w:bCs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</w:rPr>
        <w:t>1.资金管理。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b/>
          <w:bCs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</w:rPr>
        <w:t>（1）资金支付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202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</w:rPr>
        <w:t>年实际支出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399.03</w:t>
      </w:r>
      <w:r>
        <w:rPr>
          <w:rFonts w:hint="eastAsia" w:ascii="文星仿宋" w:hAnsi="文星仿宋" w:eastAsia="文星仿宋" w:cs="文星仿宋"/>
          <w:sz w:val="32"/>
          <w:szCs w:val="32"/>
        </w:rPr>
        <w:t>万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元</w:t>
      </w:r>
      <w:r>
        <w:rPr>
          <w:rFonts w:hint="eastAsia" w:ascii="文星仿宋" w:hAnsi="文星仿宋" w:eastAsia="文星仿宋" w:cs="文星仿宋"/>
          <w:sz w:val="32"/>
          <w:szCs w:val="32"/>
        </w:rPr>
        <w:t>，资金支出率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100</w:t>
      </w:r>
      <w:r>
        <w:rPr>
          <w:rFonts w:hint="eastAsia" w:ascii="文星仿宋" w:hAnsi="文星仿宋" w:eastAsia="文星仿宋" w:cs="文星仿宋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b/>
          <w:bCs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</w:rPr>
        <w:t>（2）支出规范性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程序规范，资金的拨付有完整的审批程序和手续，资金使用符合项目预算批复或合同规定用途，未发现存在截留、挤占、挪用、虚列支出等情况，财务资料真实有效，会计核算规范。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</w:rPr>
        <w:t>2.事项管理。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b/>
          <w:bCs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</w:rPr>
        <w:t>（1）实施程序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各项经费支出严格执行管理费用报销审批程序，在预算范围内按照标准开支，合理安排各项预算。详见《梅州市住房公积金管理中心财务管理规定》。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b/>
          <w:bCs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</w:rPr>
        <w:t>（2）管理情况</w:t>
      </w:r>
    </w:p>
    <w:p>
      <w:pPr>
        <w:pStyle w:val="10"/>
        <w:keepNext w:val="0"/>
        <w:keepLines w:val="0"/>
        <w:pageBreakBefore w:val="0"/>
        <w:tabs>
          <w:tab w:val="left" w:pos="1503"/>
        </w:tabs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 w:bidi="ar-SA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 w:bidi="ar-SA"/>
        </w:rPr>
        <w:t>公积金中心日常业务正常运转，进一步提升服务质量和效率，为缴存职工提供优质高效服务。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楷体" w:hAnsi="文星楷体" w:eastAsia="文星楷体" w:cs="文星楷体"/>
          <w:b w:val="0"/>
          <w:bCs/>
          <w:sz w:val="32"/>
          <w:szCs w:val="32"/>
        </w:rPr>
      </w:pPr>
      <w:r>
        <w:rPr>
          <w:rFonts w:hint="eastAsia" w:ascii="文星楷体" w:hAnsi="文星楷体" w:eastAsia="文星楷体" w:cs="文星楷体"/>
          <w:b w:val="0"/>
          <w:bCs/>
          <w:sz w:val="32"/>
          <w:szCs w:val="32"/>
        </w:rPr>
        <w:t>（三）产出分析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</w:rPr>
        <w:t>1.经济性</w:t>
      </w:r>
    </w:p>
    <w:p>
      <w:pPr>
        <w:pStyle w:val="10"/>
        <w:keepNext w:val="0"/>
        <w:keepLines w:val="0"/>
        <w:pageBreakBefore w:val="0"/>
        <w:tabs>
          <w:tab w:val="left" w:pos="1503"/>
        </w:tabs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 w:bidi="ar-SA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 w:bidi="ar-SA"/>
        </w:rPr>
        <w:t>我中心严格按照制定的财务管理办法，实行多重审批控制专项经费合理支出，同时实际支付未超过预算计划。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</w:rPr>
        <w:t>2.效率性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通过本专项经费的实施，</w:t>
      </w:r>
      <w:r>
        <w:rPr>
          <w:rFonts w:hint="eastAsia" w:ascii="文星仿宋" w:hAnsi="文星仿宋" w:eastAsia="文星仿宋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保证了我中心机构正常运转，有效发挥了住房公积金管理中心的职能作用，较好的完成了本年度工作和绩效目标。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楷体" w:hAnsi="文星楷体" w:eastAsia="文星楷体" w:cs="文星楷体"/>
          <w:b w:val="0"/>
          <w:bCs/>
          <w:sz w:val="32"/>
          <w:szCs w:val="32"/>
        </w:rPr>
      </w:pPr>
      <w:r>
        <w:rPr>
          <w:rFonts w:hint="eastAsia" w:ascii="文星楷体" w:hAnsi="文星楷体" w:eastAsia="文星楷体" w:cs="文星楷体"/>
          <w:b w:val="0"/>
          <w:bCs/>
          <w:sz w:val="32"/>
          <w:szCs w:val="32"/>
        </w:rPr>
        <w:t>（四）效益实现度分析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</w:rPr>
        <w:t>1.效果性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202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文星仿宋" w:hAnsi="文星仿宋" w:eastAsia="文星仿宋" w:cs="文星仿宋"/>
          <w:sz w:val="32"/>
          <w:szCs w:val="32"/>
        </w:rPr>
        <w:t>实现可分配增值收益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17219.94</w:t>
      </w:r>
      <w:r>
        <w:rPr>
          <w:rFonts w:hint="eastAsia" w:ascii="文星仿宋" w:hAnsi="文星仿宋" w:eastAsia="文星仿宋" w:cs="文星仿宋"/>
          <w:sz w:val="32"/>
          <w:szCs w:val="32"/>
        </w:rPr>
        <w:t>万元，上缴建设城市廉租住房补充资金11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46</w:t>
      </w:r>
      <w:r>
        <w:rPr>
          <w:rFonts w:hint="eastAsia" w:ascii="文星仿宋" w:hAnsi="文星仿宋" w:eastAsia="文星仿宋" w:cs="文星仿宋"/>
          <w:sz w:val="32"/>
          <w:szCs w:val="32"/>
        </w:rPr>
        <w:t>4.6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8</w:t>
      </w:r>
      <w:r>
        <w:rPr>
          <w:rFonts w:hint="eastAsia" w:ascii="文星仿宋" w:hAnsi="文星仿宋" w:eastAsia="文星仿宋" w:cs="文星仿宋"/>
          <w:sz w:val="32"/>
          <w:szCs w:val="32"/>
        </w:rPr>
        <w:t>万元，全市累计上缴建设城市廉租住房补充资金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93180.69</w:t>
      </w:r>
      <w:r>
        <w:rPr>
          <w:rFonts w:hint="eastAsia" w:ascii="文星仿宋" w:hAnsi="文星仿宋" w:eastAsia="文星仿宋" w:cs="文星仿宋"/>
          <w:sz w:val="32"/>
          <w:szCs w:val="32"/>
        </w:rPr>
        <w:t>万元；稳步推进归集扩面工作，新增缴存人数2.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23</w:t>
      </w:r>
      <w:r>
        <w:rPr>
          <w:rFonts w:hint="eastAsia" w:ascii="文星仿宋" w:hAnsi="文星仿宋" w:eastAsia="文星仿宋" w:cs="文星仿宋"/>
          <w:sz w:val="32"/>
          <w:szCs w:val="32"/>
        </w:rPr>
        <w:t>万人；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为</w:t>
      </w:r>
      <w:r>
        <w:rPr>
          <w:rFonts w:hint="eastAsia" w:ascii="文星仿宋" w:hAnsi="文星仿宋" w:eastAsia="文星仿宋" w:cs="文星仿宋"/>
          <w:sz w:val="32"/>
          <w:szCs w:val="32"/>
        </w:rPr>
        <w:t>应对新冠肺炎疫情，我中心结合我市实际制定出台了《关于实施住房公积金阶段性支持政策的通知》（梅市公积金[2022]19号）并抓好落实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，</w:t>
      </w:r>
      <w:r>
        <w:rPr>
          <w:rFonts w:hint="eastAsia" w:ascii="文星仿宋" w:hAnsi="文星仿宋" w:eastAsia="文星仿宋" w:cs="文星仿宋"/>
          <w:sz w:val="32"/>
          <w:szCs w:val="32"/>
        </w:rPr>
        <w:t>发挥助企纾困作用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；为</w:t>
      </w:r>
      <w:r>
        <w:rPr>
          <w:rFonts w:hint="eastAsia" w:ascii="文星仿宋" w:hAnsi="文星仿宋" w:eastAsia="文星仿宋" w:cs="文星仿宋"/>
          <w:sz w:val="32"/>
          <w:szCs w:val="32"/>
        </w:rPr>
        <w:t>推动我市房地产市场平稳健康发展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，</w:t>
      </w:r>
      <w:r>
        <w:rPr>
          <w:rFonts w:hint="eastAsia" w:ascii="文星仿宋" w:hAnsi="文星仿宋" w:eastAsia="文星仿宋" w:cs="文星仿宋"/>
          <w:sz w:val="32"/>
          <w:szCs w:val="32"/>
        </w:rPr>
        <w:t>我中心与市住建局等七部门于2022年5月1日出台了《关于印发促进我市房地产平稳健康发展的若干措施的通知》（梅市建字[2022]80号），“提额度”“快放款”，一定程度上满足了缴存职工购房需求和开发商快速回笼资金的需要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firstLine="641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sz w:val="32"/>
          <w:szCs w:val="32"/>
        </w:rPr>
        <w:t>2.公平性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我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中心公积金业务</w:t>
      </w:r>
      <w:r>
        <w:rPr>
          <w:rFonts w:hint="eastAsia" w:ascii="文星仿宋" w:hAnsi="文星仿宋" w:eastAsia="文星仿宋" w:cs="文星仿宋"/>
          <w:sz w:val="32"/>
          <w:szCs w:val="32"/>
        </w:rPr>
        <w:t>经费主要用于保障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梅州市住房公积金</w:t>
      </w:r>
      <w:r>
        <w:rPr>
          <w:rFonts w:hint="eastAsia" w:ascii="文星仿宋" w:hAnsi="文星仿宋" w:eastAsia="文星仿宋" w:cs="文星仿宋"/>
          <w:sz w:val="32"/>
          <w:szCs w:val="32"/>
        </w:rPr>
        <w:t>机构的正常运转，服务对象满意度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高</w:t>
      </w:r>
      <w:r>
        <w:rPr>
          <w:rFonts w:hint="eastAsia" w:ascii="文星仿宋" w:hAnsi="文星仿宋" w:eastAsia="文星仿宋" w:cs="文星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黑体" w:hAnsi="文星黑体" w:eastAsia="文星黑体" w:cs="文星黑体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五、主要绩效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textAlignment w:val="auto"/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缴存额46.73亿元，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同比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增加4.23%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，累计缴存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总额360.87亿元；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全市住房公积金提取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35.73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同比增加3.49%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，累计提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取总额241.54亿元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；全市个贷率为85.13%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发放个人住房抵押贷款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14.62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亿元，累计发放个人住房抵押贷款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180.21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亿元，个贷余额9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5.27</w:t>
      </w: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亿元；</w:t>
      </w:r>
      <w:r>
        <w:rPr>
          <w:rFonts w:hint="eastAsia" w:ascii="文星仿宋" w:hAnsi="文星仿宋" w:eastAsia="文星仿宋" w:cs="文星仿宋"/>
          <w:bCs/>
          <w:sz w:val="32"/>
          <w:szCs w:val="32"/>
        </w:rPr>
        <w:t>2022年末发放异地贷款总额122345.10万元，异地贷款余额94213.18万元</w:t>
      </w:r>
      <w:r>
        <w:rPr>
          <w:rFonts w:hint="eastAsia" w:ascii="文星仿宋" w:hAnsi="文星仿宋" w:eastAsia="文星仿宋" w:cs="文星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文星黑体" w:hAnsi="文星黑体" w:eastAsia="文星黑体" w:cs="文星黑体"/>
          <w:color w:val="auto"/>
          <w:sz w:val="32"/>
          <w:szCs w:val="32"/>
        </w:rPr>
      </w:pPr>
      <w:r>
        <w:rPr>
          <w:rFonts w:hint="eastAsia" w:ascii="文星黑体" w:hAnsi="文星黑体" w:eastAsia="文星黑体" w:cs="文星黑体"/>
          <w:color w:val="auto"/>
          <w:sz w:val="32"/>
          <w:szCs w:val="32"/>
        </w:rPr>
        <w:t>六、存在问题</w:t>
      </w:r>
    </w:p>
    <w:p>
      <w:pPr>
        <w:keepNext w:val="0"/>
        <w:keepLines w:val="0"/>
        <w:pageBreakBefore w:val="0"/>
        <w:tabs>
          <w:tab w:val="left" w:pos="1503"/>
        </w:tabs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文星黑体" w:hAnsi="文星黑体" w:eastAsia="文星黑体" w:cs="文星黑体"/>
          <w:kern w:val="0"/>
          <w:sz w:val="30"/>
          <w:szCs w:val="30"/>
          <w:lang w:val="en-US" w:eastAsia="zh-CN" w:bidi="zh-TW"/>
        </w:rPr>
      </w:pPr>
      <w:r>
        <w:rPr>
          <w:rFonts w:hint="eastAsia" w:ascii="文星仿宋" w:hAnsi="文星仿宋" w:eastAsia="文星仿宋" w:cs="文星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>
      <w:pPr>
        <w:keepNext w:val="0"/>
        <w:keepLines w:val="0"/>
        <w:pageBreakBefore w:val="0"/>
        <w:tabs>
          <w:tab w:val="left" w:pos="1503"/>
        </w:tabs>
        <w:kinsoku/>
        <w:wordWrap/>
        <w:overflowPunct w:val="0"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eastAsia" w:ascii="文星黑体" w:hAnsi="文星黑体" w:eastAsia="文星黑体" w:cs="文星黑体"/>
          <w:kern w:val="0"/>
          <w:sz w:val="30"/>
          <w:szCs w:val="30"/>
          <w:lang w:val="zh-TW" w:bidi="zh-TW"/>
        </w:rPr>
      </w:pPr>
      <w:r>
        <w:rPr>
          <w:rFonts w:hint="eastAsia" w:ascii="文星黑体" w:hAnsi="文星黑体" w:eastAsia="文星黑体" w:cs="文星黑体"/>
          <w:kern w:val="0"/>
          <w:sz w:val="30"/>
          <w:szCs w:val="30"/>
          <w:lang w:val="zh-TW" w:eastAsia="zh-TW" w:bidi="zh-TW"/>
        </w:rPr>
        <w:t>七、下一步工作计划</w:t>
      </w:r>
      <w:bookmarkStart w:id="0" w:name="bookmark125"/>
      <w:bookmarkEnd w:id="0"/>
      <w:bookmarkStart w:id="1" w:name="bookmark128"/>
      <w:bookmarkEnd w:id="1"/>
      <w:bookmarkStart w:id="2" w:name="bookmark124"/>
      <w:bookmarkEnd w:id="2"/>
      <w:bookmarkStart w:id="3" w:name="bookmark114"/>
      <w:bookmarkEnd w:id="3"/>
      <w:bookmarkStart w:id="4" w:name="bookmark120"/>
      <w:bookmarkEnd w:id="4"/>
      <w:bookmarkStart w:id="5" w:name="bookmark116"/>
      <w:bookmarkEnd w:id="5"/>
      <w:bookmarkStart w:id="6" w:name="bookmark108"/>
      <w:bookmarkEnd w:id="6"/>
      <w:bookmarkStart w:id="7" w:name="bookmark119"/>
      <w:bookmarkEnd w:id="7"/>
      <w:bookmarkStart w:id="8" w:name="bookmark107"/>
      <w:bookmarkEnd w:id="8"/>
      <w:bookmarkStart w:id="9" w:name="bookmark126"/>
      <w:bookmarkEnd w:id="9"/>
      <w:bookmarkStart w:id="10" w:name="bookmark127"/>
      <w:bookmarkEnd w:id="10"/>
      <w:bookmarkStart w:id="11" w:name="bookmark118"/>
      <w:bookmarkEnd w:id="11"/>
      <w:bookmarkStart w:id="12" w:name="bookmark122"/>
      <w:bookmarkEnd w:id="12"/>
      <w:bookmarkStart w:id="13" w:name="bookmark117"/>
      <w:bookmarkEnd w:id="13"/>
      <w:bookmarkStart w:id="14" w:name="bookmark121"/>
      <w:bookmarkEnd w:id="14"/>
      <w:bookmarkStart w:id="15" w:name="bookmark112"/>
      <w:bookmarkEnd w:id="15"/>
      <w:bookmarkStart w:id="16" w:name="bookmark113"/>
      <w:bookmarkEnd w:id="16"/>
      <w:bookmarkStart w:id="17" w:name="bookmark115"/>
      <w:bookmarkEnd w:id="17"/>
      <w:bookmarkStart w:id="18" w:name="bookmark123"/>
      <w:bookmarkEnd w:id="18"/>
      <w:bookmarkStart w:id="19" w:name="bookmark106"/>
      <w:bookmarkEnd w:id="19"/>
    </w:p>
    <w:p>
      <w:pPr>
        <w:keepNext w:val="0"/>
        <w:keepLines w:val="0"/>
        <w:pageBreakBefore w:val="0"/>
        <w:tabs>
          <w:tab w:val="left" w:pos="1503"/>
        </w:tabs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0"/>
          <w:sz w:val="30"/>
          <w:szCs w:val="30"/>
          <w:lang w:val="zh-TW" w:bidi="zh-TW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我中心将加强与财政部门的沟通协调，保证专项足额资金到位，同时进一步加强预算管理，加快工作进度，提高财政资金的使用效益，确保公积金业务正常有序开展。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420" w:firstLineChars="200"/>
        <w:textAlignment w:val="auto"/>
        <w:rPr>
          <w:rFonts w:hint="eastAsia" w:ascii="文星仿宋" w:hAnsi="文星仿宋" w:eastAsia="文星仿宋" w:cs="文星仿宋"/>
        </w:rPr>
      </w:pPr>
    </w:p>
    <w:sectPr>
      <w:footerReference r:id="rId3" w:type="default"/>
      <w:pgSz w:w="11906" w:h="16838"/>
      <w:pgMar w:top="141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4204C"/>
    <w:multiLevelType w:val="multilevel"/>
    <w:tmpl w:val="0024204C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eastAsia" w:ascii="文星黑体" w:hAnsi="文星黑体" w:eastAsia="文星黑体" w:cs="文星黑体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YzVlOGI2OWYyZDE3ODgwNWZjYWY5NWZjZDViY2YifQ=="/>
  </w:docVars>
  <w:rsids>
    <w:rsidRoot w:val="00DE788D"/>
    <w:rsid w:val="0001341E"/>
    <w:rsid w:val="00055F2F"/>
    <w:rsid w:val="00074B67"/>
    <w:rsid w:val="0009391A"/>
    <w:rsid w:val="000B7B06"/>
    <w:rsid w:val="000C011D"/>
    <w:rsid w:val="000D6AE8"/>
    <w:rsid w:val="000E2C52"/>
    <w:rsid w:val="000E4D97"/>
    <w:rsid w:val="000E7186"/>
    <w:rsid w:val="000F1482"/>
    <w:rsid w:val="000F1931"/>
    <w:rsid w:val="00132710"/>
    <w:rsid w:val="001519F0"/>
    <w:rsid w:val="00162576"/>
    <w:rsid w:val="001677A8"/>
    <w:rsid w:val="001714DE"/>
    <w:rsid w:val="00184140"/>
    <w:rsid w:val="001D0A35"/>
    <w:rsid w:val="001D11CE"/>
    <w:rsid w:val="00202E3E"/>
    <w:rsid w:val="00230598"/>
    <w:rsid w:val="0024298A"/>
    <w:rsid w:val="00275A08"/>
    <w:rsid w:val="00283275"/>
    <w:rsid w:val="002944DD"/>
    <w:rsid w:val="002A6C7A"/>
    <w:rsid w:val="002B3A0C"/>
    <w:rsid w:val="002B6885"/>
    <w:rsid w:val="002D19BC"/>
    <w:rsid w:val="002F7695"/>
    <w:rsid w:val="00300D97"/>
    <w:rsid w:val="0030440D"/>
    <w:rsid w:val="003241F7"/>
    <w:rsid w:val="00330104"/>
    <w:rsid w:val="003A0A6E"/>
    <w:rsid w:val="003A3375"/>
    <w:rsid w:val="003A53E9"/>
    <w:rsid w:val="003C1A29"/>
    <w:rsid w:val="003D4440"/>
    <w:rsid w:val="003F50EE"/>
    <w:rsid w:val="00401FBC"/>
    <w:rsid w:val="00415666"/>
    <w:rsid w:val="004B4183"/>
    <w:rsid w:val="00506F87"/>
    <w:rsid w:val="00522133"/>
    <w:rsid w:val="00541067"/>
    <w:rsid w:val="00543A0A"/>
    <w:rsid w:val="005656E8"/>
    <w:rsid w:val="00603A1C"/>
    <w:rsid w:val="00631199"/>
    <w:rsid w:val="006556C4"/>
    <w:rsid w:val="0069174A"/>
    <w:rsid w:val="006C1740"/>
    <w:rsid w:val="006C4017"/>
    <w:rsid w:val="00701464"/>
    <w:rsid w:val="00711F26"/>
    <w:rsid w:val="00723876"/>
    <w:rsid w:val="00742FD6"/>
    <w:rsid w:val="00780025"/>
    <w:rsid w:val="007B59AA"/>
    <w:rsid w:val="007D2E0A"/>
    <w:rsid w:val="008037F6"/>
    <w:rsid w:val="00835C69"/>
    <w:rsid w:val="00843820"/>
    <w:rsid w:val="00864971"/>
    <w:rsid w:val="00866202"/>
    <w:rsid w:val="00875649"/>
    <w:rsid w:val="008808B7"/>
    <w:rsid w:val="008930CE"/>
    <w:rsid w:val="0089755A"/>
    <w:rsid w:val="008B71FD"/>
    <w:rsid w:val="00914672"/>
    <w:rsid w:val="00914A0D"/>
    <w:rsid w:val="00964E7A"/>
    <w:rsid w:val="00994ED0"/>
    <w:rsid w:val="009B0CE7"/>
    <w:rsid w:val="009C731D"/>
    <w:rsid w:val="009E3D51"/>
    <w:rsid w:val="009E47D1"/>
    <w:rsid w:val="009F17A4"/>
    <w:rsid w:val="00A332BD"/>
    <w:rsid w:val="00A36C92"/>
    <w:rsid w:val="00A611D2"/>
    <w:rsid w:val="00A77CDC"/>
    <w:rsid w:val="00A80213"/>
    <w:rsid w:val="00A95328"/>
    <w:rsid w:val="00AC0DC8"/>
    <w:rsid w:val="00AC1C39"/>
    <w:rsid w:val="00AD54B7"/>
    <w:rsid w:val="00B2278C"/>
    <w:rsid w:val="00B43FA5"/>
    <w:rsid w:val="00B8493D"/>
    <w:rsid w:val="00B90698"/>
    <w:rsid w:val="00BE5072"/>
    <w:rsid w:val="00C41E64"/>
    <w:rsid w:val="00C50619"/>
    <w:rsid w:val="00C6301A"/>
    <w:rsid w:val="00C9666C"/>
    <w:rsid w:val="00CC21BA"/>
    <w:rsid w:val="00CD5977"/>
    <w:rsid w:val="00CD7035"/>
    <w:rsid w:val="00CE27F0"/>
    <w:rsid w:val="00D03E14"/>
    <w:rsid w:val="00D30DF4"/>
    <w:rsid w:val="00D72D26"/>
    <w:rsid w:val="00D95985"/>
    <w:rsid w:val="00DB134C"/>
    <w:rsid w:val="00DD25B7"/>
    <w:rsid w:val="00DE31BB"/>
    <w:rsid w:val="00DE788D"/>
    <w:rsid w:val="00DF0733"/>
    <w:rsid w:val="00E22985"/>
    <w:rsid w:val="00E232A6"/>
    <w:rsid w:val="00E43528"/>
    <w:rsid w:val="00E61F51"/>
    <w:rsid w:val="00E623DB"/>
    <w:rsid w:val="00E806A4"/>
    <w:rsid w:val="00E871DC"/>
    <w:rsid w:val="00E928FD"/>
    <w:rsid w:val="00E976FB"/>
    <w:rsid w:val="00EA497D"/>
    <w:rsid w:val="00EA70B6"/>
    <w:rsid w:val="00F110EE"/>
    <w:rsid w:val="00F43631"/>
    <w:rsid w:val="00F563D8"/>
    <w:rsid w:val="00F66154"/>
    <w:rsid w:val="00FA3A9C"/>
    <w:rsid w:val="00FD2D44"/>
    <w:rsid w:val="00FF2207"/>
    <w:rsid w:val="05633867"/>
    <w:rsid w:val="05F51A3D"/>
    <w:rsid w:val="0A1436BF"/>
    <w:rsid w:val="0D304EB3"/>
    <w:rsid w:val="11540125"/>
    <w:rsid w:val="127214B7"/>
    <w:rsid w:val="159229F5"/>
    <w:rsid w:val="17AB25FC"/>
    <w:rsid w:val="18096BCD"/>
    <w:rsid w:val="1881584F"/>
    <w:rsid w:val="1BD9428D"/>
    <w:rsid w:val="1EBF1203"/>
    <w:rsid w:val="208930BD"/>
    <w:rsid w:val="2229736E"/>
    <w:rsid w:val="23A35FB4"/>
    <w:rsid w:val="2CD8196A"/>
    <w:rsid w:val="2D3231C2"/>
    <w:rsid w:val="2F72D332"/>
    <w:rsid w:val="2FCE6D0D"/>
    <w:rsid w:val="341C29D0"/>
    <w:rsid w:val="3D1454FD"/>
    <w:rsid w:val="3F520043"/>
    <w:rsid w:val="42291EDF"/>
    <w:rsid w:val="436B5E59"/>
    <w:rsid w:val="48E76259"/>
    <w:rsid w:val="4FC91BBE"/>
    <w:rsid w:val="50913935"/>
    <w:rsid w:val="51615028"/>
    <w:rsid w:val="529774E5"/>
    <w:rsid w:val="56C66058"/>
    <w:rsid w:val="57BB6BFD"/>
    <w:rsid w:val="633036D0"/>
    <w:rsid w:val="6FCB2CE2"/>
    <w:rsid w:val="72764369"/>
    <w:rsid w:val="7703771B"/>
    <w:rsid w:val="776A48CB"/>
    <w:rsid w:val="7B7772C6"/>
    <w:rsid w:val="7E0B5ECB"/>
    <w:rsid w:val="7F2E6BF3"/>
    <w:rsid w:val="9EFECB54"/>
    <w:rsid w:val="B9BBE065"/>
    <w:rsid w:val="F5FFC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  <w:sz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Body text|1_"/>
    <w:link w:val="10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439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2458</Words>
  <Characters>2657</Characters>
  <Lines>19</Lines>
  <Paragraphs>5</Paragraphs>
  <TotalTime>41</TotalTime>
  <ScaleCrop>false</ScaleCrop>
  <LinksUpToDate>false</LinksUpToDate>
  <CharactersWithSpaces>2658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2022-04-12T08:31:00Z</dcterms:created>
  <dc:creator>AutoBVT</dc:creator>
  <cp:lastModifiedBy>Administrator</cp:lastModifiedBy>
  <cp:lastPrinted>2023-07-04T14:41:00Z</cp:lastPrinted>
  <dcterms:modified xsi:type="dcterms:W3CDTF">2023-10-25T09:58:26Z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16BAB4985F214B7981CC7C21E927A662</vt:lpwstr>
  </property>
</Properties>
</file>