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90" w:beforeLines="50" w:line="360" w:lineRule="auto"/>
        <w:ind w:firstLine="720"/>
        <w:jc w:val="center"/>
        <w:rPr>
          <w:rFonts w:hint="eastAsia" w:ascii="Times New Roman" w:hAnsi="Times New Roman" w:eastAsia="宋体" w:cs="Times New Roman"/>
          <w:color w:val="auto"/>
          <w:sz w:val="36"/>
          <w:szCs w:val="36"/>
        </w:rPr>
      </w:pPr>
      <w:bookmarkStart w:id="0" w:name="_Hlk138924244"/>
      <w:bookmarkEnd w:id="0"/>
    </w:p>
    <w:p>
      <w:pPr>
        <w:spacing w:before="190" w:beforeLines="50" w:line="360" w:lineRule="auto"/>
        <w:rPr>
          <w:rFonts w:ascii="Times New Roman" w:hAnsi="Times New Roman" w:eastAsia="宋体" w:cs="Times New Roman"/>
          <w:color w:val="auto"/>
          <w:sz w:val="36"/>
          <w:szCs w:val="36"/>
        </w:rPr>
      </w:pPr>
    </w:p>
    <w:p>
      <w:pPr>
        <w:autoSpaceDE w:val="0"/>
        <w:autoSpaceDN w:val="0"/>
        <w:adjustRightInd w:val="0"/>
        <w:spacing w:before="0" w:beforeLines="0" w:line="240" w:lineRule="auto"/>
        <w:jc w:val="center"/>
        <w:rPr>
          <w:rFonts w:hint="eastAsia" w:ascii="文星黑体" w:hAnsi="文星黑体" w:eastAsia="文星黑体" w:cs="文星黑体"/>
          <w:b w:val="0"/>
          <w:bCs w:val="0"/>
          <w:color w:val="auto"/>
          <w:sz w:val="44"/>
          <w:szCs w:val="44"/>
        </w:rPr>
      </w:pPr>
      <w:r>
        <w:rPr>
          <w:rFonts w:hint="eastAsia" w:ascii="文星黑体" w:hAnsi="文星黑体" w:eastAsia="文星黑体" w:cs="文星黑体"/>
          <w:b w:val="0"/>
          <w:bCs w:val="0"/>
          <w:color w:val="auto"/>
          <w:sz w:val="44"/>
          <w:szCs w:val="44"/>
        </w:rPr>
        <w:t>梅州市电动汽车充电基础设施</w:t>
      </w:r>
    </w:p>
    <w:p>
      <w:pPr>
        <w:autoSpaceDE w:val="0"/>
        <w:autoSpaceDN w:val="0"/>
        <w:adjustRightInd w:val="0"/>
        <w:spacing w:before="0" w:beforeLines="0" w:line="240" w:lineRule="auto"/>
        <w:jc w:val="center"/>
        <w:rPr>
          <w:rFonts w:hint="eastAsia" w:ascii="文星黑体" w:hAnsi="文星黑体" w:eastAsia="文星黑体" w:cs="文星黑体"/>
          <w:b w:val="0"/>
          <w:bCs w:val="0"/>
          <w:color w:val="auto"/>
          <w:sz w:val="44"/>
          <w:szCs w:val="44"/>
        </w:rPr>
      </w:pPr>
      <w:r>
        <w:rPr>
          <w:rFonts w:hint="eastAsia" w:ascii="文星黑体" w:hAnsi="文星黑体" w:eastAsia="文星黑体" w:cs="文星黑体"/>
          <w:b w:val="0"/>
          <w:bCs w:val="0"/>
          <w:color w:val="auto"/>
          <w:sz w:val="44"/>
          <w:szCs w:val="44"/>
        </w:rPr>
        <w:t>发展“十四五”规划</w:t>
      </w:r>
    </w:p>
    <w:p>
      <w:pPr>
        <w:autoSpaceDE w:val="0"/>
        <w:autoSpaceDN w:val="0"/>
        <w:adjustRightInd w:val="0"/>
        <w:spacing w:before="0" w:beforeLines="0" w:line="240" w:lineRule="auto"/>
        <w:jc w:val="center"/>
        <w:rPr>
          <w:rFonts w:hint="eastAsia" w:ascii="文星黑体" w:hAnsi="文星黑体" w:eastAsia="文星黑体" w:cs="文星黑体"/>
          <w:b w:val="0"/>
          <w:bCs w:val="0"/>
          <w:color w:val="auto"/>
          <w:sz w:val="44"/>
          <w:szCs w:val="44"/>
        </w:rPr>
      </w:pPr>
      <w:r>
        <w:rPr>
          <w:rFonts w:hint="eastAsia" w:ascii="文星黑体" w:hAnsi="文星黑体" w:eastAsia="文星黑体" w:cs="文星黑体"/>
          <w:b w:val="0"/>
          <w:bCs w:val="0"/>
          <w:color w:val="auto"/>
          <w:sz w:val="44"/>
          <w:szCs w:val="44"/>
        </w:rPr>
        <w:t>（征求意见稿）</w:t>
      </w:r>
    </w:p>
    <w:p>
      <w:pPr>
        <w:spacing w:before="190" w:beforeLines="50" w:line="360" w:lineRule="auto"/>
        <w:ind w:firstLine="560"/>
        <w:jc w:val="center"/>
        <w:rPr>
          <w:rFonts w:ascii="Times New Roman" w:hAnsi="Times New Roman" w:eastAsia="宋体" w:cs="Times New Roman"/>
          <w:color w:val="auto"/>
          <w:sz w:val="32"/>
        </w:rPr>
      </w:pPr>
    </w:p>
    <w:p>
      <w:pPr>
        <w:spacing w:before="190" w:beforeLines="50" w:line="360" w:lineRule="auto"/>
        <w:ind w:firstLine="560"/>
        <w:jc w:val="center"/>
        <w:rPr>
          <w:rFonts w:ascii="Times New Roman" w:hAnsi="Times New Roman" w:eastAsia="宋体" w:cs="Times New Roman"/>
          <w:color w:val="auto"/>
          <w:sz w:val="28"/>
          <w:szCs w:val="28"/>
        </w:rPr>
      </w:pPr>
    </w:p>
    <w:p>
      <w:pPr>
        <w:spacing w:before="190" w:beforeLines="50" w:line="360" w:lineRule="auto"/>
        <w:ind w:firstLine="281" w:firstLineChars="100"/>
        <w:rPr>
          <w:rFonts w:ascii="Times New Roman" w:hAnsi="Times New Roman" w:eastAsia="宋体" w:cs="Times New Roman"/>
          <w:b/>
          <w:bCs/>
          <w:color w:val="auto"/>
          <w:sz w:val="28"/>
          <w:szCs w:val="28"/>
        </w:rPr>
      </w:pPr>
    </w:p>
    <w:p>
      <w:pPr>
        <w:spacing w:before="190" w:beforeLines="50" w:line="360" w:lineRule="auto"/>
        <w:ind w:firstLine="281" w:firstLineChars="100"/>
        <w:rPr>
          <w:rFonts w:ascii="Times New Roman" w:hAnsi="Times New Roman" w:eastAsia="宋体" w:cs="Times New Roman"/>
          <w:b/>
          <w:bCs/>
          <w:color w:val="auto"/>
          <w:sz w:val="28"/>
          <w:szCs w:val="28"/>
        </w:rPr>
      </w:pPr>
    </w:p>
    <w:p>
      <w:pPr>
        <w:spacing w:before="190" w:beforeLines="50" w:line="360" w:lineRule="auto"/>
        <w:ind w:firstLine="281" w:firstLineChars="100"/>
        <w:rPr>
          <w:rFonts w:ascii="Times New Roman" w:hAnsi="Times New Roman" w:eastAsia="宋体" w:cs="Times New Roman"/>
          <w:b/>
          <w:bCs/>
          <w:color w:val="auto"/>
          <w:sz w:val="28"/>
          <w:szCs w:val="28"/>
        </w:rPr>
      </w:pPr>
    </w:p>
    <w:p>
      <w:pPr>
        <w:spacing w:before="190" w:beforeLines="50" w:line="360" w:lineRule="auto"/>
        <w:ind w:firstLine="281" w:firstLineChars="100"/>
        <w:rPr>
          <w:rFonts w:ascii="Times New Roman" w:hAnsi="Times New Roman" w:eastAsia="宋体" w:cs="Times New Roman"/>
          <w:b/>
          <w:bCs/>
          <w:color w:val="auto"/>
          <w:sz w:val="28"/>
          <w:szCs w:val="28"/>
        </w:rPr>
      </w:pPr>
    </w:p>
    <w:p>
      <w:pPr>
        <w:spacing w:before="190" w:beforeLines="50" w:line="360" w:lineRule="auto"/>
        <w:ind w:firstLine="562"/>
        <w:rPr>
          <w:rFonts w:ascii="Times New Roman" w:hAnsi="Times New Roman" w:eastAsia="宋体" w:cs="Times New Roman"/>
          <w:b/>
          <w:bCs/>
          <w:color w:val="auto"/>
          <w:sz w:val="28"/>
          <w:szCs w:val="28"/>
        </w:rPr>
      </w:pPr>
    </w:p>
    <w:p>
      <w:pPr>
        <w:spacing w:before="190" w:beforeLines="50" w:line="360" w:lineRule="auto"/>
        <w:ind w:firstLine="562"/>
        <w:rPr>
          <w:rFonts w:ascii="Times New Roman" w:hAnsi="Times New Roman" w:eastAsia="宋体" w:cs="Times New Roman"/>
          <w:b/>
          <w:bCs/>
          <w:color w:val="auto"/>
          <w:sz w:val="28"/>
          <w:szCs w:val="28"/>
        </w:rPr>
      </w:pPr>
    </w:p>
    <w:p>
      <w:pPr>
        <w:spacing w:before="0" w:beforeLines="0" w:line="360" w:lineRule="auto"/>
        <w:rPr>
          <w:rFonts w:ascii="华文细黑" w:hAnsi="华文细黑" w:eastAsia="华文细黑" w:cs="Times New Roman"/>
          <w:color w:val="auto"/>
          <w:sz w:val="28"/>
          <w:szCs w:val="28"/>
        </w:rPr>
      </w:pPr>
    </w:p>
    <w:p>
      <w:pPr>
        <w:spacing w:before="0" w:beforeLines="0" w:line="360" w:lineRule="auto"/>
        <w:jc w:val="center"/>
        <w:rPr>
          <w:rFonts w:ascii="华文细黑" w:hAnsi="华文细黑" w:eastAsia="华文细黑" w:cs="Times New Roman"/>
          <w:color w:val="auto"/>
          <w:sz w:val="28"/>
          <w:szCs w:val="28"/>
        </w:rPr>
      </w:pPr>
      <w:r>
        <w:rPr>
          <w:rFonts w:hint="eastAsia" w:ascii="华文细黑" w:hAnsi="华文细黑" w:eastAsia="华文细黑" w:cs="Times New Roman"/>
          <w:color w:val="auto"/>
          <w:sz w:val="28"/>
          <w:szCs w:val="28"/>
        </w:rPr>
        <w:t>梅州市发展改革局</w:t>
      </w:r>
    </w:p>
    <w:p>
      <w:pPr>
        <w:spacing w:before="0" w:beforeLines="0"/>
        <w:jc w:val="center"/>
        <w:rPr>
          <w:rFonts w:ascii="华文细黑" w:hAnsi="华文细黑" w:eastAsia="华文细黑" w:cs="Times New Roman"/>
          <w:color w:val="auto"/>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510" w:footer="992" w:gutter="0"/>
          <w:cols w:space="425" w:num="1"/>
          <w:titlePg/>
          <w:docGrid w:type="lines" w:linePitch="381" w:charSpace="0"/>
        </w:sectPr>
      </w:pPr>
      <w:r>
        <w:rPr>
          <w:rFonts w:hint="eastAsia" w:ascii="华文细黑" w:hAnsi="华文细黑" w:eastAsia="华文细黑" w:cs="Times New Roman"/>
          <w:color w:val="auto"/>
          <w:sz w:val="28"/>
          <w:szCs w:val="28"/>
        </w:rPr>
        <w:t>2</w:t>
      </w:r>
      <w:r>
        <w:rPr>
          <w:rFonts w:ascii="华文细黑" w:hAnsi="华文细黑" w:eastAsia="华文细黑" w:cs="Times New Roman"/>
          <w:color w:val="auto"/>
          <w:sz w:val="28"/>
          <w:szCs w:val="28"/>
        </w:rPr>
        <w:t>023</w:t>
      </w:r>
      <w:r>
        <w:rPr>
          <w:rFonts w:hint="eastAsia" w:ascii="华文细黑" w:hAnsi="华文细黑" w:eastAsia="华文细黑" w:cs="Times New Roman"/>
          <w:color w:val="auto"/>
          <w:sz w:val="28"/>
          <w:szCs w:val="28"/>
        </w:rPr>
        <w:t>年1</w:t>
      </w:r>
      <w:r>
        <w:rPr>
          <w:rFonts w:hint="eastAsia" w:ascii="华文细黑" w:hAnsi="华文细黑" w:eastAsia="华文细黑" w:cs="Times New Roman"/>
          <w:color w:val="auto"/>
          <w:sz w:val="28"/>
          <w:szCs w:val="28"/>
          <w:lang w:val="en-US" w:eastAsia="zh-CN"/>
        </w:rPr>
        <w:t>1</w:t>
      </w:r>
      <w:r>
        <w:rPr>
          <w:rFonts w:hint="eastAsia" w:ascii="华文细黑" w:hAnsi="华文细黑" w:eastAsia="华文细黑" w:cs="Times New Roman"/>
          <w:color w:val="auto"/>
          <w:sz w:val="28"/>
          <w:szCs w:val="28"/>
        </w:rPr>
        <w:t>月</w:t>
      </w:r>
    </w:p>
    <w:sdt>
      <w:sdtPr>
        <w:rPr>
          <w:rFonts w:ascii="Calibri" w:hAnsi="Calibri" w:eastAsia="仿宋" w:cs="Times New Roman"/>
          <w:color w:val="auto"/>
          <w:kern w:val="2"/>
          <w:sz w:val="28"/>
          <w:szCs w:val="24"/>
          <w:lang w:val="zh-CN" w:eastAsia="zh-CN" w:bidi="ar-SA"/>
        </w:rPr>
        <w:id w:val="-737870950"/>
      </w:sdtPr>
      <w:sdtEndPr>
        <w:rPr>
          <w:rFonts w:ascii="Calibri" w:hAnsi="Calibri" w:eastAsia="宋体" w:cs="Times New Roman"/>
          <w:b/>
          <w:bCs/>
          <w:color w:val="auto"/>
          <w:kern w:val="2"/>
          <w:sz w:val="28"/>
          <w:szCs w:val="24"/>
          <w:lang w:val="zh-CN" w:eastAsia="zh-CN" w:bidi="ar-SA"/>
        </w:rPr>
      </w:sdtEndPr>
      <w:sdtContent>
        <w:p>
          <w:pPr>
            <w:keepNext/>
            <w:keepLines/>
            <w:widowControl/>
            <w:numPr>
              <w:ilvl w:val="0"/>
              <w:numId w:val="0"/>
            </w:numPr>
            <w:tabs>
              <w:tab w:val="left" w:pos="3590"/>
              <w:tab w:val="center" w:pos="4368"/>
            </w:tabs>
            <w:spacing w:before="240" w:beforeLines="100" w:after="0" w:line="360" w:lineRule="auto"/>
            <w:ind w:left="431"/>
            <w:jc w:val="center"/>
            <w:outlineLvl w:val="9"/>
            <w:rPr>
              <w:rFonts w:ascii="Calibri Light" w:hAnsi="Calibri Light" w:eastAsia="宋体" w:cs="Times New Roman"/>
              <w:b/>
              <w:bCs/>
              <w:color w:val="auto"/>
              <w:kern w:val="0"/>
              <w:sz w:val="44"/>
              <w:szCs w:val="36"/>
              <w:lang w:val="en-US" w:eastAsia="zh-CN" w:bidi="ar-SA"/>
            </w:rPr>
          </w:pPr>
          <w:bookmarkStart w:id="1" w:name="_Toc82095189"/>
          <w:bookmarkStart w:id="2" w:name="_Toc83484243"/>
          <w:r>
            <w:rPr>
              <w:rFonts w:ascii="宋体" w:hAnsi="宋体" w:eastAsia="宋体" w:cs="宋体"/>
              <w:b/>
              <w:bCs/>
              <w:color w:val="auto"/>
              <w:kern w:val="2"/>
              <w:sz w:val="44"/>
              <w:szCs w:val="36"/>
              <w:lang w:val="en-US" w:eastAsia="zh-CN" w:bidi="ar-SA"/>
            </w:rPr>
            <w:t>目</w:t>
          </w:r>
          <w:r>
            <w:rPr>
              <w:rFonts w:hint="eastAsia" w:ascii="宋体" w:hAnsi="宋体" w:eastAsia="宋体" w:cs="宋体"/>
              <w:b/>
              <w:bCs/>
              <w:color w:val="auto"/>
              <w:kern w:val="2"/>
              <w:sz w:val="44"/>
              <w:szCs w:val="36"/>
              <w:lang w:val="en-US" w:eastAsia="zh-CN" w:bidi="ar-SA"/>
            </w:rPr>
            <w:t xml:space="preserve">  </w:t>
          </w:r>
          <w:r>
            <w:rPr>
              <w:rFonts w:ascii="宋体" w:hAnsi="宋体" w:eastAsia="宋体" w:cs="宋体"/>
              <w:b/>
              <w:bCs/>
              <w:color w:val="auto"/>
              <w:kern w:val="2"/>
              <w:sz w:val="44"/>
              <w:szCs w:val="36"/>
              <w:lang w:val="en-US" w:eastAsia="zh-CN" w:bidi="ar-SA"/>
            </w:rPr>
            <w:t>录</w:t>
          </w:r>
        </w:p>
        <w:p>
          <w:pPr>
            <w:widowControl w:val="0"/>
            <w:tabs>
              <w:tab w:val="left" w:pos="1680"/>
              <w:tab w:val="right" w:leader="dot" w:pos="8300"/>
            </w:tabs>
            <w:spacing w:before="0" w:beforeLines="0" w:line="360" w:lineRule="auto"/>
            <w:ind w:left="420" w:leftChars="200"/>
            <w:jc w:val="left"/>
            <w:rPr>
              <w:rFonts w:ascii="Calibri" w:hAnsi="Calibri" w:eastAsia="宋体" w:cs="Times New Roman"/>
              <w:b w:val="0"/>
              <w:bCs w:val="0"/>
              <w:color w:val="auto"/>
              <w:kern w:val="2"/>
              <w:sz w:val="22"/>
              <w:szCs w:val="22"/>
              <w:lang w:val="en-US" w:eastAsia="zh-CN" w:bidi="ar-SA"/>
            </w:rPr>
          </w:pPr>
          <w:r>
            <w:rPr>
              <w:rFonts w:ascii="仿宋" w:hAnsi="仿宋" w:eastAsia="宋体" w:cs="Times New Roman"/>
              <w:b/>
              <w:bCs/>
              <w:color w:val="auto"/>
              <w:kern w:val="2"/>
              <w:sz w:val="36"/>
              <w:szCs w:val="28"/>
              <w:lang w:val="en-US" w:eastAsia="zh-CN" w:bidi="ar-SA"/>
            </w:rPr>
            <w:fldChar w:fldCharType="begin"/>
          </w:r>
          <w:r>
            <w:rPr>
              <w:rFonts w:ascii="仿宋" w:hAnsi="仿宋" w:eastAsia="宋体" w:cs="Times New Roman"/>
              <w:b/>
              <w:bCs/>
              <w:color w:val="auto"/>
              <w:kern w:val="2"/>
              <w:sz w:val="36"/>
              <w:szCs w:val="28"/>
              <w:lang w:val="en-US" w:eastAsia="zh-CN" w:bidi="ar-SA"/>
            </w:rPr>
            <w:instrText xml:space="preserve"> TOC \o "1-2" \h \z \u </w:instrText>
          </w:r>
          <w:r>
            <w:rPr>
              <w:rFonts w:ascii="仿宋" w:hAnsi="仿宋" w:eastAsia="宋体" w:cs="Times New Roman"/>
              <w:b/>
              <w:bCs/>
              <w:color w:val="auto"/>
              <w:kern w:val="2"/>
              <w:sz w:val="36"/>
              <w:szCs w:val="28"/>
              <w:lang w:val="en-US" w:eastAsia="zh-CN" w:bidi="ar-SA"/>
            </w:rPr>
            <w:fldChar w:fldCharType="separate"/>
          </w:r>
          <w:r>
            <w:rPr>
              <w:rFonts w:ascii="仿宋" w:hAnsi="仿宋" w:eastAsia="宋体" w:cs="Times New Roman"/>
              <w:b/>
              <w:bCs/>
              <w:color w:val="auto"/>
              <w:kern w:val="2"/>
              <w:sz w:val="28"/>
              <w:szCs w:val="32"/>
              <w:lang w:val="en-US" w:eastAsia="zh-CN" w:bidi="ar-SA"/>
            </w:rPr>
            <w:fldChar w:fldCharType="begin"/>
          </w:r>
          <w:r>
            <w:rPr>
              <w:rFonts w:ascii="仿宋" w:hAnsi="仿宋" w:eastAsia="宋体" w:cs="Times New Roman"/>
              <w:b/>
              <w:bCs/>
              <w:color w:val="auto"/>
              <w:kern w:val="2"/>
              <w:sz w:val="28"/>
              <w:szCs w:val="32"/>
              <w:lang w:val="en-US" w:eastAsia="zh-CN" w:bidi="ar-SA"/>
            </w:rPr>
            <w:instrText xml:space="preserve"> HYPERLINK \l "_Toc148683012" </w:instrText>
          </w:r>
          <w:r>
            <w:rPr>
              <w:rFonts w:ascii="仿宋" w:hAnsi="仿宋" w:eastAsia="宋体" w:cs="Times New Roman"/>
              <w:b/>
              <w:bCs/>
              <w:color w:val="auto"/>
              <w:kern w:val="2"/>
              <w:sz w:val="28"/>
              <w:szCs w:val="32"/>
              <w:lang w:val="en-US" w:eastAsia="zh-CN" w:bidi="ar-SA"/>
            </w:rPr>
            <w:fldChar w:fldCharType="separate"/>
          </w:r>
          <w:r>
            <w:rPr>
              <w:rFonts w:hint="eastAsia" w:ascii="Calibri" w:hAnsi="Calibri" w:eastAsia="宋体" w:cs="Times New Roman"/>
              <w:b/>
              <w:bCs/>
              <w:color w:val="auto"/>
              <w:kern w:val="2"/>
              <w:sz w:val="32"/>
              <w:szCs w:val="24"/>
              <w:u w:val="single"/>
              <w:lang w:val="en-US" w:eastAsia="zh-CN" w:bidi="ar-SA"/>
            </w:rPr>
            <w:t>一、</w:t>
          </w:r>
          <w:r>
            <w:rPr>
              <w:rFonts w:ascii="Calibri" w:hAnsi="Calibri" w:eastAsia="宋体" w:cs="Times New Roman"/>
              <w:b/>
              <w:bCs/>
              <w:color w:val="auto"/>
              <w:kern w:val="2"/>
              <w:sz w:val="32"/>
              <w:szCs w:val="24"/>
              <w:u w:val="single"/>
              <w:lang w:val="en-US" w:eastAsia="zh-CN" w:bidi="ar-SA"/>
            </w:rPr>
            <w:t>发展基础</w:t>
          </w:r>
          <w:r>
            <w:rPr>
              <w:rFonts w:ascii="仿宋" w:hAnsi="仿宋" w:eastAsia="宋体" w:cs="Times New Roman"/>
              <w:b/>
              <w:bCs/>
              <w:color w:val="auto"/>
              <w:kern w:val="2"/>
              <w:sz w:val="32"/>
              <w:szCs w:val="32"/>
              <w:lang w:val="en-US" w:eastAsia="zh-CN" w:bidi="ar-SA"/>
            </w:rPr>
            <w:tab/>
          </w:r>
          <w:r>
            <w:rPr>
              <w:rFonts w:ascii="仿宋" w:hAnsi="仿宋" w:eastAsia="宋体" w:cs="Times New Roman"/>
              <w:b/>
              <w:bCs/>
              <w:color w:val="auto"/>
              <w:kern w:val="2"/>
              <w:sz w:val="32"/>
              <w:szCs w:val="32"/>
              <w:lang w:val="en-US" w:eastAsia="zh-CN" w:bidi="ar-SA"/>
            </w:rPr>
            <w:fldChar w:fldCharType="begin"/>
          </w:r>
          <w:r>
            <w:rPr>
              <w:rFonts w:ascii="仿宋" w:hAnsi="仿宋" w:eastAsia="宋体" w:cs="Times New Roman"/>
              <w:b/>
              <w:bCs/>
              <w:color w:val="auto"/>
              <w:kern w:val="2"/>
              <w:sz w:val="32"/>
              <w:szCs w:val="32"/>
              <w:lang w:val="en-US" w:eastAsia="zh-CN" w:bidi="ar-SA"/>
            </w:rPr>
            <w:instrText xml:space="preserve"> PAGEREF _Toc148683012 \h </w:instrText>
          </w:r>
          <w:r>
            <w:rPr>
              <w:rFonts w:ascii="仿宋" w:hAnsi="仿宋" w:eastAsia="宋体" w:cs="Times New Roman"/>
              <w:b/>
              <w:bCs/>
              <w:color w:val="auto"/>
              <w:kern w:val="2"/>
              <w:sz w:val="32"/>
              <w:szCs w:val="32"/>
              <w:lang w:val="en-US" w:eastAsia="zh-CN" w:bidi="ar-SA"/>
            </w:rPr>
            <w:fldChar w:fldCharType="separate"/>
          </w:r>
          <w:r>
            <w:rPr>
              <w:rFonts w:ascii="仿宋" w:hAnsi="仿宋" w:eastAsia="宋体" w:cs="Times New Roman"/>
              <w:b/>
              <w:bCs/>
              <w:color w:val="auto"/>
              <w:kern w:val="2"/>
              <w:sz w:val="32"/>
              <w:szCs w:val="32"/>
              <w:lang w:val="en-US" w:eastAsia="zh-CN" w:bidi="ar-SA"/>
            </w:rPr>
            <w:t>3</w:t>
          </w:r>
          <w:r>
            <w:rPr>
              <w:rFonts w:ascii="仿宋" w:hAnsi="仿宋" w:eastAsia="宋体" w:cs="Times New Roman"/>
              <w:b/>
              <w:bCs/>
              <w:color w:val="auto"/>
              <w:kern w:val="2"/>
              <w:sz w:val="32"/>
              <w:szCs w:val="32"/>
              <w:lang w:val="en-US" w:eastAsia="zh-CN" w:bidi="ar-SA"/>
            </w:rPr>
            <w:fldChar w:fldCharType="end"/>
          </w:r>
          <w:r>
            <w:rPr>
              <w:rFonts w:ascii="仿宋" w:hAnsi="仿宋" w:eastAsia="宋体" w:cs="Times New Roman"/>
              <w:b/>
              <w:bCs/>
              <w:color w:val="auto"/>
              <w:kern w:val="2"/>
              <w:sz w:val="32"/>
              <w:szCs w:val="32"/>
              <w:lang w:val="en-US" w:eastAsia="zh-CN" w:bidi="ar-SA"/>
            </w:rPr>
            <w:fldChar w:fldCharType="end"/>
          </w:r>
        </w:p>
        <w:p>
          <w:pPr>
            <w:widowControl w:val="0"/>
            <w:tabs>
              <w:tab w:val="left" w:pos="1260"/>
              <w:tab w:val="right" w:leader="dot" w:pos="8300"/>
            </w:tabs>
            <w:spacing w:before="0" w:beforeLines="0" w:line="360" w:lineRule="auto"/>
            <w:ind w:left="420" w:leftChars="200"/>
            <w:jc w:val="left"/>
            <w:rPr>
              <w:rFonts w:ascii="Calibri" w:hAnsi="Calibri" w:eastAsia="宋体" w:cs="Times New Roman"/>
              <w:color w:val="auto"/>
              <w:kern w:val="2"/>
              <w:sz w:val="22"/>
              <w:szCs w:val="22"/>
              <w:lang w:val="en-US" w:eastAsia="zh-CN" w:bidi="ar-SA"/>
            </w:rPr>
          </w:pPr>
          <w:r>
            <w:rPr>
              <w:rFonts w:ascii="仿宋" w:hAnsi="仿宋" w:eastAsia="宋体" w:cs="Times New Roman"/>
              <w:color w:val="auto"/>
              <w:kern w:val="2"/>
              <w:sz w:val="24"/>
              <w:szCs w:val="36"/>
              <w:lang w:val="en-US" w:eastAsia="zh-CN" w:bidi="ar-SA"/>
            </w:rPr>
            <w:fldChar w:fldCharType="begin"/>
          </w:r>
          <w:r>
            <w:rPr>
              <w:rFonts w:ascii="仿宋" w:hAnsi="仿宋" w:eastAsia="宋体" w:cs="Times New Roman"/>
              <w:color w:val="auto"/>
              <w:kern w:val="2"/>
              <w:sz w:val="24"/>
              <w:szCs w:val="36"/>
              <w:lang w:val="en-US" w:eastAsia="zh-CN" w:bidi="ar-SA"/>
            </w:rPr>
            <w:instrText xml:space="preserve"> HYPERLINK \l "_Toc148683013" </w:instrText>
          </w:r>
          <w:r>
            <w:rPr>
              <w:rFonts w:ascii="仿宋" w:hAnsi="仿宋" w:eastAsia="宋体" w:cs="Times New Roman"/>
              <w:color w:val="auto"/>
              <w:kern w:val="2"/>
              <w:sz w:val="24"/>
              <w:szCs w:val="36"/>
              <w:lang w:val="en-US" w:eastAsia="zh-CN" w:bidi="ar-SA"/>
            </w:rPr>
            <w:fldChar w:fldCharType="separate"/>
          </w:r>
          <w:r>
            <w:rPr>
              <w:rFonts w:hint="eastAsia" w:ascii="Calibri" w:hAnsi="Calibri" w:eastAsia="宋体" w:cs="Times New Roman"/>
              <w:color w:val="auto"/>
              <w:kern w:val="2"/>
              <w:sz w:val="28"/>
              <w:szCs w:val="24"/>
              <w:u w:val="single"/>
              <w:lang w:val="en-US" w:eastAsia="zh-CN" w:bidi="ar-SA"/>
            </w:rPr>
            <w:t>（一）</w:t>
          </w:r>
          <w:r>
            <w:rPr>
              <w:rFonts w:ascii="Calibri" w:hAnsi="Calibri" w:eastAsia="宋体" w:cs="Times New Roman"/>
              <w:color w:val="auto"/>
              <w:kern w:val="2"/>
              <w:sz w:val="28"/>
              <w:szCs w:val="24"/>
              <w:u w:val="single"/>
              <w:lang w:val="en-US" w:eastAsia="zh-CN" w:bidi="ar-SA"/>
            </w:rPr>
            <w:t>发展现状</w:t>
          </w:r>
          <w:r>
            <w:rPr>
              <w:rFonts w:ascii="仿宋" w:hAnsi="仿宋" w:eastAsia="宋体" w:cs="Times New Roman"/>
              <w:color w:val="auto"/>
              <w:kern w:val="2"/>
              <w:sz w:val="28"/>
              <w:szCs w:val="36"/>
              <w:lang w:val="en-US" w:eastAsia="zh-CN" w:bidi="ar-SA"/>
            </w:rPr>
            <w:tab/>
          </w:r>
          <w:r>
            <w:rPr>
              <w:rFonts w:ascii="仿宋" w:hAnsi="仿宋" w:eastAsia="宋体" w:cs="Times New Roman"/>
              <w:color w:val="auto"/>
              <w:kern w:val="2"/>
              <w:sz w:val="28"/>
              <w:szCs w:val="36"/>
              <w:lang w:val="en-US" w:eastAsia="zh-CN" w:bidi="ar-SA"/>
            </w:rPr>
            <w:fldChar w:fldCharType="begin"/>
          </w:r>
          <w:r>
            <w:rPr>
              <w:rFonts w:ascii="仿宋" w:hAnsi="仿宋" w:eastAsia="宋体" w:cs="Times New Roman"/>
              <w:color w:val="auto"/>
              <w:kern w:val="2"/>
              <w:sz w:val="28"/>
              <w:szCs w:val="36"/>
              <w:lang w:val="en-US" w:eastAsia="zh-CN" w:bidi="ar-SA"/>
            </w:rPr>
            <w:instrText xml:space="preserve"> PAGEREF _Toc148683013 \h </w:instrText>
          </w:r>
          <w:r>
            <w:rPr>
              <w:rFonts w:ascii="仿宋" w:hAnsi="仿宋" w:eastAsia="宋体" w:cs="Times New Roman"/>
              <w:color w:val="auto"/>
              <w:kern w:val="2"/>
              <w:sz w:val="28"/>
              <w:szCs w:val="36"/>
              <w:lang w:val="en-US" w:eastAsia="zh-CN" w:bidi="ar-SA"/>
            </w:rPr>
            <w:fldChar w:fldCharType="separate"/>
          </w:r>
          <w:r>
            <w:rPr>
              <w:rFonts w:ascii="仿宋" w:hAnsi="仿宋" w:eastAsia="宋体" w:cs="Times New Roman"/>
              <w:color w:val="auto"/>
              <w:kern w:val="2"/>
              <w:sz w:val="28"/>
              <w:szCs w:val="36"/>
              <w:lang w:val="en-US" w:eastAsia="zh-CN" w:bidi="ar-SA"/>
            </w:rPr>
            <w:t>3</w:t>
          </w:r>
          <w:r>
            <w:rPr>
              <w:rFonts w:ascii="仿宋" w:hAnsi="仿宋" w:eastAsia="宋体" w:cs="Times New Roman"/>
              <w:color w:val="auto"/>
              <w:kern w:val="2"/>
              <w:sz w:val="28"/>
              <w:szCs w:val="36"/>
              <w:lang w:val="en-US" w:eastAsia="zh-CN" w:bidi="ar-SA"/>
            </w:rPr>
            <w:fldChar w:fldCharType="end"/>
          </w:r>
          <w:r>
            <w:rPr>
              <w:rFonts w:ascii="仿宋" w:hAnsi="仿宋" w:eastAsia="宋体" w:cs="Times New Roman"/>
              <w:color w:val="auto"/>
              <w:kern w:val="2"/>
              <w:sz w:val="28"/>
              <w:szCs w:val="36"/>
              <w:lang w:val="en-US" w:eastAsia="zh-CN" w:bidi="ar-SA"/>
            </w:rPr>
            <w:fldChar w:fldCharType="end"/>
          </w:r>
        </w:p>
        <w:p>
          <w:pPr>
            <w:widowControl w:val="0"/>
            <w:tabs>
              <w:tab w:val="left" w:pos="1260"/>
              <w:tab w:val="right" w:leader="dot" w:pos="8300"/>
            </w:tabs>
            <w:spacing w:before="0" w:beforeLines="0" w:line="360" w:lineRule="auto"/>
            <w:ind w:left="420" w:leftChars="200"/>
            <w:jc w:val="left"/>
            <w:rPr>
              <w:rFonts w:ascii="Calibri" w:hAnsi="Calibri" w:eastAsia="宋体" w:cs="Times New Roman"/>
              <w:color w:val="auto"/>
              <w:kern w:val="2"/>
              <w:sz w:val="22"/>
              <w:szCs w:val="22"/>
              <w:lang w:val="en-US" w:eastAsia="zh-CN" w:bidi="ar-SA"/>
            </w:rPr>
          </w:pPr>
          <w:r>
            <w:rPr>
              <w:rFonts w:ascii="仿宋" w:hAnsi="仿宋" w:eastAsia="宋体" w:cs="Times New Roman"/>
              <w:color w:val="auto"/>
              <w:kern w:val="2"/>
              <w:sz w:val="24"/>
              <w:szCs w:val="36"/>
              <w:lang w:val="en-US" w:eastAsia="zh-CN" w:bidi="ar-SA"/>
            </w:rPr>
            <w:fldChar w:fldCharType="begin"/>
          </w:r>
          <w:r>
            <w:rPr>
              <w:rFonts w:ascii="仿宋" w:hAnsi="仿宋" w:eastAsia="宋体" w:cs="Times New Roman"/>
              <w:color w:val="auto"/>
              <w:kern w:val="2"/>
              <w:sz w:val="24"/>
              <w:szCs w:val="36"/>
              <w:lang w:val="en-US" w:eastAsia="zh-CN" w:bidi="ar-SA"/>
            </w:rPr>
            <w:instrText xml:space="preserve"> HYPERLINK \l "_Toc148683014" </w:instrText>
          </w:r>
          <w:r>
            <w:rPr>
              <w:rFonts w:ascii="仿宋" w:hAnsi="仿宋" w:eastAsia="宋体" w:cs="Times New Roman"/>
              <w:color w:val="auto"/>
              <w:kern w:val="2"/>
              <w:sz w:val="24"/>
              <w:szCs w:val="36"/>
              <w:lang w:val="en-US" w:eastAsia="zh-CN" w:bidi="ar-SA"/>
            </w:rPr>
            <w:fldChar w:fldCharType="separate"/>
          </w:r>
          <w:r>
            <w:rPr>
              <w:rFonts w:hint="eastAsia" w:ascii="Calibri" w:hAnsi="Calibri" w:eastAsia="宋体" w:cs="Times New Roman"/>
              <w:color w:val="auto"/>
              <w:kern w:val="2"/>
              <w:sz w:val="28"/>
              <w:szCs w:val="24"/>
              <w:u w:val="single"/>
              <w:lang w:val="en-US" w:eastAsia="zh-CN" w:bidi="ar-SA"/>
            </w:rPr>
            <w:t>（二）</w:t>
          </w:r>
          <w:r>
            <w:rPr>
              <w:rFonts w:ascii="Calibri" w:hAnsi="Calibri" w:eastAsia="宋体" w:cs="Times New Roman"/>
              <w:color w:val="auto"/>
              <w:kern w:val="2"/>
              <w:sz w:val="28"/>
              <w:szCs w:val="24"/>
              <w:u w:val="single"/>
              <w:lang w:val="en-US" w:eastAsia="zh-CN" w:bidi="ar-SA"/>
            </w:rPr>
            <w:t>存在问题</w:t>
          </w:r>
          <w:r>
            <w:rPr>
              <w:rFonts w:ascii="仿宋" w:hAnsi="仿宋" w:eastAsia="宋体" w:cs="Times New Roman"/>
              <w:color w:val="auto"/>
              <w:kern w:val="2"/>
              <w:sz w:val="28"/>
              <w:szCs w:val="36"/>
              <w:lang w:val="en-US" w:eastAsia="zh-CN" w:bidi="ar-SA"/>
            </w:rPr>
            <w:tab/>
          </w:r>
          <w:r>
            <w:rPr>
              <w:rFonts w:hint="eastAsia" w:ascii="仿宋" w:hAnsi="仿宋" w:eastAsia="宋体" w:cs="Times New Roman"/>
              <w:color w:val="auto"/>
              <w:kern w:val="2"/>
              <w:sz w:val="28"/>
              <w:szCs w:val="36"/>
              <w:lang w:val="en-US" w:eastAsia="zh-CN" w:bidi="ar-SA"/>
            </w:rPr>
            <w:t xml:space="preserve"> </w:t>
          </w:r>
          <w:r>
            <w:rPr>
              <w:rFonts w:ascii="仿宋" w:hAnsi="仿宋" w:eastAsia="宋体" w:cs="Times New Roman"/>
              <w:color w:val="auto"/>
              <w:kern w:val="2"/>
              <w:sz w:val="28"/>
              <w:szCs w:val="36"/>
              <w:lang w:val="en-US" w:eastAsia="zh-CN" w:bidi="ar-SA"/>
            </w:rPr>
            <w:fldChar w:fldCharType="end"/>
          </w:r>
        </w:p>
        <w:p>
          <w:pPr>
            <w:widowControl w:val="0"/>
            <w:tabs>
              <w:tab w:val="left" w:pos="1260"/>
              <w:tab w:val="right" w:leader="dot" w:pos="8300"/>
            </w:tabs>
            <w:spacing w:before="0" w:beforeLines="0" w:line="360" w:lineRule="auto"/>
            <w:ind w:left="420" w:leftChars="200"/>
            <w:jc w:val="left"/>
            <w:rPr>
              <w:rFonts w:ascii="Calibri" w:hAnsi="Calibri" w:eastAsia="宋体" w:cs="Times New Roman"/>
              <w:color w:val="auto"/>
              <w:kern w:val="2"/>
              <w:sz w:val="22"/>
              <w:szCs w:val="22"/>
              <w:lang w:val="en-US" w:eastAsia="zh-CN" w:bidi="ar-SA"/>
            </w:rPr>
          </w:pPr>
          <w:r>
            <w:rPr>
              <w:rFonts w:ascii="仿宋" w:hAnsi="仿宋" w:eastAsia="宋体" w:cs="Times New Roman"/>
              <w:color w:val="auto"/>
              <w:kern w:val="2"/>
              <w:sz w:val="24"/>
              <w:szCs w:val="36"/>
              <w:lang w:val="en-US" w:eastAsia="zh-CN" w:bidi="ar-SA"/>
            </w:rPr>
            <w:fldChar w:fldCharType="begin"/>
          </w:r>
          <w:r>
            <w:rPr>
              <w:rFonts w:ascii="仿宋" w:hAnsi="仿宋" w:eastAsia="宋体" w:cs="Times New Roman"/>
              <w:color w:val="auto"/>
              <w:kern w:val="2"/>
              <w:sz w:val="24"/>
              <w:szCs w:val="36"/>
              <w:lang w:val="en-US" w:eastAsia="zh-CN" w:bidi="ar-SA"/>
            </w:rPr>
            <w:instrText xml:space="preserve"> HYPERLINK \l "_Toc148683015" </w:instrText>
          </w:r>
          <w:r>
            <w:rPr>
              <w:rFonts w:ascii="仿宋" w:hAnsi="仿宋" w:eastAsia="宋体" w:cs="Times New Roman"/>
              <w:color w:val="auto"/>
              <w:kern w:val="2"/>
              <w:sz w:val="24"/>
              <w:szCs w:val="36"/>
              <w:lang w:val="en-US" w:eastAsia="zh-CN" w:bidi="ar-SA"/>
            </w:rPr>
            <w:fldChar w:fldCharType="separate"/>
          </w:r>
          <w:r>
            <w:rPr>
              <w:rFonts w:hint="eastAsia" w:ascii="Calibri" w:hAnsi="Calibri" w:eastAsia="宋体" w:cs="Times New Roman"/>
              <w:color w:val="auto"/>
              <w:kern w:val="2"/>
              <w:sz w:val="28"/>
              <w:szCs w:val="24"/>
              <w:u w:val="single"/>
              <w:lang w:val="en-US" w:eastAsia="zh-CN" w:bidi="ar-SA"/>
            </w:rPr>
            <w:t>（三）</w:t>
          </w:r>
          <w:r>
            <w:rPr>
              <w:rFonts w:ascii="Calibri" w:hAnsi="Calibri" w:eastAsia="宋体" w:cs="Times New Roman"/>
              <w:color w:val="auto"/>
              <w:kern w:val="2"/>
              <w:sz w:val="28"/>
              <w:szCs w:val="24"/>
              <w:u w:val="single"/>
              <w:lang w:val="en-US" w:eastAsia="zh-CN" w:bidi="ar-SA"/>
            </w:rPr>
            <w:t>发展形势</w:t>
          </w:r>
          <w:r>
            <w:rPr>
              <w:rFonts w:ascii="仿宋" w:hAnsi="仿宋" w:eastAsia="宋体" w:cs="Times New Roman"/>
              <w:color w:val="auto"/>
              <w:kern w:val="2"/>
              <w:sz w:val="28"/>
              <w:szCs w:val="36"/>
              <w:lang w:val="en-US" w:eastAsia="zh-CN" w:bidi="ar-SA"/>
            </w:rPr>
            <w:tab/>
          </w:r>
          <w:r>
            <w:rPr>
              <w:rFonts w:ascii="仿宋" w:hAnsi="仿宋" w:eastAsia="宋体" w:cs="Times New Roman"/>
              <w:color w:val="auto"/>
              <w:kern w:val="2"/>
              <w:sz w:val="28"/>
              <w:szCs w:val="36"/>
              <w:lang w:val="en-US" w:eastAsia="zh-CN" w:bidi="ar-SA"/>
            </w:rPr>
            <w:fldChar w:fldCharType="begin"/>
          </w:r>
          <w:r>
            <w:rPr>
              <w:rFonts w:ascii="仿宋" w:hAnsi="仿宋" w:eastAsia="宋体" w:cs="Times New Roman"/>
              <w:color w:val="auto"/>
              <w:kern w:val="2"/>
              <w:sz w:val="28"/>
              <w:szCs w:val="36"/>
              <w:lang w:val="en-US" w:eastAsia="zh-CN" w:bidi="ar-SA"/>
            </w:rPr>
            <w:instrText xml:space="preserve"> PAGEREF _Toc148683015 \h </w:instrText>
          </w:r>
          <w:r>
            <w:rPr>
              <w:rFonts w:ascii="仿宋" w:hAnsi="仿宋" w:eastAsia="宋体" w:cs="Times New Roman"/>
              <w:color w:val="auto"/>
              <w:kern w:val="2"/>
              <w:sz w:val="28"/>
              <w:szCs w:val="36"/>
              <w:lang w:val="en-US" w:eastAsia="zh-CN" w:bidi="ar-SA"/>
            </w:rPr>
            <w:fldChar w:fldCharType="separate"/>
          </w:r>
          <w:r>
            <w:rPr>
              <w:rFonts w:ascii="仿宋" w:hAnsi="仿宋" w:eastAsia="宋体" w:cs="Times New Roman"/>
              <w:color w:val="auto"/>
              <w:kern w:val="2"/>
              <w:sz w:val="28"/>
              <w:szCs w:val="36"/>
              <w:lang w:val="en-US" w:eastAsia="zh-CN" w:bidi="ar-SA"/>
            </w:rPr>
            <w:t>4</w:t>
          </w:r>
          <w:r>
            <w:rPr>
              <w:rFonts w:ascii="仿宋" w:hAnsi="仿宋" w:eastAsia="宋体" w:cs="Times New Roman"/>
              <w:color w:val="auto"/>
              <w:kern w:val="2"/>
              <w:sz w:val="28"/>
              <w:szCs w:val="36"/>
              <w:lang w:val="en-US" w:eastAsia="zh-CN" w:bidi="ar-SA"/>
            </w:rPr>
            <w:fldChar w:fldCharType="end"/>
          </w:r>
          <w:r>
            <w:rPr>
              <w:rFonts w:ascii="仿宋" w:hAnsi="仿宋" w:eastAsia="宋体" w:cs="Times New Roman"/>
              <w:color w:val="auto"/>
              <w:kern w:val="2"/>
              <w:sz w:val="28"/>
              <w:szCs w:val="36"/>
              <w:lang w:val="en-US" w:eastAsia="zh-CN" w:bidi="ar-SA"/>
            </w:rPr>
            <w:fldChar w:fldCharType="end"/>
          </w:r>
        </w:p>
        <w:p>
          <w:pPr>
            <w:widowControl w:val="0"/>
            <w:tabs>
              <w:tab w:val="left" w:pos="1680"/>
              <w:tab w:val="right" w:leader="dot" w:pos="8300"/>
            </w:tabs>
            <w:spacing w:before="0" w:beforeLines="0" w:line="360" w:lineRule="auto"/>
            <w:ind w:left="420" w:leftChars="200"/>
            <w:jc w:val="left"/>
            <w:rPr>
              <w:rFonts w:ascii="Calibri" w:hAnsi="Calibri" w:eastAsia="宋体" w:cs="Times New Roman"/>
              <w:b w:val="0"/>
              <w:bCs w:val="0"/>
              <w:color w:val="auto"/>
              <w:kern w:val="2"/>
              <w:sz w:val="22"/>
              <w:szCs w:val="22"/>
              <w:lang w:val="en-US" w:eastAsia="zh-CN" w:bidi="ar-SA"/>
            </w:rPr>
          </w:pPr>
          <w:r>
            <w:rPr>
              <w:rFonts w:ascii="仿宋" w:hAnsi="仿宋" w:eastAsia="宋体" w:cs="Times New Roman"/>
              <w:b/>
              <w:bCs/>
              <w:color w:val="auto"/>
              <w:kern w:val="2"/>
              <w:sz w:val="28"/>
              <w:szCs w:val="32"/>
              <w:lang w:val="en-US" w:eastAsia="zh-CN" w:bidi="ar-SA"/>
            </w:rPr>
            <w:fldChar w:fldCharType="begin"/>
          </w:r>
          <w:r>
            <w:rPr>
              <w:rFonts w:ascii="仿宋" w:hAnsi="仿宋" w:eastAsia="宋体" w:cs="Times New Roman"/>
              <w:b/>
              <w:bCs/>
              <w:color w:val="auto"/>
              <w:kern w:val="2"/>
              <w:sz w:val="28"/>
              <w:szCs w:val="32"/>
              <w:lang w:val="en-US" w:eastAsia="zh-CN" w:bidi="ar-SA"/>
            </w:rPr>
            <w:instrText xml:space="preserve"> HYPERLINK \l "_Toc148683016" </w:instrText>
          </w:r>
          <w:r>
            <w:rPr>
              <w:rFonts w:ascii="仿宋" w:hAnsi="仿宋" w:eastAsia="宋体" w:cs="Times New Roman"/>
              <w:b/>
              <w:bCs/>
              <w:color w:val="auto"/>
              <w:kern w:val="2"/>
              <w:sz w:val="28"/>
              <w:szCs w:val="32"/>
              <w:lang w:val="en-US" w:eastAsia="zh-CN" w:bidi="ar-SA"/>
            </w:rPr>
            <w:fldChar w:fldCharType="separate"/>
          </w:r>
          <w:r>
            <w:rPr>
              <w:rFonts w:ascii="Calibri" w:hAnsi="Calibri" w:eastAsia="宋体" w:cs="Times New Roman"/>
              <w:b/>
              <w:bCs/>
              <w:color w:val="auto"/>
              <w:kern w:val="2"/>
              <w:sz w:val="32"/>
              <w:szCs w:val="24"/>
              <w:u w:val="single"/>
              <w:lang w:val="en-US" w:eastAsia="zh-CN" w:bidi="ar-SA"/>
            </w:rPr>
            <w:t>二</w:t>
          </w:r>
          <w:r>
            <w:rPr>
              <w:rFonts w:hint="eastAsia" w:ascii="Calibri" w:hAnsi="Calibri" w:eastAsia="宋体" w:cs="Times New Roman"/>
              <w:b/>
              <w:bCs/>
              <w:color w:val="auto"/>
              <w:kern w:val="2"/>
              <w:sz w:val="32"/>
              <w:szCs w:val="24"/>
              <w:u w:val="single"/>
              <w:lang w:val="en-US" w:eastAsia="zh-CN" w:bidi="ar-SA"/>
            </w:rPr>
            <w:t>、</w:t>
          </w:r>
          <w:r>
            <w:rPr>
              <w:rFonts w:ascii="Calibri" w:hAnsi="Calibri" w:eastAsia="宋体" w:cs="Times New Roman"/>
              <w:b/>
              <w:bCs/>
              <w:color w:val="auto"/>
              <w:kern w:val="2"/>
              <w:sz w:val="32"/>
              <w:szCs w:val="24"/>
              <w:u w:val="single"/>
              <w:lang w:val="en-US" w:eastAsia="zh-CN" w:bidi="ar-SA"/>
            </w:rPr>
            <w:t>需求预测</w:t>
          </w:r>
          <w:r>
            <w:rPr>
              <w:rFonts w:ascii="仿宋" w:hAnsi="仿宋" w:eastAsia="宋体" w:cs="Times New Roman"/>
              <w:b/>
              <w:bCs/>
              <w:color w:val="auto"/>
              <w:kern w:val="2"/>
              <w:sz w:val="32"/>
              <w:szCs w:val="32"/>
              <w:lang w:val="en-US" w:eastAsia="zh-CN" w:bidi="ar-SA"/>
            </w:rPr>
            <w:tab/>
          </w:r>
          <w:r>
            <w:rPr>
              <w:rFonts w:ascii="仿宋" w:hAnsi="仿宋" w:eastAsia="宋体" w:cs="Times New Roman"/>
              <w:b/>
              <w:bCs/>
              <w:color w:val="auto"/>
              <w:kern w:val="2"/>
              <w:sz w:val="32"/>
              <w:szCs w:val="32"/>
              <w:lang w:val="en-US" w:eastAsia="zh-CN" w:bidi="ar-SA"/>
            </w:rPr>
            <w:fldChar w:fldCharType="begin"/>
          </w:r>
          <w:r>
            <w:rPr>
              <w:rFonts w:ascii="仿宋" w:hAnsi="仿宋" w:eastAsia="宋体" w:cs="Times New Roman"/>
              <w:b/>
              <w:bCs/>
              <w:color w:val="auto"/>
              <w:kern w:val="2"/>
              <w:sz w:val="32"/>
              <w:szCs w:val="32"/>
              <w:lang w:val="en-US" w:eastAsia="zh-CN" w:bidi="ar-SA"/>
            </w:rPr>
            <w:instrText xml:space="preserve"> PAGEREF _Toc148683016 \h </w:instrText>
          </w:r>
          <w:r>
            <w:rPr>
              <w:rFonts w:ascii="仿宋" w:hAnsi="仿宋" w:eastAsia="宋体" w:cs="Times New Roman"/>
              <w:b/>
              <w:bCs/>
              <w:color w:val="auto"/>
              <w:kern w:val="2"/>
              <w:sz w:val="32"/>
              <w:szCs w:val="32"/>
              <w:lang w:val="en-US" w:eastAsia="zh-CN" w:bidi="ar-SA"/>
            </w:rPr>
            <w:fldChar w:fldCharType="separate"/>
          </w:r>
          <w:r>
            <w:rPr>
              <w:rFonts w:ascii="仿宋" w:hAnsi="仿宋" w:eastAsia="宋体" w:cs="Times New Roman"/>
              <w:b/>
              <w:bCs/>
              <w:color w:val="auto"/>
              <w:kern w:val="2"/>
              <w:sz w:val="32"/>
              <w:szCs w:val="32"/>
              <w:lang w:val="en-US" w:eastAsia="zh-CN" w:bidi="ar-SA"/>
            </w:rPr>
            <w:t>5</w:t>
          </w:r>
          <w:r>
            <w:rPr>
              <w:rFonts w:ascii="仿宋" w:hAnsi="仿宋" w:eastAsia="宋体" w:cs="Times New Roman"/>
              <w:b/>
              <w:bCs/>
              <w:color w:val="auto"/>
              <w:kern w:val="2"/>
              <w:sz w:val="32"/>
              <w:szCs w:val="32"/>
              <w:lang w:val="en-US" w:eastAsia="zh-CN" w:bidi="ar-SA"/>
            </w:rPr>
            <w:fldChar w:fldCharType="end"/>
          </w:r>
          <w:r>
            <w:rPr>
              <w:rFonts w:ascii="仿宋" w:hAnsi="仿宋" w:eastAsia="宋体" w:cs="Times New Roman"/>
              <w:b/>
              <w:bCs/>
              <w:color w:val="auto"/>
              <w:kern w:val="2"/>
              <w:sz w:val="32"/>
              <w:szCs w:val="32"/>
              <w:lang w:val="en-US" w:eastAsia="zh-CN" w:bidi="ar-SA"/>
            </w:rPr>
            <w:fldChar w:fldCharType="end"/>
          </w:r>
        </w:p>
        <w:p>
          <w:pPr>
            <w:widowControl w:val="0"/>
            <w:tabs>
              <w:tab w:val="left" w:pos="1260"/>
              <w:tab w:val="right" w:leader="dot" w:pos="8300"/>
            </w:tabs>
            <w:spacing w:before="0" w:beforeLines="0" w:line="360" w:lineRule="auto"/>
            <w:ind w:left="420" w:leftChars="200"/>
            <w:jc w:val="left"/>
            <w:rPr>
              <w:rFonts w:ascii="Calibri" w:hAnsi="Calibri" w:eastAsia="宋体" w:cs="Times New Roman"/>
              <w:color w:val="auto"/>
              <w:kern w:val="2"/>
              <w:sz w:val="22"/>
              <w:szCs w:val="22"/>
              <w:lang w:val="en-US" w:eastAsia="zh-CN" w:bidi="ar-SA"/>
            </w:rPr>
          </w:pPr>
          <w:r>
            <w:rPr>
              <w:rFonts w:ascii="仿宋" w:hAnsi="仿宋" w:eastAsia="宋体" w:cs="Times New Roman"/>
              <w:color w:val="auto"/>
              <w:kern w:val="2"/>
              <w:sz w:val="24"/>
              <w:szCs w:val="36"/>
              <w:lang w:val="en-US" w:eastAsia="zh-CN" w:bidi="ar-SA"/>
            </w:rPr>
            <w:fldChar w:fldCharType="begin"/>
          </w:r>
          <w:r>
            <w:rPr>
              <w:rFonts w:ascii="仿宋" w:hAnsi="仿宋" w:eastAsia="宋体" w:cs="Times New Roman"/>
              <w:color w:val="auto"/>
              <w:kern w:val="2"/>
              <w:sz w:val="24"/>
              <w:szCs w:val="36"/>
              <w:lang w:val="en-US" w:eastAsia="zh-CN" w:bidi="ar-SA"/>
            </w:rPr>
            <w:instrText xml:space="preserve"> HYPERLINK \l "_Toc148683017" </w:instrText>
          </w:r>
          <w:r>
            <w:rPr>
              <w:rFonts w:ascii="仿宋" w:hAnsi="仿宋" w:eastAsia="宋体" w:cs="Times New Roman"/>
              <w:color w:val="auto"/>
              <w:kern w:val="2"/>
              <w:sz w:val="24"/>
              <w:szCs w:val="36"/>
              <w:lang w:val="en-US" w:eastAsia="zh-CN" w:bidi="ar-SA"/>
            </w:rPr>
            <w:fldChar w:fldCharType="separate"/>
          </w:r>
          <w:r>
            <w:rPr>
              <w:rFonts w:hint="eastAsia" w:ascii="Calibri" w:hAnsi="Calibri" w:eastAsia="宋体" w:cs="Times New Roman"/>
              <w:color w:val="auto"/>
              <w:kern w:val="2"/>
              <w:sz w:val="28"/>
              <w:szCs w:val="24"/>
              <w:u w:val="single"/>
              <w:lang w:val="en-US" w:eastAsia="zh-CN" w:bidi="ar-SA"/>
            </w:rPr>
            <w:t>（一）</w:t>
          </w:r>
          <w:r>
            <w:rPr>
              <w:rFonts w:ascii="Calibri" w:hAnsi="Calibri" w:eastAsia="宋体" w:cs="Times New Roman"/>
              <w:color w:val="auto"/>
              <w:kern w:val="2"/>
              <w:sz w:val="28"/>
              <w:szCs w:val="24"/>
              <w:u w:val="single"/>
              <w:lang w:val="en-US" w:eastAsia="zh-CN" w:bidi="ar-SA"/>
            </w:rPr>
            <w:t>电动汽车需求预测</w:t>
          </w:r>
          <w:r>
            <w:rPr>
              <w:rFonts w:ascii="仿宋" w:hAnsi="仿宋" w:eastAsia="宋体" w:cs="Times New Roman"/>
              <w:color w:val="auto"/>
              <w:kern w:val="2"/>
              <w:sz w:val="28"/>
              <w:szCs w:val="36"/>
              <w:lang w:val="en-US" w:eastAsia="zh-CN" w:bidi="ar-SA"/>
            </w:rPr>
            <w:tab/>
          </w:r>
          <w:r>
            <w:rPr>
              <w:rFonts w:ascii="仿宋" w:hAnsi="仿宋" w:eastAsia="宋体" w:cs="Times New Roman"/>
              <w:color w:val="auto"/>
              <w:kern w:val="2"/>
              <w:sz w:val="28"/>
              <w:szCs w:val="36"/>
              <w:lang w:val="en-US" w:eastAsia="zh-CN" w:bidi="ar-SA"/>
            </w:rPr>
            <w:fldChar w:fldCharType="begin"/>
          </w:r>
          <w:r>
            <w:rPr>
              <w:rFonts w:ascii="仿宋" w:hAnsi="仿宋" w:eastAsia="宋体" w:cs="Times New Roman"/>
              <w:color w:val="auto"/>
              <w:kern w:val="2"/>
              <w:sz w:val="28"/>
              <w:szCs w:val="36"/>
              <w:lang w:val="en-US" w:eastAsia="zh-CN" w:bidi="ar-SA"/>
            </w:rPr>
            <w:instrText xml:space="preserve"> PAGEREF _Toc148683017 \h </w:instrText>
          </w:r>
          <w:r>
            <w:rPr>
              <w:rFonts w:ascii="仿宋" w:hAnsi="仿宋" w:eastAsia="宋体" w:cs="Times New Roman"/>
              <w:color w:val="auto"/>
              <w:kern w:val="2"/>
              <w:sz w:val="28"/>
              <w:szCs w:val="36"/>
              <w:lang w:val="en-US" w:eastAsia="zh-CN" w:bidi="ar-SA"/>
            </w:rPr>
            <w:fldChar w:fldCharType="separate"/>
          </w:r>
          <w:r>
            <w:rPr>
              <w:rFonts w:ascii="仿宋" w:hAnsi="仿宋" w:eastAsia="宋体" w:cs="Times New Roman"/>
              <w:color w:val="auto"/>
              <w:kern w:val="2"/>
              <w:sz w:val="28"/>
              <w:szCs w:val="36"/>
              <w:lang w:val="en-US" w:eastAsia="zh-CN" w:bidi="ar-SA"/>
            </w:rPr>
            <w:t>5</w:t>
          </w:r>
          <w:r>
            <w:rPr>
              <w:rFonts w:ascii="仿宋" w:hAnsi="仿宋" w:eastAsia="宋体" w:cs="Times New Roman"/>
              <w:color w:val="auto"/>
              <w:kern w:val="2"/>
              <w:sz w:val="28"/>
              <w:szCs w:val="36"/>
              <w:lang w:val="en-US" w:eastAsia="zh-CN" w:bidi="ar-SA"/>
            </w:rPr>
            <w:fldChar w:fldCharType="end"/>
          </w:r>
          <w:r>
            <w:rPr>
              <w:rFonts w:ascii="仿宋" w:hAnsi="仿宋" w:eastAsia="宋体" w:cs="Times New Roman"/>
              <w:color w:val="auto"/>
              <w:kern w:val="2"/>
              <w:sz w:val="28"/>
              <w:szCs w:val="36"/>
              <w:lang w:val="en-US" w:eastAsia="zh-CN" w:bidi="ar-SA"/>
            </w:rPr>
            <w:fldChar w:fldCharType="end"/>
          </w:r>
        </w:p>
        <w:p>
          <w:pPr>
            <w:widowControl w:val="0"/>
            <w:tabs>
              <w:tab w:val="left" w:pos="1260"/>
              <w:tab w:val="right" w:leader="dot" w:pos="8300"/>
            </w:tabs>
            <w:spacing w:before="0" w:beforeLines="0" w:line="360" w:lineRule="auto"/>
            <w:ind w:left="420" w:leftChars="200"/>
            <w:jc w:val="left"/>
            <w:rPr>
              <w:rFonts w:ascii="Calibri" w:hAnsi="Calibri" w:eastAsia="宋体" w:cs="Times New Roman"/>
              <w:color w:val="auto"/>
              <w:kern w:val="2"/>
              <w:sz w:val="22"/>
              <w:szCs w:val="22"/>
              <w:lang w:val="en-US" w:eastAsia="zh-CN" w:bidi="ar-SA"/>
            </w:rPr>
          </w:pPr>
          <w:r>
            <w:rPr>
              <w:rFonts w:ascii="仿宋" w:hAnsi="仿宋" w:eastAsia="宋体" w:cs="Times New Roman"/>
              <w:color w:val="auto"/>
              <w:kern w:val="2"/>
              <w:sz w:val="24"/>
              <w:szCs w:val="36"/>
              <w:lang w:val="en-US" w:eastAsia="zh-CN" w:bidi="ar-SA"/>
            </w:rPr>
            <w:fldChar w:fldCharType="begin"/>
          </w:r>
          <w:r>
            <w:rPr>
              <w:rFonts w:ascii="仿宋" w:hAnsi="仿宋" w:eastAsia="宋体" w:cs="Times New Roman"/>
              <w:color w:val="auto"/>
              <w:kern w:val="2"/>
              <w:sz w:val="24"/>
              <w:szCs w:val="36"/>
              <w:lang w:val="en-US" w:eastAsia="zh-CN" w:bidi="ar-SA"/>
            </w:rPr>
            <w:instrText xml:space="preserve"> HYPERLINK \l "_Toc148683018" </w:instrText>
          </w:r>
          <w:r>
            <w:rPr>
              <w:rFonts w:ascii="仿宋" w:hAnsi="仿宋" w:eastAsia="宋体" w:cs="Times New Roman"/>
              <w:color w:val="auto"/>
              <w:kern w:val="2"/>
              <w:sz w:val="24"/>
              <w:szCs w:val="36"/>
              <w:lang w:val="en-US" w:eastAsia="zh-CN" w:bidi="ar-SA"/>
            </w:rPr>
            <w:fldChar w:fldCharType="separate"/>
          </w:r>
          <w:r>
            <w:rPr>
              <w:rFonts w:hint="eastAsia" w:ascii="Calibri" w:hAnsi="Calibri" w:eastAsia="宋体" w:cs="Times New Roman"/>
              <w:color w:val="auto"/>
              <w:kern w:val="2"/>
              <w:sz w:val="28"/>
              <w:szCs w:val="24"/>
              <w:u w:val="single"/>
              <w:lang w:val="en-US" w:eastAsia="zh-CN" w:bidi="ar-SA"/>
            </w:rPr>
            <w:t>（二）</w:t>
          </w:r>
          <w:r>
            <w:rPr>
              <w:rFonts w:ascii="Calibri" w:hAnsi="Calibri" w:eastAsia="宋体" w:cs="Times New Roman"/>
              <w:color w:val="auto"/>
              <w:kern w:val="2"/>
              <w:sz w:val="28"/>
              <w:szCs w:val="24"/>
              <w:u w:val="single"/>
              <w:lang w:val="en-US" w:eastAsia="zh-CN" w:bidi="ar-SA"/>
            </w:rPr>
            <w:t>充电设施需求预测</w:t>
          </w:r>
          <w:r>
            <w:rPr>
              <w:rFonts w:ascii="仿宋" w:hAnsi="仿宋" w:eastAsia="宋体" w:cs="Times New Roman"/>
              <w:color w:val="auto"/>
              <w:kern w:val="2"/>
              <w:sz w:val="28"/>
              <w:szCs w:val="36"/>
              <w:lang w:val="en-US" w:eastAsia="zh-CN" w:bidi="ar-SA"/>
            </w:rPr>
            <w:tab/>
          </w:r>
          <w:r>
            <w:rPr>
              <w:rFonts w:ascii="仿宋" w:hAnsi="仿宋" w:eastAsia="宋体" w:cs="Times New Roman"/>
              <w:color w:val="auto"/>
              <w:kern w:val="2"/>
              <w:sz w:val="28"/>
              <w:szCs w:val="36"/>
              <w:lang w:val="en-US" w:eastAsia="zh-CN" w:bidi="ar-SA"/>
            </w:rPr>
            <w:fldChar w:fldCharType="begin"/>
          </w:r>
          <w:r>
            <w:rPr>
              <w:rFonts w:ascii="仿宋" w:hAnsi="仿宋" w:eastAsia="宋体" w:cs="Times New Roman"/>
              <w:color w:val="auto"/>
              <w:kern w:val="2"/>
              <w:sz w:val="28"/>
              <w:szCs w:val="36"/>
              <w:lang w:val="en-US" w:eastAsia="zh-CN" w:bidi="ar-SA"/>
            </w:rPr>
            <w:instrText xml:space="preserve"> PAGEREF _Toc148683018 \h </w:instrText>
          </w:r>
          <w:r>
            <w:rPr>
              <w:rFonts w:ascii="仿宋" w:hAnsi="仿宋" w:eastAsia="宋体" w:cs="Times New Roman"/>
              <w:color w:val="auto"/>
              <w:kern w:val="2"/>
              <w:sz w:val="28"/>
              <w:szCs w:val="36"/>
              <w:lang w:val="en-US" w:eastAsia="zh-CN" w:bidi="ar-SA"/>
            </w:rPr>
            <w:fldChar w:fldCharType="separate"/>
          </w:r>
          <w:r>
            <w:rPr>
              <w:rFonts w:ascii="仿宋" w:hAnsi="仿宋" w:eastAsia="宋体" w:cs="Times New Roman"/>
              <w:color w:val="auto"/>
              <w:kern w:val="2"/>
              <w:sz w:val="28"/>
              <w:szCs w:val="36"/>
              <w:lang w:val="en-US" w:eastAsia="zh-CN" w:bidi="ar-SA"/>
            </w:rPr>
            <w:t>7</w:t>
          </w:r>
          <w:r>
            <w:rPr>
              <w:rFonts w:ascii="仿宋" w:hAnsi="仿宋" w:eastAsia="宋体" w:cs="Times New Roman"/>
              <w:color w:val="auto"/>
              <w:kern w:val="2"/>
              <w:sz w:val="28"/>
              <w:szCs w:val="36"/>
              <w:lang w:val="en-US" w:eastAsia="zh-CN" w:bidi="ar-SA"/>
            </w:rPr>
            <w:fldChar w:fldCharType="end"/>
          </w:r>
          <w:r>
            <w:rPr>
              <w:rFonts w:ascii="仿宋" w:hAnsi="仿宋" w:eastAsia="宋体" w:cs="Times New Roman"/>
              <w:color w:val="auto"/>
              <w:kern w:val="2"/>
              <w:sz w:val="28"/>
              <w:szCs w:val="36"/>
              <w:lang w:val="en-US" w:eastAsia="zh-CN" w:bidi="ar-SA"/>
            </w:rPr>
            <w:fldChar w:fldCharType="end"/>
          </w:r>
        </w:p>
        <w:p>
          <w:pPr>
            <w:widowControl w:val="0"/>
            <w:tabs>
              <w:tab w:val="left" w:pos="1680"/>
              <w:tab w:val="right" w:leader="dot" w:pos="8300"/>
            </w:tabs>
            <w:spacing w:before="0" w:beforeLines="0" w:line="360" w:lineRule="auto"/>
            <w:ind w:left="420" w:leftChars="200"/>
            <w:jc w:val="left"/>
            <w:rPr>
              <w:rFonts w:ascii="Calibri" w:hAnsi="Calibri" w:eastAsia="宋体" w:cs="Times New Roman"/>
              <w:b w:val="0"/>
              <w:bCs w:val="0"/>
              <w:color w:val="auto"/>
              <w:kern w:val="2"/>
              <w:sz w:val="22"/>
              <w:szCs w:val="22"/>
              <w:lang w:val="en-US" w:eastAsia="zh-CN" w:bidi="ar-SA"/>
            </w:rPr>
          </w:pPr>
          <w:r>
            <w:rPr>
              <w:rFonts w:ascii="仿宋" w:hAnsi="仿宋" w:eastAsia="宋体" w:cs="Times New Roman"/>
              <w:b/>
              <w:bCs/>
              <w:color w:val="auto"/>
              <w:kern w:val="2"/>
              <w:sz w:val="28"/>
              <w:szCs w:val="32"/>
              <w:lang w:val="en-US" w:eastAsia="zh-CN" w:bidi="ar-SA"/>
            </w:rPr>
            <w:fldChar w:fldCharType="begin"/>
          </w:r>
          <w:r>
            <w:rPr>
              <w:rFonts w:ascii="仿宋" w:hAnsi="仿宋" w:eastAsia="宋体" w:cs="Times New Roman"/>
              <w:b/>
              <w:bCs/>
              <w:color w:val="auto"/>
              <w:kern w:val="2"/>
              <w:sz w:val="28"/>
              <w:szCs w:val="32"/>
              <w:lang w:val="en-US" w:eastAsia="zh-CN" w:bidi="ar-SA"/>
            </w:rPr>
            <w:instrText xml:space="preserve"> HYPERLINK \l "_Toc148683019" </w:instrText>
          </w:r>
          <w:r>
            <w:rPr>
              <w:rFonts w:ascii="仿宋" w:hAnsi="仿宋" w:eastAsia="宋体" w:cs="Times New Roman"/>
              <w:b/>
              <w:bCs/>
              <w:color w:val="auto"/>
              <w:kern w:val="2"/>
              <w:sz w:val="28"/>
              <w:szCs w:val="32"/>
              <w:lang w:val="en-US" w:eastAsia="zh-CN" w:bidi="ar-SA"/>
            </w:rPr>
            <w:fldChar w:fldCharType="separate"/>
          </w:r>
          <w:r>
            <w:rPr>
              <w:rFonts w:ascii="Calibri" w:hAnsi="Calibri" w:eastAsia="宋体" w:cs="Times New Roman"/>
              <w:b/>
              <w:bCs/>
              <w:color w:val="auto"/>
              <w:kern w:val="2"/>
              <w:sz w:val="32"/>
              <w:szCs w:val="24"/>
              <w:u w:val="single"/>
              <w:lang w:val="en-US" w:eastAsia="zh-CN" w:bidi="ar-SA"/>
            </w:rPr>
            <w:t>三</w:t>
          </w:r>
          <w:r>
            <w:rPr>
              <w:rFonts w:hint="eastAsia" w:ascii="Calibri" w:hAnsi="Calibri" w:eastAsia="宋体" w:cs="Times New Roman"/>
              <w:b/>
              <w:bCs/>
              <w:color w:val="auto"/>
              <w:kern w:val="2"/>
              <w:sz w:val="32"/>
              <w:szCs w:val="24"/>
              <w:u w:val="single"/>
              <w:lang w:val="en-US" w:eastAsia="zh-CN" w:bidi="ar-SA"/>
            </w:rPr>
            <w:t>、</w:t>
          </w:r>
          <w:r>
            <w:rPr>
              <w:rFonts w:ascii="Calibri" w:hAnsi="Calibri" w:eastAsia="宋体" w:cs="Times New Roman"/>
              <w:b/>
              <w:bCs/>
              <w:color w:val="auto"/>
              <w:kern w:val="2"/>
              <w:sz w:val="32"/>
              <w:szCs w:val="24"/>
              <w:u w:val="single"/>
              <w:lang w:val="en-US" w:eastAsia="zh-CN" w:bidi="ar-SA"/>
            </w:rPr>
            <w:t>总体要求和发展目标</w:t>
          </w:r>
          <w:r>
            <w:rPr>
              <w:rFonts w:ascii="仿宋" w:hAnsi="仿宋" w:eastAsia="宋体" w:cs="Times New Roman"/>
              <w:b/>
              <w:bCs/>
              <w:color w:val="auto"/>
              <w:kern w:val="2"/>
              <w:sz w:val="32"/>
              <w:szCs w:val="32"/>
              <w:lang w:val="en-US" w:eastAsia="zh-CN" w:bidi="ar-SA"/>
            </w:rPr>
            <w:tab/>
          </w:r>
          <w:r>
            <w:rPr>
              <w:rFonts w:ascii="仿宋" w:hAnsi="仿宋" w:eastAsia="宋体" w:cs="Times New Roman"/>
              <w:b/>
              <w:bCs/>
              <w:color w:val="auto"/>
              <w:kern w:val="2"/>
              <w:sz w:val="32"/>
              <w:szCs w:val="32"/>
              <w:lang w:val="en-US" w:eastAsia="zh-CN" w:bidi="ar-SA"/>
            </w:rPr>
            <w:fldChar w:fldCharType="begin"/>
          </w:r>
          <w:r>
            <w:rPr>
              <w:rFonts w:ascii="仿宋" w:hAnsi="仿宋" w:eastAsia="宋体" w:cs="Times New Roman"/>
              <w:b/>
              <w:bCs/>
              <w:color w:val="auto"/>
              <w:kern w:val="2"/>
              <w:sz w:val="32"/>
              <w:szCs w:val="32"/>
              <w:lang w:val="en-US" w:eastAsia="zh-CN" w:bidi="ar-SA"/>
            </w:rPr>
            <w:instrText xml:space="preserve"> PAGEREF _Toc148683019 \h </w:instrText>
          </w:r>
          <w:r>
            <w:rPr>
              <w:rFonts w:ascii="仿宋" w:hAnsi="仿宋" w:eastAsia="宋体" w:cs="Times New Roman"/>
              <w:b/>
              <w:bCs/>
              <w:color w:val="auto"/>
              <w:kern w:val="2"/>
              <w:sz w:val="32"/>
              <w:szCs w:val="32"/>
              <w:lang w:val="en-US" w:eastAsia="zh-CN" w:bidi="ar-SA"/>
            </w:rPr>
            <w:fldChar w:fldCharType="separate"/>
          </w:r>
          <w:r>
            <w:rPr>
              <w:rFonts w:ascii="仿宋" w:hAnsi="仿宋" w:eastAsia="宋体" w:cs="Times New Roman"/>
              <w:b/>
              <w:bCs/>
              <w:color w:val="auto"/>
              <w:kern w:val="2"/>
              <w:sz w:val="32"/>
              <w:szCs w:val="32"/>
              <w:lang w:val="en-US" w:eastAsia="zh-CN" w:bidi="ar-SA"/>
            </w:rPr>
            <w:t>7</w:t>
          </w:r>
          <w:r>
            <w:rPr>
              <w:rFonts w:ascii="仿宋" w:hAnsi="仿宋" w:eastAsia="宋体" w:cs="Times New Roman"/>
              <w:b/>
              <w:bCs/>
              <w:color w:val="auto"/>
              <w:kern w:val="2"/>
              <w:sz w:val="32"/>
              <w:szCs w:val="32"/>
              <w:lang w:val="en-US" w:eastAsia="zh-CN" w:bidi="ar-SA"/>
            </w:rPr>
            <w:fldChar w:fldCharType="end"/>
          </w:r>
          <w:r>
            <w:rPr>
              <w:rFonts w:ascii="仿宋" w:hAnsi="仿宋" w:eastAsia="宋体" w:cs="Times New Roman"/>
              <w:b/>
              <w:bCs/>
              <w:color w:val="auto"/>
              <w:kern w:val="2"/>
              <w:sz w:val="32"/>
              <w:szCs w:val="32"/>
              <w:lang w:val="en-US" w:eastAsia="zh-CN" w:bidi="ar-SA"/>
            </w:rPr>
            <w:fldChar w:fldCharType="end"/>
          </w:r>
        </w:p>
        <w:p>
          <w:pPr>
            <w:widowControl w:val="0"/>
            <w:tabs>
              <w:tab w:val="left" w:pos="1260"/>
              <w:tab w:val="right" w:leader="dot" w:pos="8300"/>
            </w:tabs>
            <w:spacing w:before="0" w:beforeLines="0" w:line="360" w:lineRule="auto"/>
            <w:ind w:left="420" w:leftChars="200"/>
            <w:jc w:val="left"/>
            <w:rPr>
              <w:rFonts w:ascii="Calibri" w:hAnsi="Calibri" w:eastAsia="宋体" w:cs="Times New Roman"/>
              <w:color w:val="auto"/>
              <w:kern w:val="2"/>
              <w:sz w:val="22"/>
              <w:szCs w:val="22"/>
              <w:lang w:val="en-US" w:eastAsia="zh-CN" w:bidi="ar-SA"/>
            </w:rPr>
          </w:pPr>
          <w:r>
            <w:rPr>
              <w:rFonts w:ascii="仿宋" w:hAnsi="仿宋" w:eastAsia="宋体" w:cs="Times New Roman"/>
              <w:color w:val="auto"/>
              <w:kern w:val="2"/>
              <w:sz w:val="24"/>
              <w:szCs w:val="36"/>
              <w:lang w:val="en-US" w:eastAsia="zh-CN" w:bidi="ar-SA"/>
            </w:rPr>
            <w:fldChar w:fldCharType="begin"/>
          </w:r>
          <w:r>
            <w:rPr>
              <w:rFonts w:ascii="仿宋" w:hAnsi="仿宋" w:eastAsia="宋体" w:cs="Times New Roman"/>
              <w:color w:val="auto"/>
              <w:kern w:val="2"/>
              <w:sz w:val="24"/>
              <w:szCs w:val="36"/>
              <w:lang w:val="en-US" w:eastAsia="zh-CN" w:bidi="ar-SA"/>
            </w:rPr>
            <w:instrText xml:space="preserve"> HYPERLINK \l "_Toc148683020" </w:instrText>
          </w:r>
          <w:r>
            <w:rPr>
              <w:rFonts w:ascii="仿宋" w:hAnsi="仿宋" w:eastAsia="宋体" w:cs="Times New Roman"/>
              <w:color w:val="auto"/>
              <w:kern w:val="2"/>
              <w:sz w:val="24"/>
              <w:szCs w:val="36"/>
              <w:lang w:val="en-US" w:eastAsia="zh-CN" w:bidi="ar-SA"/>
            </w:rPr>
            <w:fldChar w:fldCharType="separate"/>
          </w:r>
          <w:r>
            <w:rPr>
              <w:rFonts w:hint="eastAsia" w:ascii="Calibri" w:hAnsi="Calibri" w:eastAsia="宋体" w:cs="Times New Roman"/>
              <w:color w:val="auto"/>
              <w:kern w:val="2"/>
              <w:sz w:val="28"/>
              <w:szCs w:val="24"/>
              <w:u w:val="single"/>
              <w:lang w:val="en-US" w:eastAsia="zh-CN" w:bidi="ar-SA"/>
            </w:rPr>
            <w:t>（一）</w:t>
          </w:r>
          <w:r>
            <w:rPr>
              <w:rFonts w:ascii="Calibri" w:hAnsi="Calibri" w:eastAsia="宋体" w:cs="Times New Roman"/>
              <w:color w:val="auto"/>
              <w:kern w:val="2"/>
              <w:sz w:val="28"/>
              <w:szCs w:val="24"/>
              <w:u w:val="single"/>
              <w:lang w:val="en-US" w:eastAsia="zh-CN" w:bidi="ar-SA"/>
            </w:rPr>
            <w:t>指导思想</w:t>
          </w:r>
          <w:r>
            <w:rPr>
              <w:rFonts w:ascii="仿宋" w:hAnsi="仿宋" w:eastAsia="宋体" w:cs="Times New Roman"/>
              <w:color w:val="auto"/>
              <w:kern w:val="2"/>
              <w:sz w:val="28"/>
              <w:szCs w:val="36"/>
              <w:lang w:val="en-US" w:eastAsia="zh-CN" w:bidi="ar-SA"/>
            </w:rPr>
            <w:tab/>
          </w:r>
          <w:r>
            <w:rPr>
              <w:rFonts w:ascii="仿宋" w:hAnsi="仿宋" w:eastAsia="宋体" w:cs="Times New Roman"/>
              <w:color w:val="auto"/>
              <w:kern w:val="2"/>
              <w:sz w:val="28"/>
              <w:szCs w:val="36"/>
              <w:lang w:val="en-US" w:eastAsia="zh-CN" w:bidi="ar-SA"/>
            </w:rPr>
            <w:fldChar w:fldCharType="begin"/>
          </w:r>
          <w:r>
            <w:rPr>
              <w:rFonts w:ascii="仿宋" w:hAnsi="仿宋" w:eastAsia="宋体" w:cs="Times New Roman"/>
              <w:color w:val="auto"/>
              <w:kern w:val="2"/>
              <w:sz w:val="28"/>
              <w:szCs w:val="36"/>
              <w:lang w:val="en-US" w:eastAsia="zh-CN" w:bidi="ar-SA"/>
            </w:rPr>
            <w:instrText xml:space="preserve"> PAGEREF _Toc148683020 \h </w:instrText>
          </w:r>
          <w:r>
            <w:rPr>
              <w:rFonts w:ascii="仿宋" w:hAnsi="仿宋" w:eastAsia="宋体" w:cs="Times New Roman"/>
              <w:color w:val="auto"/>
              <w:kern w:val="2"/>
              <w:sz w:val="28"/>
              <w:szCs w:val="36"/>
              <w:lang w:val="en-US" w:eastAsia="zh-CN" w:bidi="ar-SA"/>
            </w:rPr>
            <w:fldChar w:fldCharType="separate"/>
          </w:r>
          <w:r>
            <w:rPr>
              <w:rFonts w:ascii="仿宋" w:hAnsi="仿宋" w:eastAsia="宋体" w:cs="Times New Roman"/>
              <w:color w:val="auto"/>
              <w:kern w:val="2"/>
              <w:sz w:val="28"/>
              <w:szCs w:val="36"/>
              <w:lang w:val="en-US" w:eastAsia="zh-CN" w:bidi="ar-SA"/>
            </w:rPr>
            <w:t>7</w:t>
          </w:r>
          <w:r>
            <w:rPr>
              <w:rFonts w:ascii="仿宋" w:hAnsi="仿宋" w:eastAsia="宋体" w:cs="Times New Roman"/>
              <w:color w:val="auto"/>
              <w:kern w:val="2"/>
              <w:sz w:val="28"/>
              <w:szCs w:val="36"/>
              <w:lang w:val="en-US" w:eastAsia="zh-CN" w:bidi="ar-SA"/>
            </w:rPr>
            <w:fldChar w:fldCharType="end"/>
          </w:r>
          <w:r>
            <w:rPr>
              <w:rFonts w:ascii="仿宋" w:hAnsi="仿宋" w:eastAsia="宋体" w:cs="Times New Roman"/>
              <w:color w:val="auto"/>
              <w:kern w:val="2"/>
              <w:sz w:val="28"/>
              <w:szCs w:val="36"/>
              <w:lang w:val="en-US" w:eastAsia="zh-CN" w:bidi="ar-SA"/>
            </w:rPr>
            <w:fldChar w:fldCharType="end"/>
          </w:r>
        </w:p>
        <w:p>
          <w:pPr>
            <w:widowControl w:val="0"/>
            <w:tabs>
              <w:tab w:val="left" w:pos="1260"/>
              <w:tab w:val="right" w:leader="dot" w:pos="8300"/>
            </w:tabs>
            <w:spacing w:before="0" w:beforeLines="0" w:line="360" w:lineRule="auto"/>
            <w:ind w:left="420" w:leftChars="200"/>
            <w:jc w:val="left"/>
            <w:rPr>
              <w:rFonts w:ascii="Calibri" w:hAnsi="Calibri" w:eastAsia="宋体" w:cs="Times New Roman"/>
              <w:color w:val="auto"/>
              <w:kern w:val="2"/>
              <w:sz w:val="22"/>
              <w:szCs w:val="22"/>
              <w:lang w:val="en-US" w:eastAsia="zh-CN" w:bidi="ar-SA"/>
            </w:rPr>
          </w:pPr>
          <w:r>
            <w:rPr>
              <w:rFonts w:ascii="仿宋" w:hAnsi="仿宋" w:eastAsia="宋体" w:cs="Times New Roman"/>
              <w:color w:val="auto"/>
              <w:kern w:val="2"/>
              <w:sz w:val="24"/>
              <w:szCs w:val="36"/>
              <w:lang w:val="en-US" w:eastAsia="zh-CN" w:bidi="ar-SA"/>
            </w:rPr>
            <w:fldChar w:fldCharType="begin"/>
          </w:r>
          <w:r>
            <w:rPr>
              <w:rFonts w:ascii="仿宋" w:hAnsi="仿宋" w:eastAsia="宋体" w:cs="Times New Roman"/>
              <w:color w:val="auto"/>
              <w:kern w:val="2"/>
              <w:sz w:val="24"/>
              <w:szCs w:val="36"/>
              <w:lang w:val="en-US" w:eastAsia="zh-CN" w:bidi="ar-SA"/>
            </w:rPr>
            <w:instrText xml:space="preserve"> HYPERLINK \l "_Toc148683021" </w:instrText>
          </w:r>
          <w:r>
            <w:rPr>
              <w:rFonts w:ascii="仿宋" w:hAnsi="仿宋" w:eastAsia="宋体" w:cs="Times New Roman"/>
              <w:color w:val="auto"/>
              <w:kern w:val="2"/>
              <w:sz w:val="24"/>
              <w:szCs w:val="36"/>
              <w:lang w:val="en-US" w:eastAsia="zh-CN" w:bidi="ar-SA"/>
            </w:rPr>
            <w:fldChar w:fldCharType="separate"/>
          </w:r>
          <w:r>
            <w:rPr>
              <w:rFonts w:hint="eastAsia" w:ascii="Calibri" w:hAnsi="Calibri" w:eastAsia="宋体" w:cs="Times New Roman"/>
              <w:color w:val="auto"/>
              <w:kern w:val="2"/>
              <w:sz w:val="28"/>
              <w:szCs w:val="24"/>
              <w:u w:val="single"/>
              <w:lang w:val="en-US" w:eastAsia="zh-CN" w:bidi="ar-SA"/>
            </w:rPr>
            <w:t>（二）</w:t>
          </w:r>
          <w:r>
            <w:rPr>
              <w:rFonts w:ascii="Calibri" w:hAnsi="Calibri" w:eastAsia="宋体" w:cs="Times New Roman"/>
              <w:color w:val="auto"/>
              <w:kern w:val="2"/>
              <w:sz w:val="28"/>
              <w:szCs w:val="24"/>
              <w:u w:val="single"/>
              <w:lang w:val="en-US" w:eastAsia="zh-CN" w:bidi="ar-SA"/>
            </w:rPr>
            <w:t>发展原则</w:t>
          </w:r>
          <w:r>
            <w:rPr>
              <w:rFonts w:ascii="仿宋" w:hAnsi="仿宋" w:eastAsia="宋体" w:cs="Times New Roman"/>
              <w:color w:val="auto"/>
              <w:kern w:val="2"/>
              <w:sz w:val="28"/>
              <w:szCs w:val="36"/>
              <w:lang w:val="en-US" w:eastAsia="zh-CN" w:bidi="ar-SA"/>
            </w:rPr>
            <w:tab/>
          </w:r>
          <w:r>
            <w:rPr>
              <w:rFonts w:ascii="仿宋" w:hAnsi="仿宋" w:eastAsia="宋体" w:cs="Times New Roman"/>
              <w:color w:val="auto"/>
              <w:kern w:val="2"/>
              <w:sz w:val="28"/>
              <w:szCs w:val="36"/>
              <w:lang w:val="en-US" w:eastAsia="zh-CN" w:bidi="ar-SA"/>
            </w:rPr>
            <w:fldChar w:fldCharType="begin"/>
          </w:r>
          <w:r>
            <w:rPr>
              <w:rFonts w:ascii="仿宋" w:hAnsi="仿宋" w:eastAsia="宋体" w:cs="Times New Roman"/>
              <w:color w:val="auto"/>
              <w:kern w:val="2"/>
              <w:sz w:val="28"/>
              <w:szCs w:val="36"/>
              <w:lang w:val="en-US" w:eastAsia="zh-CN" w:bidi="ar-SA"/>
            </w:rPr>
            <w:instrText xml:space="preserve"> PAGEREF _Toc148683021 \h </w:instrText>
          </w:r>
          <w:r>
            <w:rPr>
              <w:rFonts w:ascii="仿宋" w:hAnsi="仿宋" w:eastAsia="宋体" w:cs="Times New Roman"/>
              <w:color w:val="auto"/>
              <w:kern w:val="2"/>
              <w:sz w:val="28"/>
              <w:szCs w:val="36"/>
              <w:lang w:val="en-US" w:eastAsia="zh-CN" w:bidi="ar-SA"/>
            </w:rPr>
            <w:fldChar w:fldCharType="separate"/>
          </w:r>
          <w:r>
            <w:rPr>
              <w:rFonts w:ascii="仿宋" w:hAnsi="仿宋" w:eastAsia="宋体" w:cs="Times New Roman"/>
              <w:color w:val="auto"/>
              <w:kern w:val="2"/>
              <w:sz w:val="28"/>
              <w:szCs w:val="36"/>
              <w:lang w:val="en-US" w:eastAsia="zh-CN" w:bidi="ar-SA"/>
            </w:rPr>
            <w:t>8</w:t>
          </w:r>
          <w:r>
            <w:rPr>
              <w:rFonts w:ascii="仿宋" w:hAnsi="仿宋" w:eastAsia="宋体" w:cs="Times New Roman"/>
              <w:color w:val="auto"/>
              <w:kern w:val="2"/>
              <w:sz w:val="28"/>
              <w:szCs w:val="36"/>
              <w:lang w:val="en-US" w:eastAsia="zh-CN" w:bidi="ar-SA"/>
            </w:rPr>
            <w:fldChar w:fldCharType="end"/>
          </w:r>
          <w:r>
            <w:rPr>
              <w:rFonts w:ascii="仿宋" w:hAnsi="仿宋" w:eastAsia="宋体" w:cs="Times New Roman"/>
              <w:color w:val="auto"/>
              <w:kern w:val="2"/>
              <w:sz w:val="28"/>
              <w:szCs w:val="36"/>
              <w:lang w:val="en-US" w:eastAsia="zh-CN" w:bidi="ar-SA"/>
            </w:rPr>
            <w:fldChar w:fldCharType="end"/>
          </w:r>
        </w:p>
        <w:p>
          <w:pPr>
            <w:widowControl w:val="0"/>
            <w:tabs>
              <w:tab w:val="left" w:pos="1260"/>
              <w:tab w:val="right" w:leader="dot" w:pos="8300"/>
            </w:tabs>
            <w:spacing w:before="0" w:beforeLines="0" w:line="360" w:lineRule="auto"/>
            <w:ind w:left="420" w:leftChars="200"/>
            <w:jc w:val="left"/>
            <w:rPr>
              <w:rFonts w:ascii="Calibri" w:hAnsi="Calibri" w:eastAsia="宋体" w:cs="Times New Roman"/>
              <w:color w:val="auto"/>
              <w:kern w:val="2"/>
              <w:sz w:val="22"/>
              <w:szCs w:val="22"/>
              <w:lang w:val="en-US" w:eastAsia="zh-CN" w:bidi="ar-SA"/>
            </w:rPr>
          </w:pPr>
          <w:r>
            <w:rPr>
              <w:rFonts w:ascii="仿宋" w:hAnsi="仿宋" w:eastAsia="宋体" w:cs="Times New Roman"/>
              <w:color w:val="auto"/>
              <w:kern w:val="2"/>
              <w:sz w:val="24"/>
              <w:szCs w:val="36"/>
              <w:lang w:val="en-US" w:eastAsia="zh-CN" w:bidi="ar-SA"/>
            </w:rPr>
            <w:fldChar w:fldCharType="begin"/>
          </w:r>
          <w:r>
            <w:rPr>
              <w:rFonts w:ascii="仿宋" w:hAnsi="仿宋" w:eastAsia="宋体" w:cs="Times New Roman"/>
              <w:color w:val="auto"/>
              <w:kern w:val="2"/>
              <w:sz w:val="24"/>
              <w:szCs w:val="36"/>
              <w:lang w:val="en-US" w:eastAsia="zh-CN" w:bidi="ar-SA"/>
            </w:rPr>
            <w:instrText xml:space="preserve"> HYPERLINK \l "_Toc148683022" </w:instrText>
          </w:r>
          <w:r>
            <w:rPr>
              <w:rFonts w:ascii="仿宋" w:hAnsi="仿宋" w:eastAsia="宋体" w:cs="Times New Roman"/>
              <w:color w:val="auto"/>
              <w:kern w:val="2"/>
              <w:sz w:val="24"/>
              <w:szCs w:val="36"/>
              <w:lang w:val="en-US" w:eastAsia="zh-CN" w:bidi="ar-SA"/>
            </w:rPr>
            <w:fldChar w:fldCharType="separate"/>
          </w:r>
          <w:r>
            <w:rPr>
              <w:rFonts w:hint="eastAsia" w:ascii="Calibri" w:hAnsi="Calibri" w:eastAsia="宋体" w:cs="Times New Roman"/>
              <w:color w:val="auto"/>
              <w:kern w:val="2"/>
              <w:sz w:val="28"/>
              <w:szCs w:val="24"/>
              <w:u w:val="single"/>
              <w:lang w:val="en-US" w:eastAsia="zh-CN" w:bidi="ar-SA"/>
            </w:rPr>
            <w:t>（三）</w:t>
          </w:r>
          <w:r>
            <w:rPr>
              <w:rFonts w:ascii="Calibri" w:hAnsi="Calibri" w:eastAsia="宋体" w:cs="Times New Roman"/>
              <w:color w:val="auto"/>
              <w:kern w:val="2"/>
              <w:sz w:val="28"/>
              <w:szCs w:val="24"/>
              <w:u w:val="single"/>
              <w:lang w:val="en-US" w:eastAsia="zh-CN" w:bidi="ar-SA"/>
            </w:rPr>
            <w:t>发展目标</w:t>
          </w:r>
          <w:r>
            <w:rPr>
              <w:rFonts w:ascii="仿宋" w:hAnsi="仿宋" w:eastAsia="宋体" w:cs="Times New Roman"/>
              <w:color w:val="auto"/>
              <w:kern w:val="2"/>
              <w:sz w:val="28"/>
              <w:szCs w:val="36"/>
              <w:lang w:val="en-US" w:eastAsia="zh-CN" w:bidi="ar-SA"/>
            </w:rPr>
            <w:tab/>
          </w:r>
          <w:r>
            <w:rPr>
              <w:rFonts w:ascii="仿宋" w:hAnsi="仿宋" w:eastAsia="宋体" w:cs="Times New Roman"/>
              <w:color w:val="auto"/>
              <w:kern w:val="2"/>
              <w:sz w:val="28"/>
              <w:szCs w:val="36"/>
              <w:lang w:val="en-US" w:eastAsia="zh-CN" w:bidi="ar-SA"/>
            </w:rPr>
            <w:fldChar w:fldCharType="begin"/>
          </w:r>
          <w:r>
            <w:rPr>
              <w:rFonts w:ascii="仿宋" w:hAnsi="仿宋" w:eastAsia="宋体" w:cs="Times New Roman"/>
              <w:color w:val="auto"/>
              <w:kern w:val="2"/>
              <w:sz w:val="28"/>
              <w:szCs w:val="36"/>
              <w:lang w:val="en-US" w:eastAsia="zh-CN" w:bidi="ar-SA"/>
            </w:rPr>
            <w:instrText xml:space="preserve"> PAGEREF _Toc148683022 \h </w:instrText>
          </w:r>
          <w:r>
            <w:rPr>
              <w:rFonts w:ascii="仿宋" w:hAnsi="仿宋" w:eastAsia="宋体" w:cs="Times New Roman"/>
              <w:color w:val="auto"/>
              <w:kern w:val="2"/>
              <w:sz w:val="28"/>
              <w:szCs w:val="36"/>
              <w:lang w:val="en-US" w:eastAsia="zh-CN" w:bidi="ar-SA"/>
            </w:rPr>
            <w:fldChar w:fldCharType="separate"/>
          </w:r>
          <w:r>
            <w:rPr>
              <w:rFonts w:ascii="仿宋" w:hAnsi="仿宋" w:eastAsia="宋体" w:cs="Times New Roman"/>
              <w:color w:val="auto"/>
              <w:kern w:val="2"/>
              <w:sz w:val="28"/>
              <w:szCs w:val="36"/>
              <w:lang w:val="en-US" w:eastAsia="zh-CN" w:bidi="ar-SA"/>
            </w:rPr>
            <w:t>8</w:t>
          </w:r>
          <w:r>
            <w:rPr>
              <w:rFonts w:ascii="仿宋" w:hAnsi="仿宋" w:eastAsia="宋体" w:cs="Times New Roman"/>
              <w:color w:val="auto"/>
              <w:kern w:val="2"/>
              <w:sz w:val="28"/>
              <w:szCs w:val="36"/>
              <w:lang w:val="en-US" w:eastAsia="zh-CN" w:bidi="ar-SA"/>
            </w:rPr>
            <w:fldChar w:fldCharType="end"/>
          </w:r>
          <w:r>
            <w:rPr>
              <w:rFonts w:ascii="仿宋" w:hAnsi="仿宋" w:eastAsia="宋体" w:cs="Times New Roman"/>
              <w:color w:val="auto"/>
              <w:kern w:val="2"/>
              <w:sz w:val="28"/>
              <w:szCs w:val="36"/>
              <w:lang w:val="en-US" w:eastAsia="zh-CN" w:bidi="ar-SA"/>
            </w:rPr>
            <w:fldChar w:fldCharType="end"/>
          </w:r>
        </w:p>
        <w:p>
          <w:pPr>
            <w:widowControl w:val="0"/>
            <w:tabs>
              <w:tab w:val="left" w:pos="1680"/>
              <w:tab w:val="right" w:leader="dot" w:pos="8300"/>
            </w:tabs>
            <w:spacing w:before="0" w:beforeLines="0" w:line="360" w:lineRule="auto"/>
            <w:ind w:left="420" w:leftChars="200"/>
            <w:jc w:val="left"/>
            <w:rPr>
              <w:rFonts w:ascii="Calibri" w:hAnsi="Calibri" w:eastAsia="宋体" w:cs="Times New Roman"/>
              <w:b w:val="0"/>
              <w:bCs w:val="0"/>
              <w:color w:val="auto"/>
              <w:kern w:val="2"/>
              <w:sz w:val="22"/>
              <w:szCs w:val="22"/>
              <w:lang w:val="en-US" w:eastAsia="zh-CN" w:bidi="ar-SA"/>
            </w:rPr>
          </w:pPr>
          <w:r>
            <w:rPr>
              <w:rFonts w:ascii="仿宋" w:hAnsi="仿宋" w:eastAsia="宋体" w:cs="Times New Roman"/>
              <w:b/>
              <w:bCs/>
              <w:color w:val="auto"/>
              <w:kern w:val="2"/>
              <w:sz w:val="28"/>
              <w:szCs w:val="32"/>
              <w:lang w:val="en-US" w:eastAsia="zh-CN" w:bidi="ar-SA"/>
            </w:rPr>
            <w:fldChar w:fldCharType="begin"/>
          </w:r>
          <w:r>
            <w:rPr>
              <w:rFonts w:ascii="仿宋" w:hAnsi="仿宋" w:eastAsia="宋体" w:cs="Times New Roman"/>
              <w:b/>
              <w:bCs/>
              <w:color w:val="auto"/>
              <w:kern w:val="2"/>
              <w:sz w:val="28"/>
              <w:szCs w:val="32"/>
              <w:lang w:val="en-US" w:eastAsia="zh-CN" w:bidi="ar-SA"/>
            </w:rPr>
            <w:instrText xml:space="preserve"> HYPERLINK \l "_Toc148683023" </w:instrText>
          </w:r>
          <w:r>
            <w:rPr>
              <w:rFonts w:ascii="仿宋" w:hAnsi="仿宋" w:eastAsia="宋体" w:cs="Times New Roman"/>
              <w:b/>
              <w:bCs/>
              <w:color w:val="auto"/>
              <w:kern w:val="2"/>
              <w:sz w:val="28"/>
              <w:szCs w:val="32"/>
              <w:lang w:val="en-US" w:eastAsia="zh-CN" w:bidi="ar-SA"/>
            </w:rPr>
            <w:fldChar w:fldCharType="separate"/>
          </w:r>
          <w:r>
            <w:rPr>
              <w:rFonts w:ascii="Calibri" w:hAnsi="Calibri" w:eastAsia="宋体" w:cs="Times New Roman"/>
              <w:b/>
              <w:bCs/>
              <w:color w:val="auto"/>
              <w:kern w:val="2"/>
              <w:sz w:val="32"/>
              <w:szCs w:val="24"/>
              <w:u w:val="single"/>
              <w:lang w:val="en-US" w:eastAsia="zh-CN" w:bidi="ar-SA"/>
            </w:rPr>
            <w:t>四</w:t>
          </w:r>
          <w:r>
            <w:rPr>
              <w:rFonts w:hint="eastAsia" w:ascii="Calibri" w:hAnsi="Calibri" w:eastAsia="宋体" w:cs="Times New Roman"/>
              <w:b/>
              <w:bCs/>
              <w:color w:val="auto"/>
              <w:kern w:val="2"/>
              <w:sz w:val="32"/>
              <w:szCs w:val="24"/>
              <w:u w:val="single"/>
              <w:lang w:val="en-US" w:eastAsia="zh-CN" w:bidi="ar-SA"/>
            </w:rPr>
            <w:t>、</w:t>
          </w:r>
          <w:r>
            <w:rPr>
              <w:rFonts w:ascii="Calibri" w:hAnsi="Calibri" w:eastAsia="宋体" w:cs="Times New Roman"/>
              <w:b/>
              <w:bCs/>
              <w:color w:val="auto"/>
              <w:kern w:val="2"/>
              <w:sz w:val="32"/>
              <w:szCs w:val="24"/>
              <w:u w:val="single"/>
              <w:lang w:val="en-US" w:eastAsia="zh-CN" w:bidi="ar-SA"/>
            </w:rPr>
            <w:t>主要任务</w:t>
          </w:r>
          <w:r>
            <w:rPr>
              <w:rFonts w:ascii="仿宋" w:hAnsi="仿宋" w:eastAsia="宋体" w:cs="Times New Roman"/>
              <w:b/>
              <w:bCs/>
              <w:color w:val="auto"/>
              <w:kern w:val="2"/>
              <w:sz w:val="32"/>
              <w:szCs w:val="32"/>
              <w:lang w:val="en-US" w:eastAsia="zh-CN" w:bidi="ar-SA"/>
            </w:rPr>
            <w:tab/>
          </w:r>
          <w:r>
            <w:rPr>
              <w:rFonts w:ascii="仿宋" w:hAnsi="仿宋" w:eastAsia="宋体" w:cs="Times New Roman"/>
              <w:b/>
              <w:bCs/>
              <w:color w:val="auto"/>
              <w:kern w:val="2"/>
              <w:sz w:val="32"/>
              <w:szCs w:val="32"/>
              <w:lang w:val="en-US" w:eastAsia="zh-CN" w:bidi="ar-SA"/>
            </w:rPr>
            <w:fldChar w:fldCharType="begin"/>
          </w:r>
          <w:r>
            <w:rPr>
              <w:rFonts w:ascii="仿宋" w:hAnsi="仿宋" w:eastAsia="宋体" w:cs="Times New Roman"/>
              <w:b/>
              <w:bCs/>
              <w:color w:val="auto"/>
              <w:kern w:val="2"/>
              <w:sz w:val="32"/>
              <w:szCs w:val="32"/>
              <w:lang w:val="en-US" w:eastAsia="zh-CN" w:bidi="ar-SA"/>
            </w:rPr>
            <w:instrText xml:space="preserve"> PAGEREF _Toc148683023 \h </w:instrText>
          </w:r>
          <w:r>
            <w:rPr>
              <w:rFonts w:ascii="仿宋" w:hAnsi="仿宋" w:eastAsia="宋体" w:cs="Times New Roman"/>
              <w:b/>
              <w:bCs/>
              <w:color w:val="auto"/>
              <w:kern w:val="2"/>
              <w:sz w:val="32"/>
              <w:szCs w:val="32"/>
              <w:lang w:val="en-US" w:eastAsia="zh-CN" w:bidi="ar-SA"/>
            </w:rPr>
            <w:fldChar w:fldCharType="separate"/>
          </w:r>
          <w:r>
            <w:rPr>
              <w:rFonts w:ascii="仿宋" w:hAnsi="仿宋" w:eastAsia="宋体" w:cs="Times New Roman"/>
              <w:b/>
              <w:bCs/>
              <w:color w:val="auto"/>
              <w:kern w:val="2"/>
              <w:sz w:val="32"/>
              <w:szCs w:val="32"/>
              <w:lang w:val="en-US" w:eastAsia="zh-CN" w:bidi="ar-SA"/>
            </w:rPr>
            <w:t>9</w:t>
          </w:r>
          <w:r>
            <w:rPr>
              <w:rFonts w:ascii="仿宋" w:hAnsi="仿宋" w:eastAsia="宋体" w:cs="Times New Roman"/>
              <w:b/>
              <w:bCs/>
              <w:color w:val="auto"/>
              <w:kern w:val="2"/>
              <w:sz w:val="32"/>
              <w:szCs w:val="32"/>
              <w:lang w:val="en-US" w:eastAsia="zh-CN" w:bidi="ar-SA"/>
            </w:rPr>
            <w:fldChar w:fldCharType="end"/>
          </w:r>
          <w:r>
            <w:rPr>
              <w:rFonts w:ascii="仿宋" w:hAnsi="仿宋" w:eastAsia="宋体" w:cs="Times New Roman"/>
              <w:b/>
              <w:bCs/>
              <w:color w:val="auto"/>
              <w:kern w:val="2"/>
              <w:sz w:val="32"/>
              <w:szCs w:val="32"/>
              <w:lang w:val="en-US" w:eastAsia="zh-CN" w:bidi="ar-SA"/>
            </w:rPr>
            <w:fldChar w:fldCharType="end"/>
          </w:r>
        </w:p>
        <w:p>
          <w:pPr>
            <w:widowControl w:val="0"/>
            <w:tabs>
              <w:tab w:val="left" w:pos="1260"/>
              <w:tab w:val="right" w:leader="dot" w:pos="8300"/>
            </w:tabs>
            <w:spacing w:before="0" w:beforeLines="0" w:line="360" w:lineRule="auto"/>
            <w:ind w:left="420" w:leftChars="200"/>
            <w:jc w:val="left"/>
            <w:rPr>
              <w:rFonts w:ascii="Calibri" w:hAnsi="Calibri" w:eastAsia="宋体" w:cs="Times New Roman"/>
              <w:color w:val="auto"/>
              <w:kern w:val="2"/>
              <w:sz w:val="22"/>
              <w:szCs w:val="22"/>
              <w:lang w:val="en-US" w:eastAsia="zh-CN" w:bidi="ar-SA"/>
            </w:rPr>
          </w:pPr>
          <w:r>
            <w:rPr>
              <w:rFonts w:ascii="仿宋" w:hAnsi="仿宋" w:eastAsia="宋体" w:cs="Times New Roman"/>
              <w:color w:val="auto"/>
              <w:kern w:val="2"/>
              <w:sz w:val="24"/>
              <w:szCs w:val="36"/>
              <w:lang w:val="en-US" w:eastAsia="zh-CN" w:bidi="ar-SA"/>
            </w:rPr>
            <w:fldChar w:fldCharType="begin"/>
          </w:r>
          <w:r>
            <w:rPr>
              <w:rFonts w:ascii="仿宋" w:hAnsi="仿宋" w:eastAsia="宋体" w:cs="Times New Roman"/>
              <w:color w:val="auto"/>
              <w:kern w:val="2"/>
              <w:sz w:val="24"/>
              <w:szCs w:val="36"/>
              <w:lang w:val="en-US" w:eastAsia="zh-CN" w:bidi="ar-SA"/>
            </w:rPr>
            <w:instrText xml:space="preserve"> HYPERLINK \l "_Toc148683024" </w:instrText>
          </w:r>
          <w:r>
            <w:rPr>
              <w:rFonts w:ascii="仿宋" w:hAnsi="仿宋" w:eastAsia="宋体" w:cs="Times New Roman"/>
              <w:color w:val="auto"/>
              <w:kern w:val="2"/>
              <w:sz w:val="24"/>
              <w:szCs w:val="36"/>
              <w:lang w:val="en-US" w:eastAsia="zh-CN" w:bidi="ar-SA"/>
            </w:rPr>
            <w:fldChar w:fldCharType="separate"/>
          </w:r>
          <w:r>
            <w:rPr>
              <w:rFonts w:hint="eastAsia" w:ascii="Calibri" w:hAnsi="Calibri" w:eastAsia="宋体" w:cs="Times New Roman"/>
              <w:color w:val="auto"/>
              <w:kern w:val="2"/>
              <w:sz w:val="28"/>
              <w:szCs w:val="24"/>
              <w:u w:val="single"/>
              <w:lang w:val="en-US" w:eastAsia="zh-CN" w:bidi="ar-SA"/>
            </w:rPr>
            <w:t>（一）</w:t>
          </w:r>
          <w:r>
            <w:rPr>
              <w:rFonts w:ascii="Calibri" w:hAnsi="Calibri" w:eastAsia="宋体" w:cs="Times New Roman"/>
              <w:color w:val="auto"/>
              <w:kern w:val="2"/>
              <w:sz w:val="28"/>
              <w:szCs w:val="24"/>
              <w:u w:val="single"/>
              <w:lang w:val="en-US" w:eastAsia="zh-CN" w:bidi="ar-SA"/>
            </w:rPr>
            <w:t>加快充电基础设施体系建设</w:t>
          </w:r>
          <w:r>
            <w:rPr>
              <w:rFonts w:ascii="仿宋" w:hAnsi="仿宋" w:eastAsia="宋体" w:cs="Times New Roman"/>
              <w:color w:val="auto"/>
              <w:kern w:val="2"/>
              <w:sz w:val="28"/>
              <w:szCs w:val="36"/>
              <w:lang w:val="en-US" w:eastAsia="zh-CN" w:bidi="ar-SA"/>
            </w:rPr>
            <w:tab/>
          </w:r>
          <w:r>
            <w:rPr>
              <w:rFonts w:ascii="仿宋" w:hAnsi="仿宋" w:eastAsia="宋体" w:cs="Times New Roman"/>
              <w:color w:val="auto"/>
              <w:kern w:val="2"/>
              <w:sz w:val="28"/>
              <w:szCs w:val="36"/>
              <w:lang w:val="en-US" w:eastAsia="zh-CN" w:bidi="ar-SA"/>
            </w:rPr>
            <w:fldChar w:fldCharType="begin"/>
          </w:r>
          <w:r>
            <w:rPr>
              <w:rFonts w:ascii="仿宋" w:hAnsi="仿宋" w:eastAsia="宋体" w:cs="Times New Roman"/>
              <w:color w:val="auto"/>
              <w:kern w:val="2"/>
              <w:sz w:val="28"/>
              <w:szCs w:val="36"/>
              <w:lang w:val="en-US" w:eastAsia="zh-CN" w:bidi="ar-SA"/>
            </w:rPr>
            <w:instrText xml:space="preserve"> PAGEREF _Toc148683024 \h </w:instrText>
          </w:r>
          <w:r>
            <w:rPr>
              <w:rFonts w:ascii="仿宋" w:hAnsi="仿宋" w:eastAsia="宋体" w:cs="Times New Roman"/>
              <w:color w:val="auto"/>
              <w:kern w:val="2"/>
              <w:sz w:val="28"/>
              <w:szCs w:val="36"/>
              <w:lang w:val="en-US" w:eastAsia="zh-CN" w:bidi="ar-SA"/>
            </w:rPr>
            <w:fldChar w:fldCharType="separate"/>
          </w:r>
          <w:r>
            <w:rPr>
              <w:rFonts w:ascii="仿宋" w:hAnsi="仿宋" w:eastAsia="宋体" w:cs="Times New Roman"/>
              <w:color w:val="auto"/>
              <w:kern w:val="2"/>
              <w:sz w:val="28"/>
              <w:szCs w:val="36"/>
              <w:lang w:val="en-US" w:eastAsia="zh-CN" w:bidi="ar-SA"/>
            </w:rPr>
            <w:t>9</w:t>
          </w:r>
          <w:r>
            <w:rPr>
              <w:rFonts w:ascii="仿宋" w:hAnsi="仿宋" w:eastAsia="宋体" w:cs="Times New Roman"/>
              <w:color w:val="auto"/>
              <w:kern w:val="2"/>
              <w:sz w:val="28"/>
              <w:szCs w:val="36"/>
              <w:lang w:val="en-US" w:eastAsia="zh-CN" w:bidi="ar-SA"/>
            </w:rPr>
            <w:fldChar w:fldCharType="end"/>
          </w:r>
          <w:r>
            <w:rPr>
              <w:rFonts w:ascii="仿宋" w:hAnsi="仿宋" w:eastAsia="宋体" w:cs="Times New Roman"/>
              <w:color w:val="auto"/>
              <w:kern w:val="2"/>
              <w:sz w:val="28"/>
              <w:szCs w:val="36"/>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Calibri" w:hAnsi="Calibri" w:eastAsia="宋体" w:cs="Times New Roman"/>
              <w:color w:val="auto"/>
              <w:kern w:val="2"/>
              <w:sz w:val="28"/>
              <w:szCs w:val="24"/>
              <w:u w:val="single"/>
              <w:lang w:val="en-US" w:eastAsia="zh-CN" w:bidi="ar-SA"/>
            </w:rPr>
          </w:pPr>
          <w:r>
            <w:rPr>
              <w:rFonts w:ascii="仿宋" w:hAnsi="仿宋" w:eastAsia="宋体" w:cs="Times New Roman"/>
              <w:color w:val="auto"/>
              <w:kern w:val="2"/>
              <w:sz w:val="24"/>
              <w:szCs w:val="36"/>
              <w:lang w:val="en-US" w:eastAsia="zh-CN" w:bidi="ar-SA"/>
            </w:rPr>
            <w:fldChar w:fldCharType="begin"/>
          </w:r>
          <w:r>
            <w:rPr>
              <w:rFonts w:ascii="仿宋" w:hAnsi="仿宋" w:eastAsia="宋体" w:cs="Times New Roman"/>
              <w:color w:val="auto"/>
              <w:kern w:val="2"/>
              <w:sz w:val="24"/>
              <w:szCs w:val="36"/>
              <w:lang w:val="en-US" w:eastAsia="zh-CN" w:bidi="ar-SA"/>
            </w:rPr>
            <w:instrText xml:space="preserve"> HYPERLINK \l "_Toc148683025" </w:instrText>
          </w:r>
          <w:r>
            <w:rPr>
              <w:rFonts w:ascii="仿宋" w:hAnsi="仿宋" w:eastAsia="宋体" w:cs="Times New Roman"/>
              <w:color w:val="auto"/>
              <w:kern w:val="2"/>
              <w:sz w:val="24"/>
              <w:szCs w:val="36"/>
              <w:lang w:val="en-US" w:eastAsia="zh-CN" w:bidi="ar-SA"/>
            </w:rPr>
            <w:fldChar w:fldCharType="separate"/>
          </w:r>
          <w:r>
            <w:rPr>
              <w:rFonts w:hint="eastAsia" w:ascii="Calibri" w:hAnsi="Calibri" w:eastAsia="宋体" w:cs="Times New Roman"/>
              <w:color w:val="auto"/>
              <w:kern w:val="2"/>
              <w:sz w:val="28"/>
              <w:szCs w:val="24"/>
              <w:u w:val="single"/>
              <w:lang w:val="en-US" w:eastAsia="zh-CN" w:bidi="ar-SA"/>
            </w:rPr>
            <w:t>（二）加快推动中心城区公用充电设施建设                10</w:t>
          </w:r>
        </w:p>
        <w:p>
          <w:pPr>
            <w:keepNext w:val="0"/>
            <w:keepLines w:val="0"/>
            <w:pageBreakBefore w:val="0"/>
            <w:widowControl w:val="0"/>
            <w:tabs>
              <w:tab w:val="left" w:pos="1260"/>
              <w:tab w:val="right" w:leader="dot" w:pos="8300"/>
            </w:tabs>
            <w:kinsoku/>
            <w:wordWrap/>
            <w:overflowPunct/>
            <w:topLinePunct w:val="0"/>
            <w:autoSpaceDE/>
            <w:autoSpaceDN/>
            <w:bidi w:val="0"/>
            <w:adjustRightInd/>
            <w:snapToGrid/>
            <w:spacing w:before="0" w:beforeLines="0" w:line="360" w:lineRule="auto"/>
            <w:ind w:firstLine="560" w:firstLineChars="200"/>
            <w:jc w:val="left"/>
            <w:textAlignment w:val="auto"/>
            <w:rPr>
              <w:rFonts w:hint="default" w:ascii="Calibri" w:hAnsi="Calibri" w:eastAsia="宋体" w:cs="Times New Roman"/>
              <w:color w:val="auto"/>
              <w:kern w:val="2"/>
              <w:sz w:val="22"/>
              <w:szCs w:val="22"/>
              <w:lang w:val="en-US" w:eastAsia="zh-CN" w:bidi="ar-SA"/>
            </w:rPr>
          </w:pPr>
          <w:r>
            <w:rPr>
              <w:rFonts w:hint="eastAsia" w:ascii="Calibri" w:hAnsi="Calibri" w:eastAsia="宋体" w:cs="Times New Roman"/>
              <w:color w:val="auto"/>
              <w:kern w:val="2"/>
              <w:sz w:val="28"/>
              <w:szCs w:val="24"/>
              <w:u w:val="single"/>
              <w:lang w:val="en-US" w:eastAsia="zh-CN" w:bidi="ar-SA"/>
            </w:rPr>
            <w:t>（三）推动公共机构内部专用充电基础设施建设</w:t>
          </w:r>
          <w:r>
            <w:rPr>
              <w:rFonts w:ascii="仿宋" w:hAnsi="仿宋" w:eastAsia="宋体" w:cs="Times New Roman"/>
              <w:color w:val="auto"/>
              <w:kern w:val="2"/>
              <w:sz w:val="28"/>
              <w:szCs w:val="36"/>
              <w:lang w:val="en-US" w:eastAsia="zh-CN" w:bidi="ar-SA"/>
            </w:rPr>
            <w:tab/>
          </w:r>
          <w:r>
            <w:rPr>
              <w:rFonts w:hint="eastAsia" w:ascii="仿宋" w:hAnsi="仿宋" w:eastAsia="宋体" w:cs="Times New Roman"/>
              <w:color w:val="auto"/>
              <w:kern w:val="2"/>
              <w:sz w:val="28"/>
              <w:szCs w:val="36"/>
              <w:lang w:val="en-US" w:eastAsia="zh-CN" w:bidi="ar-SA"/>
            </w:rPr>
            <w:t>1</w:t>
          </w:r>
          <w:r>
            <w:rPr>
              <w:rFonts w:ascii="仿宋" w:hAnsi="仿宋" w:eastAsia="宋体" w:cs="Times New Roman"/>
              <w:color w:val="auto"/>
              <w:kern w:val="2"/>
              <w:sz w:val="28"/>
              <w:szCs w:val="36"/>
              <w:lang w:val="en-US" w:eastAsia="zh-CN" w:bidi="ar-SA"/>
            </w:rPr>
            <w:fldChar w:fldCharType="end"/>
          </w:r>
          <w:r>
            <w:rPr>
              <w:rFonts w:hint="eastAsia" w:ascii="仿宋" w:hAnsi="仿宋" w:eastAsia="宋体" w:cs="Times New Roman"/>
              <w:color w:val="auto"/>
              <w:kern w:val="2"/>
              <w:sz w:val="28"/>
              <w:szCs w:val="36"/>
              <w:lang w:val="en-US" w:eastAsia="zh-CN" w:bidi="ar-SA"/>
            </w:rPr>
            <w:t>1</w:t>
          </w:r>
        </w:p>
        <w:p>
          <w:pPr>
            <w:widowControl w:val="0"/>
            <w:tabs>
              <w:tab w:val="left" w:pos="1260"/>
              <w:tab w:val="right" w:leader="dot" w:pos="8300"/>
            </w:tabs>
            <w:spacing w:before="0" w:beforeLines="0" w:line="360" w:lineRule="auto"/>
            <w:ind w:left="420" w:leftChars="200"/>
            <w:jc w:val="left"/>
            <w:rPr>
              <w:rFonts w:ascii="Calibri" w:hAnsi="Calibri" w:eastAsia="宋体" w:cs="Times New Roman"/>
              <w:color w:val="auto"/>
              <w:kern w:val="2"/>
              <w:sz w:val="22"/>
              <w:szCs w:val="22"/>
              <w:lang w:val="en-US" w:eastAsia="zh-CN" w:bidi="ar-SA"/>
            </w:rPr>
          </w:pPr>
          <w:r>
            <w:rPr>
              <w:rFonts w:ascii="仿宋" w:hAnsi="仿宋" w:eastAsia="宋体" w:cs="Times New Roman"/>
              <w:color w:val="auto"/>
              <w:kern w:val="2"/>
              <w:sz w:val="24"/>
              <w:szCs w:val="36"/>
              <w:lang w:val="en-US" w:eastAsia="zh-CN" w:bidi="ar-SA"/>
            </w:rPr>
            <w:fldChar w:fldCharType="begin"/>
          </w:r>
          <w:r>
            <w:rPr>
              <w:rFonts w:ascii="仿宋" w:hAnsi="仿宋" w:eastAsia="宋体" w:cs="Times New Roman"/>
              <w:color w:val="auto"/>
              <w:kern w:val="2"/>
              <w:sz w:val="24"/>
              <w:szCs w:val="36"/>
              <w:lang w:val="en-US" w:eastAsia="zh-CN" w:bidi="ar-SA"/>
            </w:rPr>
            <w:instrText xml:space="preserve"> HYPERLINK \l "_Toc148683026" </w:instrText>
          </w:r>
          <w:r>
            <w:rPr>
              <w:rFonts w:ascii="仿宋" w:hAnsi="仿宋" w:eastAsia="宋体" w:cs="Times New Roman"/>
              <w:color w:val="auto"/>
              <w:kern w:val="2"/>
              <w:sz w:val="24"/>
              <w:szCs w:val="36"/>
              <w:lang w:val="en-US" w:eastAsia="zh-CN" w:bidi="ar-SA"/>
            </w:rPr>
            <w:fldChar w:fldCharType="separate"/>
          </w:r>
          <w:r>
            <w:rPr>
              <w:rFonts w:hint="eastAsia" w:ascii="Calibri" w:hAnsi="Calibri" w:eastAsia="宋体" w:cs="Times New Roman"/>
              <w:color w:val="auto"/>
              <w:kern w:val="2"/>
              <w:sz w:val="28"/>
              <w:szCs w:val="24"/>
              <w:u w:val="single"/>
              <w:lang w:val="en-US" w:eastAsia="zh-CN" w:bidi="ar-SA"/>
            </w:rPr>
            <w:t>（四）有序推进各县（市、区）充电设施建设</w:t>
          </w:r>
          <w:r>
            <w:rPr>
              <w:rFonts w:ascii="仿宋" w:hAnsi="仿宋" w:eastAsia="宋体" w:cs="Times New Roman"/>
              <w:color w:val="auto"/>
              <w:kern w:val="2"/>
              <w:sz w:val="28"/>
              <w:szCs w:val="36"/>
              <w:lang w:val="en-US" w:eastAsia="zh-CN" w:bidi="ar-SA"/>
            </w:rPr>
            <w:tab/>
          </w:r>
          <w:r>
            <w:rPr>
              <w:rFonts w:ascii="仿宋" w:hAnsi="仿宋" w:eastAsia="宋体" w:cs="Times New Roman"/>
              <w:color w:val="auto"/>
              <w:kern w:val="2"/>
              <w:sz w:val="28"/>
              <w:szCs w:val="36"/>
              <w:lang w:val="en-US" w:eastAsia="zh-CN" w:bidi="ar-SA"/>
            </w:rPr>
            <w:fldChar w:fldCharType="begin"/>
          </w:r>
          <w:r>
            <w:rPr>
              <w:rFonts w:ascii="仿宋" w:hAnsi="仿宋" w:eastAsia="宋体" w:cs="Times New Roman"/>
              <w:color w:val="auto"/>
              <w:kern w:val="2"/>
              <w:sz w:val="28"/>
              <w:szCs w:val="36"/>
              <w:lang w:val="en-US" w:eastAsia="zh-CN" w:bidi="ar-SA"/>
            </w:rPr>
            <w:instrText xml:space="preserve"> PAGEREF _Toc148683026 \h </w:instrText>
          </w:r>
          <w:r>
            <w:rPr>
              <w:rFonts w:ascii="仿宋" w:hAnsi="仿宋" w:eastAsia="宋体" w:cs="Times New Roman"/>
              <w:color w:val="auto"/>
              <w:kern w:val="2"/>
              <w:sz w:val="28"/>
              <w:szCs w:val="36"/>
              <w:lang w:val="en-US" w:eastAsia="zh-CN" w:bidi="ar-SA"/>
            </w:rPr>
            <w:fldChar w:fldCharType="separate"/>
          </w:r>
          <w:r>
            <w:rPr>
              <w:rFonts w:ascii="仿宋" w:hAnsi="仿宋" w:eastAsia="宋体" w:cs="Times New Roman"/>
              <w:color w:val="auto"/>
              <w:kern w:val="2"/>
              <w:sz w:val="28"/>
              <w:szCs w:val="36"/>
              <w:lang w:val="en-US" w:eastAsia="zh-CN" w:bidi="ar-SA"/>
            </w:rPr>
            <w:t>13</w:t>
          </w:r>
          <w:r>
            <w:rPr>
              <w:rFonts w:ascii="仿宋" w:hAnsi="仿宋" w:eastAsia="宋体" w:cs="Times New Roman"/>
              <w:color w:val="auto"/>
              <w:kern w:val="2"/>
              <w:sz w:val="28"/>
              <w:szCs w:val="36"/>
              <w:lang w:val="en-US" w:eastAsia="zh-CN" w:bidi="ar-SA"/>
            </w:rPr>
            <w:fldChar w:fldCharType="end"/>
          </w:r>
          <w:r>
            <w:rPr>
              <w:rFonts w:ascii="仿宋" w:hAnsi="仿宋" w:eastAsia="宋体" w:cs="Times New Roman"/>
              <w:color w:val="auto"/>
              <w:kern w:val="2"/>
              <w:sz w:val="28"/>
              <w:szCs w:val="36"/>
              <w:lang w:val="en-US" w:eastAsia="zh-CN" w:bidi="ar-SA"/>
            </w:rPr>
            <w:fldChar w:fldCharType="end"/>
          </w:r>
        </w:p>
        <w:p>
          <w:pPr>
            <w:widowControl w:val="0"/>
            <w:tabs>
              <w:tab w:val="left" w:pos="1260"/>
              <w:tab w:val="right" w:leader="dot" w:pos="8300"/>
            </w:tabs>
            <w:spacing w:before="0" w:beforeLines="0" w:line="360" w:lineRule="auto"/>
            <w:ind w:left="420" w:leftChars="200"/>
            <w:jc w:val="left"/>
            <w:rPr>
              <w:rFonts w:hint="default" w:ascii="仿宋" w:hAnsi="仿宋" w:eastAsia="宋体" w:cs="Times New Roman"/>
              <w:color w:val="auto"/>
              <w:kern w:val="2"/>
              <w:sz w:val="28"/>
              <w:szCs w:val="36"/>
              <w:lang w:val="en-US" w:eastAsia="zh-CN" w:bidi="ar-SA"/>
            </w:rPr>
          </w:pPr>
          <w:r>
            <w:rPr>
              <w:rFonts w:ascii="仿宋" w:hAnsi="仿宋" w:eastAsia="宋体" w:cs="Times New Roman"/>
              <w:color w:val="auto"/>
              <w:kern w:val="2"/>
              <w:sz w:val="24"/>
              <w:szCs w:val="36"/>
              <w:lang w:val="en-US" w:eastAsia="zh-CN" w:bidi="ar-SA"/>
            </w:rPr>
            <w:fldChar w:fldCharType="begin"/>
          </w:r>
          <w:r>
            <w:rPr>
              <w:rFonts w:ascii="仿宋" w:hAnsi="仿宋" w:eastAsia="宋体" w:cs="Times New Roman"/>
              <w:color w:val="auto"/>
              <w:kern w:val="2"/>
              <w:sz w:val="24"/>
              <w:szCs w:val="36"/>
              <w:lang w:val="en-US" w:eastAsia="zh-CN" w:bidi="ar-SA"/>
            </w:rPr>
            <w:instrText xml:space="preserve"> HYPERLINK \l "_Toc148683027" </w:instrText>
          </w:r>
          <w:r>
            <w:rPr>
              <w:rFonts w:ascii="仿宋" w:hAnsi="仿宋" w:eastAsia="宋体" w:cs="Times New Roman"/>
              <w:color w:val="auto"/>
              <w:kern w:val="2"/>
              <w:sz w:val="24"/>
              <w:szCs w:val="36"/>
              <w:lang w:val="en-US" w:eastAsia="zh-CN" w:bidi="ar-SA"/>
            </w:rPr>
            <w:fldChar w:fldCharType="separate"/>
          </w:r>
          <w:r>
            <w:rPr>
              <w:rFonts w:hint="eastAsia" w:ascii="Calibri" w:hAnsi="Calibri" w:eastAsia="宋体" w:cs="Times New Roman"/>
              <w:color w:val="auto"/>
              <w:kern w:val="2"/>
              <w:sz w:val="28"/>
              <w:szCs w:val="24"/>
              <w:u w:val="single"/>
              <w:lang w:val="en-US" w:eastAsia="zh-CN" w:bidi="ar-SA"/>
            </w:rPr>
            <w:t>（五）不断完善城际充电基础设施</w:t>
          </w:r>
          <w:r>
            <w:rPr>
              <w:rFonts w:ascii="仿宋" w:hAnsi="仿宋" w:eastAsia="宋体" w:cs="Times New Roman"/>
              <w:color w:val="auto"/>
              <w:kern w:val="2"/>
              <w:sz w:val="28"/>
              <w:szCs w:val="36"/>
              <w:lang w:val="en-US" w:eastAsia="zh-CN" w:bidi="ar-SA"/>
            </w:rPr>
            <w:tab/>
          </w:r>
          <w:r>
            <w:rPr>
              <w:rFonts w:hint="eastAsia" w:ascii="仿宋" w:hAnsi="仿宋" w:eastAsia="宋体" w:cs="Times New Roman"/>
              <w:color w:val="auto"/>
              <w:kern w:val="2"/>
              <w:sz w:val="28"/>
              <w:szCs w:val="36"/>
              <w:lang w:val="en-US" w:eastAsia="zh-CN" w:bidi="ar-SA"/>
            </w:rPr>
            <w:t>1</w:t>
          </w:r>
          <w:r>
            <w:rPr>
              <w:rFonts w:ascii="仿宋" w:hAnsi="仿宋" w:eastAsia="宋体" w:cs="Times New Roman"/>
              <w:color w:val="auto"/>
              <w:kern w:val="2"/>
              <w:sz w:val="28"/>
              <w:szCs w:val="36"/>
              <w:lang w:val="en-US" w:eastAsia="zh-CN" w:bidi="ar-SA"/>
            </w:rPr>
            <w:fldChar w:fldCharType="end"/>
          </w:r>
          <w:r>
            <w:rPr>
              <w:rFonts w:hint="eastAsia" w:ascii="仿宋" w:hAnsi="仿宋" w:eastAsia="宋体" w:cs="Times New Roman"/>
              <w:color w:val="auto"/>
              <w:kern w:val="2"/>
              <w:sz w:val="28"/>
              <w:szCs w:val="36"/>
              <w:lang w:val="en-US" w:eastAsia="zh-CN" w:bidi="ar-SA"/>
            </w:rPr>
            <w:t>4</w:t>
          </w:r>
        </w:p>
        <w:p>
          <w:pPr>
            <w:widowControl w:val="0"/>
            <w:tabs>
              <w:tab w:val="left" w:pos="1260"/>
              <w:tab w:val="right" w:leader="dot" w:pos="8300"/>
            </w:tabs>
            <w:spacing w:before="0" w:beforeLines="0" w:line="360" w:lineRule="auto"/>
            <w:ind w:left="420" w:leftChars="200"/>
            <w:jc w:val="left"/>
            <w:rPr>
              <w:rFonts w:hint="default" w:ascii="仿宋" w:hAnsi="仿宋" w:eastAsia="宋体" w:cs="Times New Roman"/>
              <w:color w:val="auto"/>
              <w:kern w:val="2"/>
              <w:sz w:val="28"/>
              <w:szCs w:val="36"/>
              <w:lang w:val="en-US" w:eastAsia="zh-CN" w:bidi="ar-SA"/>
            </w:rPr>
          </w:pPr>
          <w:r>
            <w:rPr>
              <w:rFonts w:ascii="仿宋" w:hAnsi="仿宋" w:eastAsia="宋体" w:cs="Times New Roman"/>
              <w:color w:val="auto"/>
              <w:kern w:val="2"/>
              <w:sz w:val="24"/>
              <w:szCs w:val="36"/>
              <w:lang w:val="en-US" w:eastAsia="zh-CN" w:bidi="ar-SA"/>
            </w:rPr>
            <w:fldChar w:fldCharType="begin"/>
          </w:r>
          <w:r>
            <w:rPr>
              <w:rFonts w:ascii="仿宋" w:hAnsi="仿宋" w:eastAsia="宋体" w:cs="Times New Roman"/>
              <w:color w:val="auto"/>
              <w:kern w:val="2"/>
              <w:sz w:val="24"/>
              <w:szCs w:val="36"/>
              <w:lang w:val="en-US" w:eastAsia="zh-CN" w:bidi="ar-SA"/>
            </w:rPr>
            <w:instrText xml:space="preserve"> HYPERLINK \l "_Toc148683027" </w:instrText>
          </w:r>
          <w:r>
            <w:rPr>
              <w:rFonts w:ascii="仿宋" w:hAnsi="仿宋" w:eastAsia="宋体" w:cs="Times New Roman"/>
              <w:color w:val="auto"/>
              <w:kern w:val="2"/>
              <w:sz w:val="24"/>
              <w:szCs w:val="36"/>
              <w:lang w:val="en-US" w:eastAsia="zh-CN" w:bidi="ar-SA"/>
            </w:rPr>
            <w:fldChar w:fldCharType="separate"/>
          </w:r>
          <w:r>
            <w:rPr>
              <w:rFonts w:hint="eastAsia" w:ascii="Calibri" w:hAnsi="Calibri" w:eastAsia="宋体" w:cs="Times New Roman"/>
              <w:color w:val="auto"/>
              <w:kern w:val="2"/>
              <w:sz w:val="28"/>
              <w:szCs w:val="24"/>
              <w:u w:val="single"/>
              <w:lang w:val="en-US" w:eastAsia="zh-CN" w:bidi="ar-SA"/>
            </w:rPr>
            <w:t>（六）强化充电基础设施安全管理</w:t>
          </w:r>
          <w:r>
            <w:rPr>
              <w:rFonts w:ascii="仿宋" w:hAnsi="仿宋" w:eastAsia="宋体" w:cs="Times New Roman"/>
              <w:color w:val="auto"/>
              <w:kern w:val="2"/>
              <w:sz w:val="28"/>
              <w:szCs w:val="36"/>
              <w:lang w:val="en-US" w:eastAsia="zh-CN" w:bidi="ar-SA"/>
            </w:rPr>
            <w:tab/>
          </w:r>
          <w:r>
            <w:rPr>
              <w:rFonts w:hint="eastAsia" w:ascii="仿宋" w:hAnsi="仿宋" w:eastAsia="宋体" w:cs="Times New Roman"/>
              <w:color w:val="auto"/>
              <w:kern w:val="2"/>
              <w:sz w:val="28"/>
              <w:szCs w:val="36"/>
              <w:lang w:val="en-US" w:eastAsia="zh-CN" w:bidi="ar-SA"/>
            </w:rPr>
            <w:t>1</w:t>
          </w:r>
          <w:r>
            <w:rPr>
              <w:rFonts w:ascii="仿宋" w:hAnsi="仿宋" w:eastAsia="宋体" w:cs="Times New Roman"/>
              <w:color w:val="auto"/>
              <w:kern w:val="2"/>
              <w:sz w:val="28"/>
              <w:szCs w:val="36"/>
              <w:lang w:val="en-US" w:eastAsia="zh-CN" w:bidi="ar-SA"/>
            </w:rPr>
            <w:fldChar w:fldCharType="end"/>
          </w:r>
          <w:r>
            <w:rPr>
              <w:rFonts w:hint="eastAsia" w:ascii="仿宋" w:hAnsi="仿宋" w:eastAsia="宋体" w:cs="Times New Roman"/>
              <w:color w:val="auto"/>
              <w:kern w:val="2"/>
              <w:sz w:val="28"/>
              <w:szCs w:val="36"/>
              <w:lang w:val="en-US" w:eastAsia="zh-CN" w:bidi="ar-SA"/>
            </w:rPr>
            <w:t>5</w:t>
          </w:r>
        </w:p>
        <w:p>
          <w:pPr>
            <w:widowControl w:val="0"/>
            <w:tabs>
              <w:tab w:val="left" w:pos="1260"/>
              <w:tab w:val="right" w:leader="dot" w:pos="8300"/>
            </w:tabs>
            <w:spacing w:before="0" w:beforeLines="0" w:line="360" w:lineRule="auto"/>
            <w:ind w:left="420" w:leftChars="200"/>
            <w:jc w:val="left"/>
            <w:rPr>
              <w:rFonts w:hint="eastAsia" w:ascii="仿宋" w:hAnsi="仿宋" w:eastAsia="宋体" w:cs="Times New Roman"/>
              <w:color w:val="auto"/>
              <w:kern w:val="2"/>
              <w:sz w:val="28"/>
              <w:szCs w:val="36"/>
              <w:lang w:val="en-US" w:eastAsia="zh-CN" w:bidi="ar-SA"/>
            </w:rPr>
          </w:pPr>
          <w:r>
            <w:rPr>
              <w:rFonts w:ascii="仿宋" w:hAnsi="仿宋" w:eastAsia="宋体" w:cs="Times New Roman"/>
              <w:color w:val="auto"/>
              <w:kern w:val="2"/>
              <w:sz w:val="24"/>
              <w:szCs w:val="36"/>
              <w:lang w:val="en-US" w:eastAsia="zh-CN" w:bidi="ar-SA"/>
            </w:rPr>
            <w:fldChar w:fldCharType="begin"/>
          </w:r>
          <w:r>
            <w:rPr>
              <w:rFonts w:ascii="仿宋" w:hAnsi="仿宋" w:eastAsia="宋体" w:cs="Times New Roman"/>
              <w:color w:val="auto"/>
              <w:kern w:val="2"/>
              <w:sz w:val="24"/>
              <w:szCs w:val="36"/>
              <w:lang w:val="en-US" w:eastAsia="zh-CN" w:bidi="ar-SA"/>
            </w:rPr>
            <w:instrText xml:space="preserve"> HYPERLINK \l "_Toc148683027" </w:instrText>
          </w:r>
          <w:r>
            <w:rPr>
              <w:rFonts w:ascii="仿宋" w:hAnsi="仿宋" w:eastAsia="宋体" w:cs="Times New Roman"/>
              <w:color w:val="auto"/>
              <w:kern w:val="2"/>
              <w:sz w:val="24"/>
              <w:szCs w:val="36"/>
              <w:lang w:val="en-US" w:eastAsia="zh-CN" w:bidi="ar-SA"/>
            </w:rPr>
            <w:fldChar w:fldCharType="separate"/>
          </w:r>
          <w:r>
            <w:rPr>
              <w:rFonts w:hint="eastAsia" w:ascii="Calibri" w:hAnsi="Calibri" w:eastAsia="宋体" w:cs="Times New Roman"/>
              <w:color w:val="auto"/>
              <w:kern w:val="2"/>
              <w:sz w:val="28"/>
              <w:szCs w:val="24"/>
              <w:u w:val="single"/>
              <w:lang w:val="en-US" w:eastAsia="zh-CN" w:bidi="ar-SA"/>
            </w:rPr>
            <w:t>（七）加强配套供电服务</w:t>
          </w:r>
          <w:r>
            <w:rPr>
              <w:rFonts w:ascii="仿宋" w:hAnsi="仿宋" w:eastAsia="宋体" w:cs="Times New Roman"/>
              <w:color w:val="auto"/>
              <w:kern w:val="2"/>
              <w:sz w:val="28"/>
              <w:szCs w:val="36"/>
              <w:lang w:val="en-US" w:eastAsia="zh-CN" w:bidi="ar-SA"/>
            </w:rPr>
            <w:tab/>
          </w:r>
          <w:r>
            <w:rPr>
              <w:rFonts w:hint="eastAsia" w:ascii="仿宋" w:hAnsi="仿宋" w:eastAsia="宋体" w:cs="Times New Roman"/>
              <w:color w:val="auto"/>
              <w:kern w:val="2"/>
              <w:sz w:val="28"/>
              <w:szCs w:val="36"/>
              <w:lang w:val="en-US" w:eastAsia="zh-CN" w:bidi="ar-SA"/>
            </w:rPr>
            <w:t>1</w:t>
          </w:r>
          <w:r>
            <w:rPr>
              <w:rFonts w:ascii="仿宋" w:hAnsi="仿宋" w:eastAsia="宋体" w:cs="Times New Roman"/>
              <w:color w:val="auto"/>
              <w:kern w:val="2"/>
              <w:sz w:val="28"/>
              <w:szCs w:val="36"/>
              <w:lang w:val="en-US" w:eastAsia="zh-CN" w:bidi="ar-SA"/>
            </w:rPr>
            <w:fldChar w:fldCharType="end"/>
          </w:r>
          <w:r>
            <w:rPr>
              <w:rFonts w:hint="eastAsia" w:ascii="仿宋" w:hAnsi="仿宋" w:eastAsia="宋体" w:cs="Times New Roman"/>
              <w:color w:val="auto"/>
              <w:kern w:val="2"/>
              <w:sz w:val="28"/>
              <w:szCs w:val="36"/>
              <w:lang w:val="en-US" w:eastAsia="zh-CN" w:bidi="ar-SA"/>
            </w:rPr>
            <w:t>5</w:t>
          </w:r>
        </w:p>
        <w:p>
          <w:pPr>
            <w:widowControl w:val="0"/>
            <w:tabs>
              <w:tab w:val="left" w:pos="1260"/>
              <w:tab w:val="right" w:leader="dot" w:pos="8300"/>
            </w:tabs>
            <w:spacing w:before="0" w:beforeLines="0" w:line="360" w:lineRule="auto"/>
            <w:ind w:left="420" w:leftChars="200"/>
            <w:jc w:val="left"/>
            <w:rPr>
              <w:rFonts w:hint="default" w:ascii="仿宋" w:hAnsi="仿宋" w:eastAsia="宋体" w:cs="Times New Roman"/>
              <w:color w:val="auto"/>
              <w:kern w:val="2"/>
              <w:sz w:val="28"/>
              <w:szCs w:val="36"/>
              <w:lang w:val="en-US" w:eastAsia="zh-CN" w:bidi="ar-SA"/>
            </w:rPr>
          </w:pPr>
          <w:r>
            <w:rPr>
              <w:rFonts w:ascii="仿宋" w:hAnsi="仿宋" w:eastAsia="宋体" w:cs="Times New Roman"/>
              <w:color w:val="auto"/>
              <w:kern w:val="2"/>
              <w:sz w:val="24"/>
              <w:szCs w:val="36"/>
              <w:lang w:val="en-US" w:eastAsia="zh-CN" w:bidi="ar-SA"/>
            </w:rPr>
            <w:fldChar w:fldCharType="begin"/>
          </w:r>
          <w:r>
            <w:rPr>
              <w:rFonts w:ascii="仿宋" w:hAnsi="仿宋" w:eastAsia="宋体" w:cs="Times New Roman"/>
              <w:color w:val="auto"/>
              <w:kern w:val="2"/>
              <w:sz w:val="24"/>
              <w:szCs w:val="36"/>
              <w:lang w:val="en-US" w:eastAsia="zh-CN" w:bidi="ar-SA"/>
            </w:rPr>
            <w:instrText xml:space="preserve"> HYPERLINK \l "_Toc148683027" </w:instrText>
          </w:r>
          <w:r>
            <w:rPr>
              <w:rFonts w:ascii="仿宋" w:hAnsi="仿宋" w:eastAsia="宋体" w:cs="Times New Roman"/>
              <w:color w:val="auto"/>
              <w:kern w:val="2"/>
              <w:sz w:val="24"/>
              <w:szCs w:val="36"/>
              <w:lang w:val="en-US" w:eastAsia="zh-CN" w:bidi="ar-SA"/>
            </w:rPr>
            <w:fldChar w:fldCharType="separate"/>
          </w:r>
          <w:r>
            <w:rPr>
              <w:rFonts w:hint="eastAsia" w:ascii="Calibri" w:hAnsi="Calibri" w:eastAsia="宋体" w:cs="Times New Roman"/>
              <w:color w:val="auto"/>
              <w:kern w:val="2"/>
              <w:sz w:val="28"/>
              <w:szCs w:val="24"/>
              <w:u w:val="single"/>
              <w:lang w:val="en-US" w:eastAsia="zh-CN" w:bidi="ar-SA"/>
            </w:rPr>
            <w:t>（八）推动车桩网高效互动</w:t>
          </w:r>
          <w:r>
            <w:rPr>
              <w:rFonts w:ascii="仿宋" w:hAnsi="仿宋" w:eastAsia="宋体" w:cs="Times New Roman"/>
              <w:color w:val="auto"/>
              <w:kern w:val="2"/>
              <w:sz w:val="28"/>
              <w:szCs w:val="36"/>
              <w:lang w:val="en-US" w:eastAsia="zh-CN" w:bidi="ar-SA"/>
            </w:rPr>
            <w:tab/>
          </w:r>
          <w:r>
            <w:rPr>
              <w:rFonts w:hint="eastAsia" w:ascii="仿宋" w:hAnsi="仿宋" w:eastAsia="宋体" w:cs="Times New Roman"/>
              <w:color w:val="auto"/>
              <w:kern w:val="2"/>
              <w:sz w:val="28"/>
              <w:szCs w:val="36"/>
              <w:lang w:val="en-US" w:eastAsia="zh-CN" w:bidi="ar-SA"/>
            </w:rPr>
            <w:t>1</w:t>
          </w:r>
          <w:r>
            <w:rPr>
              <w:rFonts w:ascii="仿宋" w:hAnsi="仿宋" w:eastAsia="宋体" w:cs="Times New Roman"/>
              <w:color w:val="auto"/>
              <w:kern w:val="2"/>
              <w:sz w:val="28"/>
              <w:szCs w:val="36"/>
              <w:lang w:val="en-US" w:eastAsia="zh-CN" w:bidi="ar-SA"/>
            </w:rPr>
            <w:fldChar w:fldCharType="end"/>
          </w:r>
          <w:r>
            <w:rPr>
              <w:rFonts w:hint="eastAsia" w:ascii="仿宋" w:hAnsi="仿宋" w:eastAsia="宋体" w:cs="Times New Roman"/>
              <w:color w:val="auto"/>
              <w:kern w:val="2"/>
              <w:sz w:val="28"/>
              <w:szCs w:val="36"/>
              <w:lang w:val="en-US" w:eastAsia="zh-CN" w:bidi="ar-SA"/>
            </w:rPr>
            <w:t>5</w:t>
          </w:r>
        </w:p>
        <w:p>
          <w:pPr>
            <w:widowControl w:val="0"/>
            <w:tabs>
              <w:tab w:val="left" w:pos="1260"/>
              <w:tab w:val="right" w:leader="dot" w:pos="8300"/>
            </w:tabs>
            <w:spacing w:before="0" w:beforeLines="0" w:line="360" w:lineRule="auto"/>
            <w:ind w:left="420" w:leftChars="200"/>
            <w:jc w:val="left"/>
            <w:rPr>
              <w:rFonts w:hint="eastAsia" w:ascii="仿宋" w:hAnsi="仿宋" w:eastAsia="宋体" w:cs="Times New Roman"/>
              <w:color w:val="auto"/>
              <w:kern w:val="2"/>
              <w:sz w:val="28"/>
              <w:szCs w:val="36"/>
              <w:lang w:val="en-US" w:eastAsia="zh-CN" w:bidi="ar-SA"/>
            </w:rPr>
          </w:pPr>
          <w:r>
            <w:rPr>
              <w:rFonts w:ascii="仿宋" w:hAnsi="仿宋" w:eastAsia="宋体" w:cs="Times New Roman"/>
              <w:color w:val="auto"/>
              <w:kern w:val="2"/>
              <w:sz w:val="24"/>
              <w:szCs w:val="36"/>
              <w:lang w:val="en-US" w:eastAsia="zh-CN" w:bidi="ar-SA"/>
            </w:rPr>
            <w:fldChar w:fldCharType="begin"/>
          </w:r>
          <w:r>
            <w:rPr>
              <w:rFonts w:ascii="仿宋" w:hAnsi="仿宋" w:eastAsia="宋体" w:cs="Times New Roman"/>
              <w:color w:val="auto"/>
              <w:kern w:val="2"/>
              <w:sz w:val="24"/>
              <w:szCs w:val="36"/>
              <w:lang w:val="en-US" w:eastAsia="zh-CN" w:bidi="ar-SA"/>
            </w:rPr>
            <w:instrText xml:space="preserve"> HYPERLINK \l "_Toc148683027" </w:instrText>
          </w:r>
          <w:r>
            <w:rPr>
              <w:rFonts w:ascii="仿宋" w:hAnsi="仿宋" w:eastAsia="宋体" w:cs="Times New Roman"/>
              <w:color w:val="auto"/>
              <w:kern w:val="2"/>
              <w:sz w:val="24"/>
              <w:szCs w:val="36"/>
              <w:lang w:val="en-US" w:eastAsia="zh-CN" w:bidi="ar-SA"/>
            </w:rPr>
            <w:fldChar w:fldCharType="separate"/>
          </w:r>
          <w:r>
            <w:rPr>
              <w:rFonts w:hint="eastAsia" w:ascii="Calibri" w:hAnsi="Calibri" w:eastAsia="宋体" w:cs="Times New Roman"/>
              <w:color w:val="auto"/>
              <w:kern w:val="2"/>
              <w:sz w:val="28"/>
              <w:szCs w:val="24"/>
              <w:u w:val="single"/>
              <w:lang w:val="en-US" w:eastAsia="zh-CN" w:bidi="ar-SA"/>
            </w:rPr>
            <w:t>（九）鼓励“光储充换”综合型充换电场站建设</w:t>
          </w:r>
          <w:r>
            <w:rPr>
              <w:rFonts w:ascii="仿宋" w:hAnsi="仿宋" w:eastAsia="宋体" w:cs="Times New Roman"/>
              <w:color w:val="auto"/>
              <w:kern w:val="2"/>
              <w:sz w:val="28"/>
              <w:szCs w:val="36"/>
              <w:lang w:val="en-US" w:eastAsia="zh-CN" w:bidi="ar-SA"/>
            </w:rPr>
            <w:tab/>
          </w:r>
          <w:r>
            <w:rPr>
              <w:rFonts w:hint="eastAsia" w:ascii="仿宋" w:hAnsi="仿宋" w:eastAsia="宋体" w:cs="Times New Roman"/>
              <w:color w:val="auto"/>
              <w:kern w:val="2"/>
              <w:sz w:val="28"/>
              <w:szCs w:val="36"/>
              <w:lang w:val="en-US" w:eastAsia="zh-CN" w:bidi="ar-SA"/>
            </w:rPr>
            <w:t>1</w:t>
          </w:r>
          <w:r>
            <w:rPr>
              <w:rFonts w:ascii="仿宋" w:hAnsi="仿宋" w:eastAsia="宋体" w:cs="Times New Roman"/>
              <w:color w:val="auto"/>
              <w:kern w:val="2"/>
              <w:sz w:val="28"/>
              <w:szCs w:val="36"/>
              <w:lang w:val="en-US" w:eastAsia="zh-CN" w:bidi="ar-SA"/>
            </w:rPr>
            <w:fldChar w:fldCharType="end"/>
          </w:r>
          <w:r>
            <w:rPr>
              <w:rFonts w:hint="eastAsia" w:ascii="仿宋" w:hAnsi="仿宋" w:eastAsia="宋体" w:cs="Times New Roman"/>
              <w:color w:val="auto"/>
              <w:kern w:val="2"/>
              <w:sz w:val="28"/>
              <w:szCs w:val="36"/>
              <w:lang w:val="en-US" w:eastAsia="zh-CN" w:bidi="ar-SA"/>
            </w:rPr>
            <w:t>6</w:t>
          </w:r>
        </w:p>
        <w:p>
          <w:pPr>
            <w:widowControl w:val="0"/>
            <w:tabs>
              <w:tab w:val="left" w:pos="1680"/>
              <w:tab w:val="right" w:leader="dot" w:pos="8300"/>
            </w:tabs>
            <w:spacing w:before="0" w:beforeLines="0" w:line="360" w:lineRule="auto"/>
            <w:ind w:left="420" w:leftChars="200"/>
            <w:jc w:val="left"/>
            <w:rPr>
              <w:rFonts w:ascii="Calibri" w:hAnsi="Calibri" w:eastAsia="宋体" w:cs="Times New Roman"/>
              <w:b w:val="0"/>
              <w:bCs w:val="0"/>
              <w:color w:val="auto"/>
              <w:kern w:val="2"/>
              <w:sz w:val="22"/>
              <w:szCs w:val="22"/>
              <w:lang w:val="en-US" w:eastAsia="zh-CN" w:bidi="ar-SA"/>
            </w:rPr>
          </w:pPr>
          <w:r>
            <w:rPr>
              <w:rFonts w:ascii="仿宋" w:hAnsi="仿宋" w:eastAsia="宋体" w:cs="Times New Roman"/>
              <w:b/>
              <w:bCs/>
              <w:color w:val="auto"/>
              <w:kern w:val="2"/>
              <w:sz w:val="28"/>
              <w:szCs w:val="32"/>
              <w:lang w:val="en-US" w:eastAsia="zh-CN" w:bidi="ar-SA"/>
            </w:rPr>
            <w:fldChar w:fldCharType="begin"/>
          </w:r>
          <w:r>
            <w:rPr>
              <w:rFonts w:ascii="仿宋" w:hAnsi="仿宋" w:eastAsia="宋体" w:cs="Times New Roman"/>
              <w:b/>
              <w:bCs/>
              <w:color w:val="auto"/>
              <w:kern w:val="2"/>
              <w:sz w:val="28"/>
              <w:szCs w:val="32"/>
              <w:lang w:val="en-US" w:eastAsia="zh-CN" w:bidi="ar-SA"/>
            </w:rPr>
            <w:instrText xml:space="preserve"> HYPERLINK \l "_Toc148683028" </w:instrText>
          </w:r>
          <w:r>
            <w:rPr>
              <w:rFonts w:ascii="仿宋" w:hAnsi="仿宋" w:eastAsia="宋体" w:cs="Times New Roman"/>
              <w:b/>
              <w:bCs/>
              <w:color w:val="auto"/>
              <w:kern w:val="2"/>
              <w:sz w:val="28"/>
              <w:szCs w:val="32"/>
              <w:lang w:val="en-US" w:eastAsia="zh-CN" w:bidi="ar-SA"/>
            </w:rPr>
            <w:fldChar w:fldCharType="separate"/>
          </w:r>
          <w:r>
            <w:rPr>
              <w:rFonts w:ascii="Calibri" w:hAnsi="Calibri" w:eastAsia="宋体" w:cs="Times New Roman"/>
              <w:b/>
              <w:bCs/>
              <w:color w:val="auto"/>
              <w:kern w:val="2"/>
              <w:sz w:val="32"/>
              <w:szCs w:val="24"/>
              <w:u w:val="single"/>
              <w:lang w:val="en-US" w:eastAsia="zh-CN" w:bidi="ar-SA"/>
            </w:rPr>
            <w:t>五</w:t>
          </w:r>
          <w:r>
            <w:rPr>
              <w:rFonts w:hint="eastAsia" w:ascii="Calibri" w:hAnsi="Calibri" w:eastAsia="宋体" w:cs="Times New Roman"/>
              <w:b/>
              <w:bCs/>
              <w:color w:val="auto"/>
              <w:kern w:val="2"/>
              <w:sz w:val="32"/>
              <w:szCs w:val="24"/>
              <w:u w:val="single"/>
              <w:lang w:val="en-US" w:eastAsia="zh-CN" w:bidi="ar-SA"/>
            </w:rPr>
            <w:t>、</w:t>
          </w:r>
          <w:r>
            <w:rPr>
              <w:rFonts w:ascii="Calibri" w:hAnsi="Calibri" w:eastAsia="宋体" w:cs="Times New Roman"/>
              <w:b/>
              <w:bCs/>
              <w:color w:val="auto"/>
              <w:kern w:val="2"/>
              <w:sz w:val="32"/>
              <w:szCs w:val="24"/>
              <w:u w:val="single"/>
              <w:lang w:val="en-US" w:eastAsia="zh-CN" w:bidi="ar-SA"/>
            </w:rPr>
            <w:t>规划实施</w:t>
          </w:r>
          <w:r>
            <w:rPr>
              <w:rFonts w:ascii="仿宋" w:hAnsi="仿宋" w:eastAsia="宋体" w:cs="Times New Roman"/>
              <w:b/>
              <w:bCs/>
              <w:color w:val="auto"/>
              <w:kern w:val="2"/>
              <w:sz w:val="32"/>
              <w:szCs w:val="32"/>
              <w:lang w:val="en-US" w:eastAsia="zh-CN" w:bidi="ar-SA"/>
            </w:rPr>
            <w:tab/>
          </w:r>
          <w:r>
            <w:rPr>
              <w:rFonts w:ascii="仿宋" w:hAnsi="仿宋" w:eastAsia="宋体" w:cs="Times New Roman"/>
              <w:b/>
              <w:bCs/>
              <w:color w:val="auto"/>
              <w:kern w:val="2"/>
              <w:sz w:val="32"/>
              <w:szCs w:val="32"/>
              <w:lang w:val="en-US" w:eastAsia="zh-CN" w:bidi="ar-SA"/>
            </w:rPr>
            <w:fldChar w:fldCharType="begin"/>
          </w:r>
          <w:r>
            <w:rPr>
              <w:rFonts w:ascii="仿宋" w:hAnsi="仿宋" w:eastAsia="宋体" w:cs="Times New Roman"/>
              <w:b/>
              <w:bCs/>
              <w:color w:val="auto"/>
              <w:kern w:val="2"/>
              <w:sz w:val="32"/>
              <w:szCs w:val="32"/>
              <w:lang w:val="en-US" w:eastAsia="zh-CN" w:bidi="ar-SA"/>
            </w:rPr>
            <w:instrText xml:space="preserve"> PAGEREF _Toc148683028 \h </w:instrText>
          </w:r>
          <w:r>
            <w:rPr>
              <w:rFonts w:ascii="仿宋" w:hAnsi="仿宋" w:eastAsia="宋体" w:cs="Times New Roman"/>
              <w:b/>
              <w:bCs/>
              <w:color w:val="auto"/>
              <w:kern w:val="2"/>
              <w:sz w:val="32"/>
              <w:szCs w:val="32"/>
              <w:lang w:val="en-US" w:eastAsia="zh-CN" w:bidi="ar-SA"/>
            </w:rPr>
            <w:fldChar w:fldCharType="separate"/>
          </w:r>
          <w:r>
            <w:rPr>
              <w:rFonts w:ascii="仿宋" w:hAnsi="仿宋" w:eastAsia="宋体" w:cs="Times New Roman"/>
              <w:b/>
              <w:bCs/>
              <w:color w:val="auto"/>
              <w:kern w:val="2"/>
              <w:sz w:val="32"/>
              <w:szCs w:val="32"/>
              <w:lang w:val="en-US" w:eastAsia="zh-CN" w:bidi="ar-SA"/>
            </w:rPr>
            <w:t>14</w:t>
          </w:r>
          <w:r>
            <w:rPr>
              <w:rFonts w:ascii="仿宋" w:hAnsi="仿宋" w:eastAsia="宋体" w:cs="Times New Roman"/>
              <w:b/>
              <w:bCs/>
              <w:color w:val="auto"/>
              <w:kern w:val="2"/>
              <w:sz w:val="32"/>
              <w:szCs w:val="32"/>
              <w:lang w:val="en-US" w:eastAsia="zh-CN" w:bidi="ar-SA"/>
            </w:rPr>
            <w:fldChar w:fldCharType="end"/>
          </w:r>
          <w:r>
            <w:rPr>
              <w:rFonts w:ascii="仿宋" w:hAnsi="仿宋" w:eastAsia="宋体" w:cs="Times New Roman"/>
              <w:b/>
              <w:bCs/>
              <w:color w:val="auto"/>
              <w:kern w:val="2"/>
              <w:sz w:val="32"/>
              <w:szCs w:val="32"/>
              <w:lang w:val="en-US" w:eastAsia="zh-CN" w:bidi="ar-SA"/>
            </w:rPr>
            <w:fldChar w:fldCharType="end"/>
          </w:r>
        </w:p>
        <w:p>
          <w:pPr>
            <w:widowControl w:val="0"/>
            <w:tabs>
              <w:tab w:val="right" w:leader="dot" w:pos="8300"/>
            </w:tabs>
            <w:spacing w:before="0" w:beforeLines="0" w:line="360" w:lineRule="auto"/>
            <w:ind w:left="420" w:leftChars="200"/>
            <w:jc w:val="left"/>
            <w:rPr>
              <w:rFonts w:ascii="Calibri" w:hAnsi="Calibri" w:eastAsia="宋体" w:cs="Times New Roman"/>
              <w:b w:val="0"/>
              <w:bCs w:val="0"/>
              <w:color w:val="auto"/>
              <w:kern w:val="2"/>
              <w:sz w:val="22"/>
              <w:szCs w:val="22"/>
              <w:lang w:val="en-US" w:eastAsia="zh-CN" w:bidi="ar-SA"/>
            </w:rPr>
          </w:pPr>
          <w:r>
            <w:rPr>
              <w:rFonts w:ascii="仿宋" w:hAnsi="仿宋" w:eastAsia="宋体" w:cs="Times New Roman"/>
              <w:b/>
              <w:bCs/>
              <w:color w:val="auto"/>
              <w:kern w:val="2"/>
              <w:sz w:val="28"/>
              <w:szCs w:val="32"/>
              <w:lang w:val="en-US" w:eastAsia="zh-CN" w:bidi="ar-SA"/>
            </w:rPr>
            <w:fldChar w:fldCharType="begin"/>
          </w:r>
          <w:r>
            <w:rPr>
              <w:rFonts w:ascii="仿宋" w:hAnsi="仿宋" w:eastAsia="宋体" w:cs="Times New Roman"/>
              <w:b/>
              <w:bCs/>
              <w:color w:val="auto"/>
              <w:kern w:val="2"/>
              <w:sz w:val="28"/>
              <w:szCs w:val="32"/>
              <w:lang w:val="en-US" w:eastAsia="zh-CN" w:bidi="ar-SA"/>
            </w:rPr>
            <w:instrText xml:space="preserve"> HYPERLINK \l "_Toc148683029" </w:instrText>
          </w:r>
          <w:r>
            <w:rPr>
              <w:rFonts w:ascii="仿宋" w:hAnsi="仿宋" w:eastAsia="宋体" w:cs="Times New Roman"/>
              <w:b/>
              <w:bCs/>
              <w:color w:val="auto"/>
              <w:kern w:val="2"/>
              <w:sz w:val="28"/>
              <w:szCs w:val="32"/>
              <w:lang w:val="en-US" w:eastAsia="zh-CN" w:bidi="ar-SA"/>
            </w:rPr>
            <w:fldChar w:fldCharType="separate"/>
          </w:r>
          <w:r>
            <w:rPr>
              <w:rFonts w:ascii="Calibri" w:hAnsi="Calibri" w:eastAsia="宋体" w:cs="Times New Roman"/>
              <w:b/>
              <w:bCs/>
              <w:color w:val="auto"/>
              <w:kern w:val="2"/>
              <w:sz w:val="32"/>
              <w:szCs w:val="24"/>
              <w:u w:val="single"/>
              <w:lang w:val="en-US" w:eastAsia="zh-CN" w:bidi="ar-SA"/>
            </w:rPr>
            <w:t>附件</w:t>
          </w:r>
          <w:r>
            <w:rPr>
              <w:rFonts w:ascii="仿宋" w:hAnsi="仿宋" w:eastAsia="宋体" w:cs="Times New Roman"/>
              <w:b/>
              <w:bCs/>
              <w:color w:val="auto"/>
              <w:kern w:val="2"/>
              <w:sz w:val="32"/>
              <w:szCs w:val="32"/>
              <w:lang w:val="en-US" w:eastAsia="zh-CN" w:bidi="ar-SA"/>
            </w:rPr>
            <w:tab/>
          </w:r>
          <w:r>
            <w:rPr>
              <w:rFonts w:hint="eastAsia" w:ascii="仿宋" w:hAnsi="仿宋" w:eastAsia="宋体" w:cs="Times New Roman"/>
              <w:b/>
              <w:bCs/>
              <w:color w:val="auto"/>
              <w:kern w:val="2"/>
              <w:sz w:val="32"/>
              <w:szCs w:val="32"/>
              <w:lang w:val="en-US" w:eastAsia="zh-CN" w:bidi="ar-SA"/>
            </w:rPr>
            <w:t xml:space="preserve"> </w:t>
          </w:r>
          <w:r>
            <w:rPr>
              <w:rFonts w:ascii="仿宋" w:hAnsi="仿宋" w:eastAsia="宋体" w:cs="Times New Roman"/>
              <w:b/>
              <w:bCs/>
              <w:color w:val="auto"/>
              <w:kern w:val="2"/>
              <w:sz w:val="32"/>
              <w:szCs w:val="32"/>
              <w:lang w:val="en-US" w:eastAsia="zh-CN" w:bidi="ar-SA"/>
            </w:rPr>
            <w:fldChar w:fldCharType="end"/>
          </w:r>
        </w:p>
        <w:p>
          <w:pPr>
            <w:spacing w:before="120" w:beforeLines="50" w:line="360" w:lineRule="auto"/>
          </w:pPr>
          <w:r>
            <w:rPr>
              <w:rFonts w:ascii="仿宋" w:hAnsi="仿宋" w:eastAsia="宋体" w:cs="Times New Roman"/>
              <w:color w:val="auto"/>
              <w:sz w:val="36"/>
              <w:szCs w:val="28"/>
            </w:rPr>
            <w:fldChar w:fldCharType="end"/>
          </w:r>
        </w:p>
      </w:sdtContent>
    </w:sdt>
    <w:p>
      <w:pPr>
        <w:widowControl w:val="0"/>
        <w:autoSpaceDE w:val="0"/>
        <w:autoSpaceDN w:val="0"/>
        <w:adjustRightInd w:val="0"/>
        <w:snapToGrid w:val="0"/>
        <w:spacing w:before="120" w:beforeLines="50" w:line="360" w:lineRule="auto"/>
        <w:ind w:firstLine="612" w:firstLineChars="200"/>
        <w:jc w:val="both"/>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充电基础设施建设是国家新型基础设施建设的重要领域，积极推进充电基础设施建设是促进电动汽车推广应用的基础保障。为指导我市“十四五”时期充电基础设施建设发展，提升充电保障能力，促进我市电动汽车应用规模持续扩大，根据国家发展改革委 国家能源局《关于加快推进充电基础设施建设更好支持新能源汽车下乡和乡村振兴的实施意见》（发改综合〔2023〕545号）《广东省人民政府办公厅转发国务院办公厅关于加快电动汽车充电基础设施建设指导意见的通知》（粤府办〔2015〕59号）《广东省电动汽车充电基础设施发展“十四五”规划》（粤能电力〔2022〕114号）等相关工作要求，结合我市实际，编制本规划。</w:t>
      </w:r>
    </w:p>
    <w:p>
      <w:pPr>
        <w:keepNext/>
        <w:keepLines/>
        <w:widowControl w:val="0"/>
        <w:numPr>
          <w:ilvl w:val="0"/>
          <w:numId w:val="0"/>
        </w:numPr>
        <w:spacing w:before="240" w:beforeLines="100" w:after="240" w:line="240" w:lineRule="auto"/>
        <w:jc w:val="both"/>
        <w:outlineLvl w:val="0"/>
        <w:rPr>
          <w:rFonts w:hint="eastAsia" w:ascii="文星黑体" w:hAnsi="文星黑体" w:eastAsia="文星黑体" w:cs="文星黑体"/>
          <w:b w:val="0"/>
          <w:bCs w:val="0"/>
          <w:color w:val="auto"/>
          <w:kern w:val="44"/>
          <w:sz w:val="32"/>
          <w:szCs w:val="32"/>
          <w:lang w:val="en-US" w:eastAsia="zh-CN" w:bidi="ar-SA"/>
        </w:rPr>
      </w:pPr>
      <w:bookmarkStart w:id="3" w:name="_Toc148683012"/>
      <w:r>
        <w:rPr>
          <w:rFonts w:hint="eastAsia" w:ascii="文星黑体" w:hAnsi="文星黑体" w:eastAsia="文星黑体" w:cs="文星黑体"/>
          <w:b w:val="0"/>
          <w:bCs w:val="0"/>
          <w:color w:val="auto"/>
          <w:kern w:val="44"/>
          <w:sz w:val="32"/>
          <w:szCs w:val="32"/>
          <w:lang w:val="en-US" w:eastAsia="zh-CN" w:bidi="ar-SA"/>
        </w:rPr>
        <w:t>一、发展基础</w:t>
      </w:r>
      <w:bookmarkEnd w:id="3"/>
    </w:p>
    <w:p>
      <w:pPr>
        <w:keepNext/>
        <w:keepLines/>
        <w:widowControl w:val="0"/>
        <w:numPr>
          <w:ilvl w:val="0"/>
          <w:numId w:val="0"/>
        </w:numPr>
        <w:spacing w:before="240" w:beforeLines="100" w:after="240" w:line="240" w:lineRule="auto"/>
        <w:jc w:val="both"/>
        <w:outlineLvl w:val="0"/>
        <w:rPr>
          <w:rFonts w:hint="eastAsia" w:ascii="文星楷体" w:hAnsi="文星楷体" w:eastAsia="文星楷体" w:cs="文星楷体"/>
          <w:b w:val="0"/>
          <w:bCs w:val="0"/>
          <w:color w:val="auto"/>
          <w:kern w:val="2"/>
          <w:sz w:val="32"/>
          <w:szCs w:val="32"/>
          <w:lang w:val="en-US" w:eastAsia="zh-CN" w:bidi="ar-SA"/>
        </w:rPr>
      </w:pPr>
      <w:bookmarkStart w:id="4" w:name="_Toc148683013"/>
      <w:r>
        <w:rPr>
          <w:rFonts w:hint="eastAsia" w:ascii="文星楷体" w:hAnsi="文星楷体" w:eastAsia="文星楷体" w:cs="文星楷体"/>
          <w:b w:val="0"/>
          <w:bCs w:val="0"/>
          <w:color w:val="auto"/>
          <w:kern w:val="2"/>
          <w:sz w:val="32"/>
          <w:szCs w:val="32"/>
          <w:lang w:val="en-US" w:eastAsia="zh-CN" w:bidi="ar-SA"/>
        </w:rPr>
        <w:t>（一）发展现状</w:t>
      </w:r>
      <w:bookmarkEnd w:id="4"/>
    </w:p>
    <w:p>
      <w:pPr>
        <w:widowControl w:val="0"/>
        <w:autoSpaceDE w:val="0"/>
        <w:autoSpaceDN w:val="0"/>
        <w:adjustRightInd w:val="0"/>
        <w:snapToGrid w:val="0"/>
        <w:spacing w:before="120" w:beforeLines="50" w:line="360" w:lineRule="auto"/>
        <w:ind w:firstLine="612" w:firstLineChars="200"/>
        <w:jc w:val="both"/>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电动汽车快速增长。截至2020年底，全国新能源汽车约492万辆，其中电动汽车保有量约400万辆，占机动汽车保有量1.42%；我省新能源汽车约82.6万辆，其中电动汽车保有量约60万辆，占省内机动车保有量的1.78%。根据梅州市统计年报等有关材料，截止到2022年底，全市电动汽车保有量约1.32万辆。</w:t>
      </w:r>
    </w:p>
    <w:p>
      <w:pPr>
        <w:widowControl w:val="0"/>
        <w:autoSpaceDE w:val="0"/>
        <w:autoSpaceDN w:val="0"/>
        <w:adjustRightInd w:val="0"/>
        <w:snapToGrid w:val="0"/>
        <w:spacing w:before="120" w:beforeLines="50" w:line="360" w:lineRule="auto"/>
        <w:ind w:firstLine="612" w:firstLineChars="200"/>
        <w:jc w:val="both"/>
        <w:rPr>
          <w:rFonts w:ascii="Times New Roman" w:hAnsi="Times New Roman" w:eastAsia="宋体" w:cs="宋体"/>
          <w:bCs/>
          <w:color w:val="auto"/>
          <w:spacing w:val="-7"/>
          <w:kern w:val="0"/>
          <w:sz w:val="28"/>
          <w:szCs w:val="28"/>
          <w:lang w:val="en-US" w:eastAsia="zh-CN" w:bidi="ar-SA"/>
        </w:rPr>
      </w:pPr>
      <w:r>
        <w:rPr>
          <w:rFonts w:hint="eastAsia" w:ascii="文星仿宋" w:hAnsi="文星仿宋" w:eastAsia="文星仿宋" w:cs="文星仿宋"/>
          <w:bCs/>
          <w:color w:val="auto"/>
          <w:spacing w:val="-7"/>
          <w:kern w:val="0"/>
          <w:sz w:val="32"/>
          <w:szCs w:val="32"/>
          <w:lang w:val="en-US" w:eastAsia="zh-CN" w:bidi="ar-SA"/>
        </w:rPr>
        <w:t>——初步形成适度超前的充电服务网络体系。截至2020年底，全国累计建成集中式充电站6.38万座（含高速公路快充站），公共充电桩80.7 万个；我省建成集中式充电站约3450座，高速公路快充站354座，公共充电桩约15.7万个，公共充电桩与电动汽车的桩车比为1:4。截止2022年底，全市建成的公共充电桩2512个，其中接入粤易充平台的公共充电桩2244个（不含高速公路和个人充电桩），公共机构、国有企业专用桩268个，实现梅州境内所有乡镇充电网络全覆盖。</w:t>
      </w:r>
    </w:p>
    <w:p>
      <w:pPr>
        <w:widowControl w:val="0"/>
        <w:autoSpaceDE w:val="0"/>
        <w:autoSpaceDN w:val="0"/>
        <w:adjustRightInd w:val="0"/>
        <w:snapToGrid w:val="0"/>
        <w:spacing w:before="120" w:beforeLines="50" w:line="360" w:lineRule="auto"/>
        <w:ind w:firstLine="612" w:firstLineChars="200"/>
        <w:jc w:val="both"/>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电动汽车及充电配套政策体系加快完善。“十三五”以来，广东省出台了《广东省发展改革委关于印发&lt;广东省电动汽车充电基础设施规划（2016—2020年）&gt;的通知》（粤发改能电〔2016〕632号）、《广东省电动汽车充电基础设施发展“十四五”规划》（粤能电力〔2022〕114号）、《广东省发展改革委关于印发&lt;广东省电动汽车充电基础设施建设运营管理办法&gt;的通知》（粤发改能电〔2016〕691号）、《关于印发做好广东省新能源汽车推广应用地方财政补贴工作的通知》（粤发改产业函〔2018〕518号）、《电动汽车充电基础设施建设技术规程》（DBJ/T15-150-2018）等一系列政策性文件，为充电基础设施发展提供了政策保障。</w:t>
      </w:r>
    </w:p>
    <w:p>
      <w:pPr>
        <w:keepNext/>
        <w:keepLines/>
        <w:widowControl w:val="0"/>
        <w:numPr>
          <w:ilvl w:val="-1"/>
          <w:numId w:val="0"/>
        </w:numPr>
        <w:spacing w:before="240" w:beforeLines="100" w:after="240" w:line="240" w:lineRule="auto"/>
        <w:ind w:left="0" w:firstLine="0"/>
        <w:jc w:val="left"/>
        <w:outlineLvl w:val="1"/>
        <w:rPr>
          <w:rFonts w:hint="eastAsia" w:ascii="文星楷体" w:hAnsi="文星楷体" w:eastAsia="文星楷体" w:cs="文星楷体"/>
          <w:b w:val="0"/>
          <w:bCs w:val="0"/>
          <w:color w:val="auto"/>
          <w:kern w:val="2"/>
          <w:sz w:val="32"/>
          <w:szCs w:val="32"/>
          <w:lang w:val="en-US" w:eastAsia="zh-CN" w:bidi="ar-SA"/>
        </w:rPr>
      </w:pPr>
      <w:bookmarkStart w:id="5" w:name="_Toc148683015"/>
      <w:r>
        <w:rPr>
          <w:rFonts w:hint="eastAsia" w:ascii="文星楷体" w:hAnsi="文星楷体" w:eastAsia="文星楷体" w:cs="文星楷体"/>
          <w:b w:val="0"/>
          <w:bCs w:val="0"/>
          <w:color w:val="auto"/>
          <w:kern w:val="2"/>
          <w:sz w:val="32"/>
          <w:szCs w:val="32"/>
          <w:lang w:val="en-US" w:eastAsia="zh-CN" w:bidi="ar-SA"/>
        </w:rPr>
        <w:t>（二）发展形势</w:t>
      </w:r>
      <w:bookmarkEnd w:id="5"/>
    </w:p>
    <w:p>
      <w:pPr>
        <w:widowControl w:val="0"/>
        <w:autoSpaceDE w:val="0"/>
        <w:autoSpaceDN w:val="0"/>
        <w:adjustRightInd w:val="0"/>
        <w:snapToGrid w:val="0"/>
        <w:spacing w:before="120" w:beforeLines="50" w:line="360" w:lineRule="auto"/>
        <w:ind w:firstLine="612" w:firstLineChars="200"/>
        <w:jc w:val="both"/>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在碳达峰、碳中和目标要求下，“十四五”时期，我国新能源汽车将进入加速发展新阶段，充电设施产业也迎来了重要机遇期。</w:t>
      </w:r>
    </w:p>
    <w:p>
      <w:pPr>
        <w:widowControl w:val="0"/>
        <w:autoSpaceDE w:val="0"/>
        <w:autoSpaceDN w:val="0"/>
        <w:adjustRightInd w:val="0"/>
        <w:snapToGrid w:val="0"/>
        <w:spacing w:before="120" w:beforeLines="50" w:line="360" w:lineRule="auto"/>
        <w:ind w:firstLine="612" w:firstLineChars="200"/>
        <w:jc w:val="both"/>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新能源汽车提速发展促进充电基础设施加快建设。随着我国持续加大对新能源汽车研发投入和产业布局，未来新能源汽车技术水平将显著提升，产业体系日趋完善，到2025年，全国新能源汽车新车销售量达到汽车新车销售总量的20%左右，对充换电基础设施能力提出更高要求，便捷、高效、安全的充电需求将为充电设施行业创造巨大发展空间，“十三五”充电设施存量利用将全面盘活，“十四五”充电设施增量建设将全面激活。</w:t>
      </w:r>
    </w:p>
    <w:p>
      <w:pPr>
        <w:widowControl w:val="0"/>
        <w:autoSpaceDE w:val="0"/>
        <w:autoSpaceDN w:val="0"/>
        <w:adjustRightInd w:val="0"/>
        <w:snapToGrid w:val="0"/>
        <w:spacing w:before="120" w:beforeLines="50" w:line="360" w:lineRule="auto"/>
        <w:ind w:firstLine="612" w:firstLineChars="200"/>
        <w:jc w:val="both"/>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车充网跨界深度融合促进更好发挥充电设施网络在能源结构调整中的作用。新能源汽车与信息通信融合发展，充电网、能源网、车联网、互联网、交通网等多网融合是必然趋势，充电基础设施作为车辆、能源、交通等数据、信息的接口，将在电力系统和互联网基础设施之间起到融合作用，有效平衡电动汽车充放储电和电力系统调度需求，提升电网调峰调频、应急响应能力，实现电动汽车与电网能量高效互动。</w:t>
      </w:r>
    </w:p>
    <w:p>
      <w:pPr>
        <w:widowControl w:val="0"/>
        <w:autoSpaceDE w:val="0"/>
        <w:autoSpaceDN w:val="0"/>
        <w:adjustRightInd w:val="0"/>
        <w:snapToGrid w:val="0"/>
        <w:spacing w:before="120" w:beforeLines="50" w:line="360" w:lineRule="auto"/>
        <w:ind w:firstLine="612" w:firstLineChars="200"/>
        <w:jc w:val="both"/>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大功率、快充桩的研发运用促进大幅提升充电效率。充电设施朝着大功率、快充方向发展，充电效率大幅提升；同时随着充电设施智能化发展，充电桩利用效率也将不断提升，能更好满足电动汽车充电需求；并且，随着私人桩的普及，有效满足私人电动汽车的居家充电补能。公共桩桩车比可适当降低。</w:t>
      </w:r>
    </w:p>
    <w:p>
      <w:pPr>
        <w:keepNext/>
        <w:keepLines/>
        <w:widowControl w:val="0"/>
        <w:numPr>
          <w:ilvl w:val="0"/>
          <w:numId w:val="0"/>
        </w:numPr>
        <w:spacing w:before="240" w:beforeLines="100" w:after="240" w:line="240" w:lineRule="auto"/>
        <w:jc w:val="both"/>
        <w:outlineLvl w:val="0"/>
        <w:rPr>
          <w:rFonts w:hint="eastAsia" w:ascii="文星黑体" w:hAnsi="文星黑体" w:eastAsia="文星黑体" w:cs="文星黑体"/>
          <w:b w:val="0"/>
          <w:bCs w:val="0"/>
          <w:color w:val="auto"/>
          <w:kern w:val="44"/>
          <w:sz w:val="32"/>
          <w:szCs w:val="32"/>
          <w:lang w:val="en-US" w:eastAsia="zh-CN" w:bidi="ar-SA"/>
        </w:rPr>
      </w:pPr>
      <w:bookmarkStart w:id="6" w:name="_Toc148683016"/>
      <w:r>
        <w:rPr>
          <w:rFonts w:hint="eastAsia" w:ascii="文星黑体" w:hAnsi="文星黑体" w:eastAsia="文星黑体" w:cs="文星黑体"/>
          <w:b w:val="0"/>
          <w:bCs w:val="0"/>
          <w:color w:val="auto"/>
          <w:kern w:val="44"/>
          <w:sz w:val="32"/>
          <w:szCs w:val="32"/>
          <w:lang w:val="en-US" w:eastAsia="zh-CN" w:bidi="ar-SA"/>
        </w:rPr>
        <w:t>二、需求预测</w:t>
      </w:r>
      <w:bookmarkEnd w:id="6"/>
    </w:p>
    <w:p>
      <w:pPr>
        <w:keepNext/>
        <w:keepLines/>
        <w:widowControl w:val="0"/>
        <w:numPr>
          <w:ilvl w:val="-1"/>
          <w:numId w:val="0"/>
        </w:numPr>
        <w:spacing w:before="240" w:beforeLines="100" w:after="240" w:line="240" w:lineRule="auto"/>
        <w:ind w:left="0" w:firstLine="0"/>
        <w:jc w:val="left"/>
        <w:outlineLvl w:val="1"/>
        <w:rPr>
          <w:rFonts w:hint="eastAsia" w:ascii="文星楷体" w:hAnsi="文星楷体" w:eastAsia="文星楷体" w:cs="文星楷体"/>
          <w:b w:val="0"/>
          <w:bCs w:val="0"/>
          <w:color w:val="auto"/>
          <w:kern w:val="2"/>
          <w:sz w:val="32"/>
          <w:szCs w:val="32"/>
          <w:lang w:val="en-US" w:eastAsia="zh-CN" w:bidi="ar-SA"/>
        </w:rPr>
      </w:pPr>
      <w:bookmarkStart w:id="7" w:name="_Toc148683017"/>
      <w:r>
        <w:rPr>
          <w:rFonts w:hint="eastAsia" w:ascii="文星楷体" w:hAnsi="文星楷体" w:eastAsia="文星楷体" w:cs="文星楷体"/>
          <w:b w:val="0"/>
          <w:bCs w:val="0"/>
          <w:color w:val="auto"/>
          <w:kern w:val="2"/>
          <w:sz w:val="32"/>
          <w:szCs w:val="32"/>
          <w:lang w:val="en-US" w:eastAsia="zh-CN" w:bidi="ar-SA"/>
        </w:rPr>
        <w:t>（一）电动汽车需求预测</w:t>
      </w:r>
      <w:bookmarkEnd w:id="7"/>
    </w:p>
    <w:p>
      <w:pPr>
        <w:widowControl w:val="0"/>
        <w:autoSpaceDE w:val="0"/>
        <w:autoSpaceDN w:val="0"/>
        <w:spacing w:before="120" w:beforeLines="50" w:line="360" w:lineRule="auto"/>
        <w:ind w:firstLine="612" w:firstLineChars="200"/>
        <w:jc w:val="both"/>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结合《广东省电动基础设施发展“十四五”规划》和梅州市内电动汽车的发展的实际情况。采用电动汽车占比法及线性回归法综合预测梅州市2025年电动汽车保有量。</w:t>
      </w:r>
    </w:p>
    <w:p>
      <w:pPr>
        <w:keepNext/>
        <w:keepLines/>
        <w:widowControl w:val="0"/>
        <w:numPr>
          <w:ilvl w:val="-1"/>
          <w:numId w:val="0"/>
        </w:numPr>
        <w:spacing w:before="240" w:beforeLines="100" w:after="240" w:line="240" w:lineRule="auto"/>
        <w:ind w:left="0" w:firstLine="0"/>
        <w:jc w:val="left"/>
        <w:outlineLvl w:val="1"/>
        <w:rPr>
          <w:rFonts w:hint="eastAsia" w:ascii="文星楷体" w:hAnsi="文星楷体" w:eastAsia="文星楷体" w:cs="文星楷体"/>
          <w:b w:val="0"/>
          <w:bCs w:val="0"/>
          <w:color w:val="auto"/>
          <w:kern w:val="2"/>
          <w:sz w:val="32"/>
          <w:szCs w:val="32"/>
          <w:lang w:val="en-US" w:eastAsia="zh-CN" w:bidi="ar-SA"/>
        </w:rPr>
      </w:pPr>
      <w:r>
        <w:rPr>
          <w:rFonts w:hint="eastAsia" w:ascii="文星楷体" w:hAnsi="文星楷体" w:eastAsia="文星楷体" w:cs="文星楷体"/>
          <w:b w:val="0"/>
          <w:bCs w:val="0"/>
          <w:color w:val="auto"/>
          <w:kern w:val="2"/>
          <w:sz w:val="32"/>
          <w:szCs w:val="32"/>
          <w:lang w:val="en-US" w:eastAsia="zh-CN" w:bidi="ar-SA"/>
        </w:rPr>
        <w:t>（二）电动汽车占比法</w:t>
      </w:r>
    </w:p>
    <w:p>
      <w:pPr>
        <w:widowControl w:val="0"/>
        <w:autoSpaceDE w:val="0"/>
        <w:autoSpaceDN w:val="0"/>
        <w:spacing w:before="120" w:beforeLines="50" w:line="360" w:lineRule="auto"/>
        <w:ind w:firstLine="612" w:firstLineChars="200"/>
        <w:jc w:val="both"/>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根据《梅州市成品油零售体系“十四五”发展规划（2021-2025）》，至2025年，梅州市全市汽车保有量为895796辆。根据《广东省电动基础设施发展“十四五”规划》，2025年，全省电动汽车保有量占省内机动车保有量的4.1%，结合梅州市实际，选取3%，则2025年梅州市电动汽车保有量为26874辆。</w:t>
      </w:r>
    </w:p>
    <w:p>
      <w:pPr>
        <w:keepNext/>
        <w:keepLines/>
        <w:widowControl w:val="0"/>
        <w:numPr>
          <w:ilvl w:val="-1"/>
          <w:numId w:val="0"/>
        </w:numPr>
        <w:spacing w:before="240" w:beforeLines="100" w:after="240" w:line="240" w:lineRule="auto"/>
        <w:ind w:left="0" w:firstLine="0"/>
        <w:jc w:val="left"/>
        <w:outlineLvl w:val="1"/>
        <w:rPr>
          <w:rFonts w:hint="eastAsia" w:ascii="文星楷体" w:hAnsi="文星楷体" w:eastAsia="文星楷体" w:cs="文星楷体"/>
          <w:b w:val="0"/>
          <w:bCs w:val="0"/>
          <w:color w:val="auto"/>
          <w:kern w:val="2"/>
          <w:sz w:val="32"/>
          <w:szCs w:val="32"/>
          <w:lang w:val="en-US" w:eastAsia="zh-CN" w:bidi="ar-SA"/>
        </w:rPr>
      </w:pPr>
      <w:r>
        <w:rPr>
          <w:rFonts w:hint="eastAsia" w:ascii="文星楷体" w:hAnsi="文星楷体" w:eastAsia="文星楷体" w:cs="文星楷体"/>
          <w:b w:val="0"/>
          <w:bCs w:val="0"/>
          <w:color w:val="auto"/>
          <w:kern w:val="2"/>
          <w:sz w:val="32"/>
          <w:szCs w:val="32"/>
          <w:lang w:val="en-US" w:eastAsia="zh-CN" w:bidi="ar-SA"/>
        </w:rPr>
        <w:t>（三）线性回归分析法</w:t>
      </w:r>
    </w:p>
    <w:p>
      <w:pPr>
        <w:widowControl w:val="0"/>
        <w:autoSpaceDE w:val="0"/>
        <w:autoSpaceDN w:val="0"/>
        <w:spacing w:before="120" w:beforeLines="50" w:line="360" w:lineRule="auto"/>
        <w:ind w:firstLine="612" w:firstLineChars="200"/>
        <w:jc w:val="both"/>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通过2018-2023年梅州市电动汽车保有量变动情况，测算出线性增长趋势，推算出2025年汽车保有量：计算公式如下：</w:t>
      </w:r>
    </w:p>
    <w:p>
      <w:pPr>
        <w:widowControl w:val="0"/>
        <w:autoSpaceDE w:val="0"/>
        <w:autoSpaceDN w:val="0"/>
        <w:spacing w:before="120" w:beforeLines="50" w:line="360" w:lineRule="auto"/>
        <w:ind w:firstLine="612" w:firstLineChars="200"/>
        <w:jc w:val="center"/>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Y=AX+B</w:t>
      </w:r>
    </w:p>
    <w:p>
      <w:pPr>
        <w:widowControl w:val="0"/>
        <w:autoSpaceDE w:val="0"/>
        <w:autoSpaceDN w:val="0"/>
        <w:spacing w:before="120" w:beforeLines="50" w:line="360" w:lineRule="auto"/>
        <w:ind w:firstLine="612" w:firstLineChars="200"/>
        <w:jc w:val="both"/>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其中Y为预测年汽车保有量，X为回归变量，A、B为待定系数。</w:t>
      </w:r>
    </w:p>
    <w:p>
      <w:pPr>
        <w:widowControl w:val="0"/>
        <w:autoSpaceDE w:val="0"/>
        <w:autoSpaceDN w:val="0"/>
        <w:spacing w:before="120" w:beforeLines="50" w:line="360" w:lineRule="auto"/>
        <w:ind w:firstLine="612" w:firstLineChars="200"/>
        <w:jc w:val="both"/>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通过代入数据得到A为2015.7，B为-4244522.2，则得到线性方程Y=+2015.7x-4244522.2；代入数据测算得到2025年电动汽车保有量为19521辆。</w:t>
      </w:r>
    </w:p>
    <w:p>
      <w:pPr>
        <w:widowControl w:val="0"/>
        <w:spacing w:before="120" w:beforeLines="50" w:line="360" w:lineRule="auto"/>
        <w:jc w:val="center"/>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表2-1梅州市电动汽车保有量一览表</w:t>
      </w:r>
    </w:p>
    <w:tbl>
      <w:tblPr>
        <w:tblStyle w:val="4"/>
        <w:tblW w:w="5098" w:type="dxa"/>
        <w:jc w:val="cente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autofit"/>
        <w:tblCellMar>
          <w:top w:w="0" w:type="dxa"/>
          <w:left w:w="108" w:type="dxa"/>
          <w:bottom w:w="0" w:type="dxa"/>
          <w:right w:w="108" w:type="dxa"/>
        </w:tblCellMar>
      </w:tblPr>
      <w:tblGrid>
        <w:gridCol w:w="1838"/>
        <w:gridCol w:w="3260"/>
      </w:tblGrid>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7" w:hRule="atLeast"/>
          <w:jc w:val="center"/>
        </w:trPr>
        <w:tc>
          <w:tcPr>
            <w:tcW w:w="1838" w:type="dxa"/>
          </w:tcPr>
          <w:p>
            <w:pPr>
              <w:spacing w:before="120" w:beforeLines="50" w:line="240" w:lineRule="auto"/>
              <w:jc w:val="center"/>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年份</w:t>
            </w:r>
          </w:p>
        </w:tc>
        <w:tc>
          <w:tcPr>
            <w:tcW w:w="3260" w:type="dxa"/>
          </w:tcPr>
          <w:p>
            <w:pPr>
              <w:spacing w:before="120" w:beforeLines="50" w:line="240" w:lineRule="auto"/>
              <w:jc w:val="center"/>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电动汽车保有量（辆）</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7" w:hRule="atLeast"/>
          <w:jc w:val="center"/>
        </w:trPr>
        <w:tc>
          <w:tcPr>
            <w:tcW w:w="1838" w:type="dxa"/>
            <w:shd w:val="clear" w:color="auto" w:fill="F1F1F1"/>
          </w:tcPr>
          <w:p>
            <w:pPr>
              <w:spacing w:before="120" w:beforeLines="50" w:line="240" w:lineRule="auto"/>
              <w:jc w:val="center"/>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2018</w:t>
            </w:r>
          </w:p>
        </w:tc>
        <w:tc>
          <w:tcPr>
            <w:tcW w:w="3260" w:type="dxa"/>
            <w:shd w:val="clear" w:color="auto" w:fill="F1F1F1"/>
          </w:tcPr>
          <w:p>
            <w:pPr>
              <w:spacing w:before="120" w:beforeLines="50" w:line="240" w:lineRule="auto"/>
              <w:jc w:val="center"/>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4161</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7" w:hRule="atLeast"/>
          <w:jc w:val="center"/>
        </w:trPr>
        <w:tc>
          <w:tcPr>
            <w:tcW w:w="1838" w:type="dxa"/>
          </w:tcPr>
          <w:p>
            <w:pPr>
              <w:spacing w:before="120" w:beforeLines="50" w:line="240" w:lineRule="auto"/>
              <w:jc w:val="center"/>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2019</w:t>
            </w:r>
          </w:p>
        </w:tc>
        <w:tc>
          <w:tcPr>
            <w:tcW w:w="3260" w:type="dxa"/>
          </w:tcPr>
          <w:p>
            <w:pPr>
              <w:spacing w:before="120" w:beforeLines="50" w:line="240" w:lineRule="auto"/>
              <w:jc w:val="center"/>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7177</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7" w:hRule="atLeast"/>
          <w:jc w:val="center"/>
        </w:trPr>
        <w:tc>
          <w:tcPr>
            <w:tcW w:w="1838" w:type="dxa"/>
            <w:shd w:val="clear" w:color="auto" w:fill="F1F1F1"/>
          </w:tcPr>
          <w:p>
            <w:pPr>
              <w:spacing w:before="120" w:beforeLines="50" w:line="240" w:lineRule="auto"/>
              <w:jc w:val="center"/>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2020</w:t>
            </w:r>
          </w:p>
        </w:tc>
        <w:tc>
          <w:tcPr>
            <w:tcW w:w="3260" w:type="dxa"/>
            <w:shd w:val="clear" w:color="auto" w:fill="F1F1F1"/>
          </w:tcPr>
          <w:p>
            <w:pPr>
              <w:spacing w:before="120" w:beforeLines="50" w:line="240" w:lineRule="auto"/>
              <w:jc w:val="center"/>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9832</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7" w:hRule="atLeast"/>
          <w:jc w:val="center"/>
        </w:trPr>
        <w:tc>
          <w:tcPr>
            <w:tcW w:w="1838" w:type="dxa"/>
          </w:tcPr>
          <w:p>
            <w:pPr>
              <w:spacing w:before="120" w:beforeLines="50" w:line="240" w:lineRule="auto"/>
              <w:jc w:val="center"/>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2023.06</w:t>
            </w:r>
          </w:p>
        </w:tc>
        <w:tc>
          <w:tcPr>
            <w:tcW w:w="3260" w:type="dxa"/>
          </w:tcPr>
          <w:p>
            <w:pPr>
              <w:spacing w:before="120" w:beforeLines="50" w:line="240" w:lineRule="auto"/>
              <w:jc w:val="center"/>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16100</w:t>
            </w:r>
          </w:p>
        </w:tc>
      </w:tr>
    </w:tbl>
    <w:p>
      <w:pPr>
        <w:widowControl w:val="0"/>
        <w:autoSpaceDE w:val="0"/>
        <w:autoSpaceDN w:val="0"/>
        <w:spacing w:before="120" w:beforeLines="50" w:line="360" w:lineRule="auto"/>
        <w:ind w:firstLine="612" w:firstLineChars="200"/>
        <w:jc w:val="both"/>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综合以上两种测算方法，同时考虑各类预测模型的局限性，本次电动汽车保有量取值为两种预测方法的平均值，则至2025年梅州市电动汽车保有量约为23197辆。</w:t>
      </w:r>
    </w:p>
    <w:p>
      <w:pPr>
        <w:keepNext/>
        <w:keepLines/>
        <w:widowControl w:val="0"/>
        <w:numPr>
          <w:ilvl w:val="-1"/>
          <w:numId w:val="0"/>
        </w:numPr>
        <w:spacing w:before="240" w:beforeLines="100" w:after="240" w:line="240" w:lineRule="auto"/>
        <w:ind w:left="0" w:firstLine="0"/>
        <w:jc w:val="left"/>
        <w:outlineLvl w:val="1"/>
        <w:rPr>
          <w:rFonts w:hint="eastAsia" w:ascii="文星楷体" w:hAnsi="文星楷体" w:eastAsia="文星楷体" w:cs="文星楷体"/>
          <w:b w:val="0"/>
          <w:bCs w:val="0"/>
          <w:color w:val="auto"/>
          <w:kern w:val="2"/>
          <w:sz w:val="32"/>
          <w:szCs w:val="32"/>
          <w:lang w:val="en-US" w:eastAsia="zh-CN" w:bidi="ar-SA"/>
        </w:rPr>
      </w:pPr>
      <w:bookmarkStart w:id="8" w:name="_Toc148683018"/>
      <w:r>
        <w:rPr>
          <w:rFonts w:hint="eastAsia" w:ascii="文星楷体" w:hAnsi="文星楷体" w:eastAsia="文星楷体" w:cs="文星楷体"/>
          <w:b w:val="0"/>
          <w:bCs w:val="0"/>
          <w:color w:val="auto"/>
          <w:kern w:val="2"/>
          <w:sz w:val="32"/>
          <w:szCs w:val="32"/>
          <w:lang w:val="en-US" w:eastAsia="zh-CN" w:bidi="ar-SA"/>
        </w:rPr>
        <w:t>（四）充电设施需求预测</w:t>
      </w:r>
      <w:bookmarkEnd w:id="8"/>
    </w:p>
    <w:p>
      <w:pPr>
        <w:widowControl w:val="0"/>
        <w:autoSpaceDE w:val="0"/>
        <w:autoSpaceDN w:val="0"/>
        <w:adjustRightInd w:val="0"/>
        <w:snapToGrid w:val="0"/>
        <w:spacing w:before="120" w:beforeLines="50" w:line="360" w:lineRule="auto"/>
        <w:ind w:firstLine="612" w:firstLineChars="200"/>
        <w:jc w:val="both"/>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根据《广东省人民政府办公厅关于印发广东省推进新型基础设施建设三年实施方案（2020—2022年）的通知》（粤府办〔2020〕24号）、《广东省电动基础设施发展“十四五”规划》提出的电动汽车充电设施建设要求，到2025年底，粤东西北地区城市核心区充电设施服务半径不超过2千米，公共桩桩车比约1:6.4。</w:t>
      </w:r>
    </w:p>
    <w:p>
      <w:pPr>
        <w:widowControl w:val="0"/>
        <w:autoSpaceDE w:val="0"/>
        <w:autoSpaceDN w:val="0"/>
        <w:adjustRightInd w:val="0"/>
        <w:snapToGrid w:val="0"/>
        <w:spacing w:before="120" w:beforeLines="50" w:line="360" w:lineRule="auto"/>
        <w:ind w:firstLine="612" w:firstLineChars="200"/>
        <w:jc w:val="both"/>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根据前文预测，梅州市至2025年电动汽车保有量为23197辆，为达到公共桩桩车比约1:6.4，到2025年梅州市需建成公共充电桩3624个。</w:t>
      </w:r>
    </w:p>
    <w:p>
      <w:pPr>
        <w:keepNext/>
        <w:keepLines/>
        <w:widowControl w:val="0"/>
        <w:numPr>
          <w:ilvl w:val="0"/>
          <w:numId w:val="0"/>
        </w:numPr>
        <w:spacing w:before="240" w:beforeLines="100" w:after="240" w:line="240" w:lineRule="auto"/>
        <w:jc w:val="both"/>
        <w:outlineLvl w:val="0"/>
        <w:rPr>
          <w:rFonts w:hint="eastAsia" w:ascii="文星黑体" w:hAnsi="文星黑体" w:eastAsia="文星黑体" w:cs="文星黑体"/>
          <w:b w:val="0"/>
          <w:bCs w:val="0"/>
          <w:color w:val="auto"/>
          <w:kern w:val="44"/>
          <w:sz w:val="32"/>
          <w:szCs w:val="32"/>
          <w:lang w:val="en-US" w:eastAsia="zh-CN" w:bidi="ar-SA"/>
        </w:rPr>
      </w:pPr>
      <w:bookmarkStart w:id="9" w:name="_Toc148683019"/>
      <w:r>
        <w:rPr>
          <w:rFonts w:hint="eastAsia" w:ascii="文星黑体" w:hAnsi="文星黑体" w:eastAsia="文星黑体" w:cs="文星黑体"/>
          <w:b w:val="0"/>
          <w:bCs w:val="0"/>
          <w:color w:val="auto"/>
          <w:kern w:val="44"/>
          <w:sz w:val="32"/>
          <w:szCs w:val="32"/>
          <w:lang w:val="en-US" w:eastAsia="zh-CN" w:bidi="ar-SA"/>
        </w:rPr>
        <w:t>三、总体要求和发展目标</w:t>
      </w:r>
      <w:bookmarkEnd w:id="9"/>
    </w:p>
    <w:p>
      <w:pPr>
        <w:keepNext/>
        <w:keepLines/>
        <w:widowControl w:val="0"/>
        <w:numPr>
          <w:ilvl w:val="-1"/>
          <w:numId w:val="0"/>
        </w:numPr>
        <w:spacing w:before="240" w:beforeLines="100" w:after="240" w:line="240" w:lineRule="auto"/>
        <w:ind w:left="0" w:firstLine="0"/>
        <w:jc w:val="left"/>
        <w:outlineLvl w:val="1"/>
        <w:rPr>
          <w:rFonts w:hint="eastAsia" w:ascii="文星楷体" w:hAnsi="文星楷体" w:eastAsia="文星楷体" w:cs="文星楷体"/>
          <w:b w:val="0"/>
          <w:bCs w:val="0"/>
          <w:color w:val="auto"/>
          <w:kern w:val="2"/>
          <w:sz w:val="32"/>
          <w:szCs w:val="32"/>
          <w:lang w:val="en-US" w:eastAsia="zh-CN" w:bidi="ar-SA"/>
        </w:rPr>
      </w:pPr>
      <w:bookmarkStart w:id="10" w:name="_Toc148683020"/>
      <w:r>
        <w:rPr>
          <w:rFonts w:hint="eastAsia" w:ascii="文星楷体" w:hAnsi="文星楷体" w:eastAsia="文星楷体" w:cs="文星楷体"/>
          <w:b w:val="0"/>
          <w:bCs w:val="0"/>
          <w:color w:val="auto"/>
          <w:kern w:val="2"/>
          <w:sz w:val="32"/>
          <w:szCs w:val="32"/>
          <w:lang w:val="en-US" w:eastAsia="zh-CN" w:bidi="ar-SA"/>
        </w:rPr>
        <w:t>（一）指导思想</w:t>
      </w:r>
      <w:bookmarkEnd w:id="10"/>
    </w:p>
    <w:p>
      <w:pPr>
        <w:widowControl w:val="0"/>
        <w:autoSpaceDE w:val="0"/>
        <w:autoSpaceDN w:val="0"/>
        <w:adjustRightInd w:val="0"/>
        <w:snapToGrid w:val="0"/>
        <w:spacing w:before="120" w:beforeLines="50" w:line="360" w:lineRule="auto"/>
        <w:ind w:firstLine="612" w:firstLineChars="200"/>
        <w:jc w:val="both"/>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坚持以习近平新时代中国特色社会主义思想为指导，全面贯彻党的二十大和历届全会精神，深入落实党中央、国务院及省委、省政府关于新能源汽车发展的部署，助力我市实现碳达峰、碳中和目标，以支撑电动汽车推广应用为核心，坚持市场主导和政府引导相结合，全面推动充电基础设施科学布局建设，加快构建智能、高效、便捷、安全的充电服务体系，提升充电服务水平，保障和促进电动汽车产业高质量可持续发展。</w:t>
      </w:r>
    </w:p>
    <w:p>
      <w:pPr>
        <w:keepNext/>
        <w:keepLines/>
        <w:widowControl w:val="0"/>
        <w:numPr>
          <w:ilvl w:val="-1"/>
          <w:numId w:val="0"/>
        </w:numPr>
        <w:spacing w:before="240" w:beforeLines="100" w:after="240" w:line="240" w:lineRule="auto"/>
        <w:ind w:left="0" w:firstLine="0"/>
        <w:jc w:val="left"/>
        <w:outlineLvl w:val="1"/>
        <w:rPr>
          <w:rFonts w:hint="eastAsia" w:ascii="文星楷体" w:hAnsi="文星楷体" w:eastAsia="文星楷体" w:cs="文星楷体"/>
          <w:b w:val="0"/>
          <w:bCs w:val="0"/>
          <w:color w:val="auto"/>
          <w:kern w:val="2"/>
          <w:sz w:val="32"/>
          <w:szCs w:val="32"/>
          <w:lang w:val="en-US" w:eastAsia="zh-CN" w:bidi="ar-SA"/>
        </w:rPr>
      </w:pPr>
      <w:bookmarkStart w:id="11" w:name="_Toc148683021"/>
      <w:r>
        <w:rPr>
          <w:rFonts w:hint="eastAsia" w:ascii="文星楷体" w:hAnsi="文星楷体" w:eastAsia="文星楷体" w:cs="文星楷体"/>
          <w:b w:val="0"/>
          <w:bCs w:val="0"/>
          <w:color w:val="auto"/>
          <w:kern w:val="2"/>
          <w:sz w:val="32"/>
          <w:szCs w:val="32"/>
          <w:lang w:val="en-US" w:eastAsia="zh-CN" w:bidi="ar-SA"/>
        </w:rPr>
        <w:t>（二）发展原则</w:t>
      </w:r>
      <w:bookmarkEnd w:id="11"/>
    </w:p>
    <w:p>
      <w:pPr>
        <w:widowControl w:val="0"/>
        <w:autoSpaceDE w:val="0"/>
        <w:autoSpaceDN w:val="0"/>
        <w:adjustRightInd w:val="0"/>
        <w:snapToGrid w:val="0"/>
        <w:spacing w:before="120" w:beforeLines="50" w:line="360" w:lineRule="auto"/>
        <w:ind w:firstLine="612" w:firstLineChars="200"/>
        <w:jc w:val="both"/>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——适度超前。按照“车桩联动、桩站先行”模式，加强充电设施统筹规划，推动充电设施适度超前建设，形成完善的充电基础设施体系，充电设施总体服务能力满足全市电动汽车推广应用需求。</w:t>
      </w:r>
    </w:p>
    <w:p>
      <w:pPr>
        <w:widowControl w:val="0"/>
        <w:autoSpaceDE w:val="0"/>
        <w:autoSpaceDN w:val="0"/>
        <w:adjustRightInd w:val="0"/>
        <w:snapToGrid w:val="0"/>
        <w:spacing w:before="120" w:beforeLines="50" w:line="360" w:lineRule="auto"/>
        <w:ind w:firstLine="612" w:firstLineChars="200"/>
        <w:jc w:val="both"/>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科学布局。遵循“市场主导、快慢互济”的导向，根据不同区域、不同类型电动汽车充电需求，分类合理布局充电设施，推广智能有序慢充为主、应急快充为辅的居民区充电服务模式，加快形成适度超前、快充为主、慢充为辅的城乡公共充电网络。</w:t>
      </w:r>
    </w:p>
    <w:p>
      <w:pPr>
        <w:widowControl w:val="0"/>
        <w:autoSpaceDE w:val="0"/>
        <w:autoSpaceDN w:val="0"/>
        <w:adjustRightInd w:val="0"/>
        <w:snapToGrid w:val="0"/>
        <w:spacing w:before="120" w:beforeLines="50" w:line="360" w:lineRule="auto"/>
        <w:ind w:firstLine="612" w:firstLineChars="200"/>
        <w:jc w:val="both"/>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智能高效。依托“互联网+”智慧能源，提升充电设施智能化水平和互联互通水平，推动智能有序充电、大功率充电、无线充电等新型充电技术创新；推动电池通用化与换电设施规模化产业化，探索动力电池梯次利用。鼓励进行服务和商业模式创新，在拓展数据服务、新零售等业务的同时，鼓励电动汽车与电网能量高效互动，服务电网调峰调频、安全应急响应，同时利用峰谷电价提升充电站点运营收益，促进电网和电动汽车协同发展。</w:t>
      </w:r>
    </w:p>
    <w:p>
      <w:pPr>
        <w:keepNext/>
        <w:keepLines/>
        <w:widowControl w:val="0"/>
        <w:numPr>
          <w:ilvl w:val="-1"/>
          <w:numId w:val="0"/>
        </w:numPr>
        <w:spacing w:before="240" w:beforeLines="100" w:after="240" w:line="240" w:lineRule="auto"/>
        <w:ind w:left="0" w:firstLine="0"/>
        <w:jc w:val="left"/>
        <w:outlineLvl w:val="1"/>
        <w:rPr>
          <w:rFonts w:hint="eastAsia" w:ascii="文星楷体" w:hAnsi="文星楷体" w:eastAsia="文星楷体" w:cs="文星楷体"/>
          <w:b w:val="0"/>
          <w:bCs w:val="0"/>
          <w:color w:val="auto"/>
          <w:kern w:val="2"/>
          <w:sz w:val="32"/>
          <w:szCs w:val="32"/>
          <w:lang w:val="en-US" w:eastAsia="zh-CN" w:bidi="ar-SA"/>
        </w:rPr>
      </w:pPr>
      <w:bookmarkStart w:id="12" w:name="_Toc148683022"/>
      <w:r>
        <w:rPr>
          <w:rFonts w:hint="eastAsia" w:ascii="文星楷体" w:hAnsi="文星楷体" w:eastAsia="文星楷体" w:cs="文星楷体"/>
          <w:b w:val="0"/>
          <w:bCs w:val="0"/>
          <w:color w:val="auto"/>
          <w:kern w:val="2"/>
          <w:sz w:val="32"/>
          <w:szCs w:val="32"/>
          <w:lang w:val="en-US" w:eastAsia="zh-CN" w:bidi="ar-SA"/>
        </w:rPr>
        <w:t>（三）发展目标</w:t>
      </w:r>
      <w:bookmarkEnd w:id="12"/>
    </w:p>
    <w:p>
      <w:pPr>
        <w:widowControl w:val="0"/>
        <w:autoSpaceDE w:val="0"/>
        <w:autoSpaceDN w:val="0"/>
        <w:adjustRightInd w:val="0"/>
        <w:snapToGrid w:val="0"/>
        <w:spacing w:before="120" w:beforeLines="50" w:line="360" w:lineRule="auto"/>
        <w:ind w:firstLine="612" w:firstLineChars="200"/>
        <w:jc w:val="both"/>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截止2022年底，全市建成的公共充电桩2512个，其中接入粤易充平台的公共充电桩2244个（不含高速公路和个人充电桩），公共机构、国有企业专用桩268个。按照公共桩桩车比约1:6.4的要求，到2025年梅州市需累计建成公共充电桩3624个，2023-2025年需新增公共充电桩1112个。</w:t>
      </w:r>
    </w:p>
    <w:p>
      <w:pPr>
        <w:widowControl w:val="0"/>
        <w:autoSpaceDE w:val="0"/>
        <w:autoSpaceDN w:val="0"/>
        <w:adjustRightInd w:val="0"/>
        <w:snapToGrid w:val="0"/>
        <w:spacing w:before="120" w:beforeLines="50" w:line="360" w:lineRule="auto"/>
        <w:ind w:firstLine="612" w:firstLineChars="200"/>
        <w:jc w:val="both"/>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若电动汽车增长超预期，可在相应的年度充电设施建设计划中调整充电桩建设规模。</w:t>
      </w:r>
    </w:p>
    <w:p>
      <w:pPr>
        <w:keepNext/>
        <w:keepLines/>
        <w:widowControl w:val="0"/>
        <w:numPr>
          <w:ilvl w:val="0"/>
          <w:numId w:val="0"/>
        </w:numPr>
        <w:spacing w:before="240" w:beforeLines="100" w:after="240" w:line="240" w:lineRule="auto"/>
        <w:jc w:val="both"/>
        <w:outlineLvl w:val="0"/>
        <w:rPr>
          <w:rFonts w:hint="eastAsia" w:ascii="文星黑体" w:hAnsi="文星黑体" w:eastAsia="文星黑体" w:cs="文星黑体"/>
          <w:b w:val="0"/>
          <w:bCs w:val="0"/>
          <w:color w:val="auto"/>
          <w:kern w:val="44"/>
          <w:sz w:val="32"/>
          <w:szCs w:val="32"/>
          <w:lang w:val="en-US" w:eastAsia="zh-CN" w:bidi="ar-SA"/>
        </w:rPr>
      </w:pPr>
      <w:bookmarkStart w:id="13" w:name="_Toc148683023"/>
      <w:r>
        <w:rPr>
          <w:rFonts w:hint="eastAsia" w:ascii="文星黑体" w:hAnsi="文星黑体" w:eastAsia="文星黑体" w:cs="文星黑体"/>
          <w:b w:val="0"/>
          <w:bCs w:val="0"/>
          <w:color w:val="auto"/>
          <w:kern w:val="44"/>
          <w:sz w:val="32"/>
          <w:szCs w:val="32"/>
          <w:lang w:val="en-US" w:eastAsia="zh-CN" w:bidi="ar-SA"/>
        </w:rPr>
        <w:t>四、主要任务</w:t>
      </w:r>
      <w:bookmarkEnd w:id="13"/>
    </w:p>
    <w:p>
      <w:pPr>
        <w:keepNext/>
        <w:keepLines/>
        <w:widowControl w:val="0"/>
        <w:numPr>
          <w:ilvl w:val="-1"/>
          <w:numId w:val="0"/>
        </w:numPr>
        <w:spacing w:before="240" w:beforeLines="100" w:after="240" w:line="240" w:lineRule="auto"/>
        <w:ind w:left="0" w:firstLine="0"/>
        <w:jc w:val="left"/>
        <w:outlineLvl w:val="1"/>
        <w:rPr>
          <w:rFonts w:hint="eastAsia" w:ascii="文星楷体" w:hAnsi="文星楷体" w:eastAsia="文星楷体" w:cs="文星楷体"/>
          <w:b w:val="0"/>
          <w:bCs w:val="0"/>
          <w:color w:val="auto"/>
          <w:kern w:val="2"/>
          <w:sz w:val="32"/>
          <w:szCs w:val="32"/>
          <w:lang w:val="en-US" w:eastAsia="zh-CN" w:bidi="ar-SA"/>
        </w:rPr>
      </w:pPr>
      <w:bookmarkStart w:id="14" w:name="_Toc148683024"/>
      <w:r>
        <w:rPr>
          <w:rFonts w:hint="eastAsia" w:ascii="文星楷体" w:hAnsi="文星楷体" w:eastAsia="文星楷体" w:cs="文星楷体"/>
          <w:b w:val="0"/>
          <w:bCs w:val="0"/>
          <w:color w:val="auto"/>
          <w:kern w:val="2"/>
          <w:sz w:val="32"/>
          <w:szCs w:val="32"/>
          <w:lang w:val="en-US" w:eastAsia="zh-CN" w:bidi="ar-SA"/>
        </w:rPr>
        <w:t>（一）加快充电基础设施体系建设</w:t>
      </w:r>
      <w:bookmarkEnd w:id="14"/>
    </w:p>
    <w:p>
      <w:pPr>
        <w:widowControl w:val="0"/>
        <w:autoSpaceDE w:val="0"/>
        <w:autoSpaceDN w:val="0"/>
        <w:adjustRightInd w:val="0"/>
        <w:snapToGrid w:val="0"/>
        <w:spacing w:before="120" w:beforeLines="50" w:line="360" w:lineRule="auto"/>
        <w:ind w:firstLine="612" w:firstLineChars="200"/>
        <w:jc w:val="both"/>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1.落实好充电设施建设的用地政策，在既有停车位安装充电设施的，免予或无需办理规划许可手续。新建公共停车场及新增的路内收费停车位应按照不低于30%的比例建设快速充电桩。</w:t>
      </w:r>
    </w:p>
    <w:p>
      <w:pPr>
        <w:widowControl w:val="0"/>
        <w:autoSpaceDE w:val="0"/>
        <w:autoSpaceDN w:val="0"/>
        <w:adjustRightInd w:val="0"/>
        <w:snapToGrid w:val="0"/>
        <w:spacing w:before="120" w:beforeLines="50" w:line="360" w:lineRule="auto"/>
        <w:ind w:firstLine="612" w:firstLineChars="200"/>
        <w:jc w:val="both"/>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2.在确保安全前提下，鼓励加油站配建公共充（换）电设施，积极推进建设加油站、充换电等业务一体的综合供能服务站。</w:t>
      </w:r>
    </w:p>
    <w:p>
      <w:pPr>
        <w:widowControl w:val="0"/>
        <w:autoSpaceDE w:val="0"/>
        <w:autoSpaceDN w:val="0"/>
        <w:adjustRightInd w:val="0"/>
        <w:snapToGrid w:val="0"/>
        <w:spacing w:before="120" w:beforeLines="50" w:line="360" w:lineRule="auto"/>
        <w:ind w:firstLine="612" w:firstLineChars="200"/>
        <w:jc w:val="both"/>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3.加快旅游景区公共充电基础设施建设，A级以上景区结合游客接待量和充电需求配建充电基础设施，倡导4A级以上景区设立电动汽车公共充电区域；</w:t>
      </w:r>
    </w:p>
    <w:p>
      <w:pPr>
        <w:widowControl w:val="0"/>
        <w:autoSpaceDE w:val="0"/>
        <w:autoSpaceDN w:val="0"/>
        <w:adjustRightInd w:val="0"/>
        <w:snapToGrid w:val="0"/>
        <w:spacing w:before="120" w:beforeLines="50" w:line="360" w:lineRule="auto"/>
        <w:ind w:firstLine="612" w:firstLineChars="200"/>
        <w:jc w:val="both"/>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4.鼓励在大型商场、超市等建筑物配建的停车场建设公共充电设施。推进公交、环卫等领域专用充电设施建设，鼓励具备条件的充电设施站点对外提供公共充电服务。加快形成适度超前、快充为主、慢充为辅的公共充电网络。</w:t>
      </w:r>
    </w:p>
    <w:p>
      <w:pPr>
        <w:widowControl w:val="0"/>
        <w:autoSpaceDE w:val="0"/>
        <w:autoSpaceDN w:val="0"/>
        <w:adjustRightInd w:val="0"/>
        <w:snapToGrid w:val="0"/>
        <w:spacing w:before="120" w:beforeLines="50" w:line="360" w:lineRule="auto"/>
        <w:ind w:firstLine="612" w:firstLineChars="200"/>
        <w:jc w:val="both"/>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5.鼓励有运营或维护资质的企业统筹郊区乡镇公共充电基础设施建设，助力电动汽车下乡。</w:t>
      </w:r>
    </w:p>
    <w:p>
      <w:pPr>
        <w:widowControl w:val="0"/>
        <w:autoSpaceDE w:val="0"/>
        <w:autoSpaceDN w:val="0"/>
        <w:adjustRightInd w:val="0"/>
        <w:snapToGrid w:val="0"/>
        <w:spacing w:before="120" w:beforeLines="50" w:line="360" w:lineRule="auto"/>
        <w:ind w:firstLine="612" w:firstLineChars="200"/>
        <w:jc w:val="both"/>
        <w:rPr>
          <w:rFonts w:hint="default"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6.加强充电运营市场秩序监管，严厉打击行业垄断、价格垄断、恶性竞争等市场不正当竞争行为，维护充电运营市场正常秩序，提高充电行业可持续发展能力；加强充电产品质量监管，促进加强行业自律，提升充电设施检测和服务管理能力。</w:t>
      </w:r>
    </w:p>
    <w:p>
      <w:pPr>
        <w:keepNext/>
        <w:keepLines/>
        <w:widowControl w:val="0"/>
        <w:numPr>
          <w:ilvl w:val="-1"/>
          <w:numId w:val="0"/>
        </w:numPr>
        <w:spacing w:before="240" w:beforeLines="100" w:after="240" w:line="240" w:lineRule="auto"/>
        <w:ind w:left="0" w:firstLine="0"/>
        <w:jc w:val="left"/>
        <w:outlineLvl w:val="1"/>
        <w:rPr>
          <w:rFonts w:hint="eastAsia" w:ascii="文星楷体" w:hAnsi="文星楷体" w:eastAsia="文星楷体" w:cs="文星楷体"/>
          <w:b w:val="0"/>
          <w:bCs w:val="0"/>
          <w:color w:val="auto"/>
          <w:kern w:val="2"/>
          <w:sz w:val="32"/>
          <w:szCs w:val="32"/>
          <w:lang w:val="en-US" w:eastAsia="zh-CN" w:bidi="ar-SA"/>
        </w:rPr>
      </w:pPr>
      <w:r>
        <w:rPr>
          <w:rFonts w:hint="eastAsia" w:ascii="文星楷体" w:hAnsi="文星楷体" w:eastAsia="文星楷体" w:cs="文星楷体"/>
          <w:b w:val="0"/>
          <w:bCs w:val="0"/>
          <w:color w:val="auto"/>
          <w:kern w:val="2"/>
          <w:sz w:val="32"/>
          <w:szCs w:val="32"/>
          <w:lang w:val="en-US" w:eastAsia="zh-CN" w:bidi="ar-SA"/>
        </w:rPr>
        <w:t>（二）加快推动中心城区公用充电设施建设</w:t>
      </w:r>
    </w:p>
    <w:p>
      <w:pPr>
        <w:widowControl w:val="0"/>
        <w:autoSpaceDE w:val="0"/>
        <w:autoSpaceDN w:val="0"/>
        <w:adjustRightInd w:val="0"/>
        <w:snapToGrid w:val="0"/>
        <w:spacing w:before="120" w:beforeLines="50" w:line="360" w:lineRule="auto"/>
        <w:ind w:firstLine="612" w:firstLineChars="200"/>
        <w:jc w:val="both"/>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已建大型商场、酒店宾馆、文体场馆、旅游景区、城市公园、医疗机构、交通枢纽、公共停车场、路内收费停车位等公共场所，按照不低于总停车位数量 10%的比例配设公共充电桩或预留建设安装条件。新建公共停车场及新增的路内收费停车位应按照不低于30%的比例建设快速充电桩。（本规划中按照两个公共停车泊位配置一个公用充电桩计算）。</w:t>
      </w:r>
    </w:p>
    <w:p>
      <w:pPr>
        <w:widowControl w:val="0"/>
        <w:autoSpaceDE w:val="0"/>
        <w:autoSpaceDN w:val="0"/>
        <w:adjustRightInd w:val="0"/>
        <w:snapToGrid w:val="0"/>
        <w:spacing w:before="120" w:beforeLines="50" w:line="360" w:lineRule="auto"/>
        <w:ind w:firstLine="612" w:firstLineChars="200"/>
        <w:jc w:val="both"/>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拟选择梅州市中心城区32个公共停车场，共计4390个泊位数，至2025年新增170个公用充电桩。</w:t>
      </w:r>
    </w:p>
    <w:p>
      <w:pPr>
        <w:widowControl w:val="0"/>
        <w:spacing w:before="120" w:beforeLines="50" w:line="360" w:lineRule="auto"/>
        <w:jc w:val="center"/>
        <w:rPr>
          <w:rFonts w:hint="eastAsia" w:ascii="Calibri Light" w:hAnsi="Calibri Light" w:eastAsia="宋体" w:cs="Times New Roman"/>
          <w:color w:val="auto"/>
          <w:kern w:val="2"/>
          <w:sz w:val="24"/>
          <w:szCs w:val="20"/>
          <w:lang w:val="en-US" w:eastAsia="zh-CN" w:bidi="ar-SA"/>
        </w:rPr>
      </w:pPr>
      <w:r>
        <w:rPr>
          <w:rFonts w:hint="eastAsia" w:ascii="Calibri Light" w:hAnsi="Calibri Light" w:eastAsia="宋体" w:cs="Times New Roman"/>
          <w:color w:val="auto"/>
          <w:kern w:val="2"/>
          <w:sz w:val="24"/>
          <w:szCs w:val="20"/>
          <w:lang w:val="en-US" w:eastAsia="zh-CN" w:bidi="ar-SA"/>
        </w:rPr>
        <w:t>表</w:t>
      </w:r>
      <w:r>
        <w:rPr>
          <w:rFonts w:ascii="Calibri Light" w:hAnsi="Calibri Light" w:eastAsia="宋体" w:cs="Times New Roman"/>
          <w:color w:val="auto"/>
          <w:kern w:val="2"/>
          <w:sz w:val="24"/>
          <w:szCs w:val="20"/>
          <w:lang w:val="en-US" w:eastAsia="zh-CN" w:bidi="ar-SA"/>
        </w:rPr>
        <w:t>4</w:t>
      </w:r>
      <w:r>
        <w:rPr>
          <w:rFonts w:hint="eastAsia" w:ascii="Calibri Light" w:hAnsi="Calibri Light" w:eastAsia="宋体" w:cs="Times New Roman"/>
          <w:color w:val="auto"/>
          <w:kern w:val="2"/>
          <w:sz w:val="24"/>
          <w:szCs w:val="20"/>
          <w:lang w:val="en-US" w:eastAsia="zh-CN" w:bidi="ar-SA"/>
        </w:rPr>
        <w:t>-</w:t>
      </w:r>
      <w:r>
        <w:rPr>
          <w:rFonts w:ascii="Calibri Light" w:hAnsi="Calibri Light" w:eastAsia="宋体" w:cs="Times New Roman"/>
          <w:color w:val="auto"/>
          <w:kern w:val="2"/>
          <w:sz w:val="24"/>
          <w:szCs w:val="20"/>
          <w:lang w:val="en-US" w:eastAsia="zh-CN" w:bidi="ar-SA"/>
        </w:rPr>
        <w:t>1</w:t>
      </w:r>
      <w:r>
        <w:rPr>
          <w:rFonts w:hint="eastAsia" w:ascii="Calibri Light" w:hAnsi="Calibri Light" w:eastAsia="宋体" w:cs="Times New Roman"/>
          <w:color w:val="auto"/>
          <w:kern w:val="2"/>
          <w:sz w:val="24"/>
          <w:szCs w:val="20"/>
          <w:lang w:val="en-US" w:eastAsia="zh-CN" w:bidi="ar-SA"/>
        </w:rPr>
        <w:t>梅州市中心城区公用充电桩规划一览表（结合规划停车场）</w:t>
      </w:r>
    </w:p>
    <w:p>
      <w:pPr>
        <w:widowControl w:val="0"/>
        <w:spacing w:before="120" w:beforeLines="50" w:line="360" w:lineRule="auto"/>
        <w:jc w:val="center"/>
        <w:rPr>
          <w:rFonts w:hint="eastAsia" w:ascii="Calibri Light" w:hAnsi="Calibri Light" w:eastAsia="宋体" w:cs="Times New Roman"/>
          <w:color w:val="auto"/>
          <w:kern w:val="2"/>
          <w:sz w:val="24"/>
          <w:szCs w:val="20"/>
          <w:lang w:val="en-US" w:eastAsia="zh-CN" w:bidi="ar-SA"/>
        </w:rPr>
      </w:pPr>
    </w:p>
    <w:p>
      <w:pPr>
        <w:widowControl w:val="0"/>
        <w:autoSpaceDE w:val="0"/>
        <w:autoSpaceDN w:val="0"/>
        <w:spacing w:before="120" w:beforeLines="50" w:line="360" w:lineRule="auto"/>
        <w:ind w:firstLine="612" w:firstLineChars="200"/>
        <w:jc w:val="both"/>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结合部分站点停车场资料，重点选择独立占地大型公建、景区公园等配套建设的公用停车场作为超充站的建设选址，对中心城区及各县（市、区）超充站充电桩进行规划。</w:t>
      </w:r>
    </w:p>
    <w:p>
      <w:pPr>
        <w:widowControl w:val="0"/>
        <w:autoSpaceDE w:val="0"/>
        <w:autoSpaceDN w:val="0"/>
        <w:spacing w:before="120" w:beforeLines="50" w:line="360" w:lineRule="auto"/>
        <w:ind w:firstLine="612" w:firstLineChars="200"/>
        <w:jc w:val="both"/>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综合停车场及储备用地布局，规划新增18处超充站，配置199个充电桩。则至2025年，梅州市共有20处超充站（现状已建成2处），配置223个充电桩（现状已建成24个）。</w:t>
      </w:r>
    </w:p>
    <w:p>
      <w:pPr>
        <w:widowControl w:val="0"/>
        <w:spacing w:before="120" w:beforeLines="50" w:line="360" w:lineRule="auto"/>
        <w:jc w:val="center"/>
        <w:rPr>
          <w:rFonts w:ascii="Calibri Light" w:hAnsi="Calibri Light" w:eastAsia="宋体" w:cs="Times New Roman"/>
          <w:color w:val="auto"/>
          <w:kern w:val="2"/>
          <w:sz w:val="24"/>
          <w:szCs w:val="20"/>
          <w:lang w:val="en-US" w:eastAsia="zh-CN" w:bidi="ar-SA"/>
        </w:rPr>
      </w:pPr>
      <w:r>
        <w:rPr>
          <w:rFonts w:hint="eastAsia" w:ascii="Calibri Light" w:hAnsi="Calibri Light" w:eastAsia="宋体" w:cs="Times New Roman"/>
          <w:color w:val="auto"/>
          <w:kern w:val="2"/>
          <w:sz w:val="24"/>
          <w:szCs w:val="20"/>
          <w:lang w:val="en-US" w:eastAsia="zh-CN" w:bidi="ar-SA"/>
        </w:rPr>
        <w:t>表</w:t>
      </w:r>
      <w:r>
        <w:rPr>
          <w:rFonts w:ascii="Calibri Light" w:hAnsi="Calibri Light" w:eastAsia="宋体" w:cs="Times New Roman"/>
          <w:color w:val="auto"/>
          <w:kern w:val="2"/>
          <w:sz w:val="24"/>
          <w:szCs w:val="20"/>
          <w:lang w:val="en-US" w:eastAsia="zh-CN" w:bidi="ar-SA"/>
        </w:rPr>
        <w:t>4</w:t>
      </w:r>
      <w:r>
        <w:rPr>
          <w:rFonts w:hint="eastAsia" w:ascii="Calibri Light" w:hAnsi="Calibri Light" w:eastAsia="宋体" w:cs="Times New Roman"/>
          <w:color w:val="auto"/>
          <w:kern w:val="2"/>
          <w:sz w:val="24"/>
          <w:szCs w:val="20"/>
          <w:lang w:val="en-US" w:eastAsia="zh-CN" w:bidi="ar-SA"/>
        </w:rPr>
        <w:t>-</w:t>
      </w:r>
      <w:r>
        <w:rPr>
          <w:rFonts w:ascii="Calibri Light" w:hAnsi="Calibri Light" w:eastAsia="宋体" w:cs="Times New Roman"/>
          <w:color w:val="auto"/>
          <w:kern w:val="2"/>
          <w:sz w:val="24"/>
          <w:szCs w:val="20"/>
          <w:lang w:val="en-US" w:eastAsia="zh-CN" w:bidi="ar-SA"/>
        </w:rPr>
        <w:t>2</w:t>
      </w:r>
      <w:r>
        <w:rPr>
          <w:rFonts w:hint="eastAsia" w:ascii="Calibri Light" w:hAnsi="Calibri Light" w:eastAsia="宋体" w:cs="Times New Roman"/>
          <w:color w:val="auto"/>
          <w:kern w:val="2"/>
          <w:sz w:val="24"/>
          <w:szCs w:val="20"/>
          <w:lang w:val="en-US" w:eastAsia="zh-CN" w:bidi="ar-SA"/>
        </w:rPr>
        <w:t>梅州市中心城区规划超级充电站总体布局一览表</w:t>
      </w:r>
    </w:p>
    <w:p>
      <w:pPr>
        <w:widowControl w:val="0"/>
        <w:autoSpaceDE w:val="0"/>
        <w:autoSpaceDN w:val="0"/>
        <w:spacing w:before="120" w:beforeLines="50" w:line="360" w:lineRule="auto"/>
        <w:ind w:firstLine="480" w:firstLineChars="200"/>
        <w:jc w:val="both"/>
        <w:rPr>
          <w:rFonts w:hint="eastAsia" w:ascii="宋体" w:hAnsi="宋体" w:eastAsia="宋体" w:cs="宋体"/>
          <w:color w:val="auto"/>
          <w:kern w:val="0"/>
          <w:sz w:val="24"/>
          <w:szCs w:val="24"/>
          <w:lang w:val="en-US" w:eastAsia="zh-CN" w:bidi="ar-SA"/>
        </w:rPr>
      </w:pPr>
    </w:p>
    <w:p>
      <w:pPr>
        <w:widowControl w:val="0"/>
        <w:autoSpaceDE w:val="0"/>
        <w:autoSpaceDN w:val="0"/>
        <w:spacing w:before="120" w:beforeLines="50" w:line="360" w:lineRule="auto"/>
        <w:ind w:firstLine="480" w:firstLineChars="200"/>
        <w:jc w:val="both"/>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注：1.本规划所述每个超级充电站点至少配备2个超级充电桩，剩余充电桩为快充桩，并可根据需要替换成超级充电桩。2.储备用地统一按照新建公共停车场及新增的路内收费停车位不低于30%的比例建设快速充电桩。</w:t>
      </w:r>
    </w:p>
    <w:p>
      <w:pPr>
        <w:widowControl w:val="0"/>
        <w:autoSpaceDE w:val="0"/>
        <w:autoSpaceDN w:val="0"/>
        <w:adjustRightInd w:val="0"/>
        <w:snapToGrid w:val="0"/>
        <w:spacing w:before="120" w:beforeLines="50" w:line="360" w:lineRule="auto"/>
        <w:ind w:firstLine="612" w:firstLineChars="200"/>
        <w:jc w:val="both"/>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结合停车场及新增超充站，至2025年，梅州市中心城区新增公用充电桩共达到260个。</w:t>
      </w:r>
    </w:p>
    <w:p>
      <w:pPr>
        <w:keepNext/>
        <w:keepLines/>
        <w:widowControl w:val="0"/>
        <w:numPr>
          <w:ilvl w:val="-1"/>
          <w:numId w:val="0"/>
        </w:numPr>
        <w:spacing w:before="240" w:beforeLines="100" w:after="240" w:line="240" w:lineRule="auto"/>
        <w:ind w:left="0" w:firstLine="0"/>
        <w:jc w:val="left"/>
        <w:outlineLvl w:val="1"/>
        <w:rPr>
          <w:rFonts w:hint="eastAsia" w:ascii="文星楷体" w:hAnsi="文星楷体" w:eastAsia="文星楷体" w:cs="文星楷体"/>
          <w:b w:val="0"/>
          <w:bCs w:val="0"/>
          <w:color w:val="auto"/>
          <w:kern w:val="2"/>
          <w:sz w:val="32"/>
          <w:szCs w:val="32"/>
          <w:lang w:val="en-US" w:eastAsia="zh-CN" w:bidi="ar-SA"/>
        </w:rPr>
      </w:pPr>
      <w:r>
        <w:rPr>
          <w:rFonts w:hint="eastAsia" w:ascii="文星楷体" w:hAnsi="文星楷体" w:eastAsia="文星楷体" w:cs="文星楷体"/>
          <w:b w:val="0"/>
          <w:bCs w:val="0"/>
          <w:color w:val="auto"/>
          <w:kern w:val="2"/>
          <w:sz w:val="32"/>
          <w:szCs w:val="32"/>
          <w:lang w:val="en-US" w:eastAsia="zh-CN" w:bidi="ar-SA"/>
        </w:rPr>
        <w:t>（三）推动公共机构、企业内部专用充电基础设施建设</w:t>
      </w:r>
    </w:p>
    <w:p>
      <w:pPr>
        <w:widowControl w:val="0"/>
        <w:autoSpaceDE w:val="0"/>
        <w:autoSpaceDN w:val="0"/>
        <w:adjustRightInd w:val="0"/>
        <w:snapToGrid w:val="0"/>
        <w:spacing w:before="120" w:beforeLines="50" w:line="360" w:lineRule="auto"/>
        <w:ind w:firstLine="612" w:firstLineChars="200"/>
        <w:jc w:val="both"/>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各级政府机关、公共机构及企事业单位要提高新能源汽车专用停车位、停车位配建充电桩比例。鼓励企业自用车使用电动汽车，具备条件的企业内部停车场配建充电桩并对外开放。各公共机构、国有企业充电基础设施按照新建和既有停车场要按照不低于10%的比例规划建设配备充电设施(或预留建设安装条件)。</w:t>
      </w:r>
    </w:p>
    <w:p>
      <w:pPr>
        <w:widowControl w:val="0"/>
        <w:spacing w:before="120" w:beforeLines="50" w:line="360" w:lineRule="auto"/>
        <w:jc w:val="center"/>
        <w:rPr>
          <w:rFonts w:hint="eastAsia" w:ascii="Times New Roman" w:hAnsi="Times New Roman" w:eastAsia="宋体" w:cs="Times New Roman"/>
          <w:bCs/>
          <w:color w:val="auto"/>
          <w:spacing w:val="-7"/>
          <w:kern w:val="2"/>
          <w:sz w:val="24"/>
          <w:szCs w:val="20"/>
          <w:lang w:val="en-US" w:eastAsia="zh-CN" w:bidi="ar-SA"/>
        </w:rPr>
      </w:pPr>
      <w:r>
        <w:rPr>
          <w:rFonts w:hint="eastAsia" w:ascii="Calibri Light" w:hAnsi="Calibri Light" w:eastAsia="宋体" w:cs="Times New Roman"/>
          <w:color w:val="auto"/>
          <w:kern w:val="2"/>
          <w:sz w:val="24"/>
          <w:szCs w:val="20"/>
          <w:lang w:val="en-US" w:eastAsia="zh-CN" w:bidi="ar-SA"/>
        </w:rPr>
        <w:t>表4-3梅州市中心城区公共机构、国有企业充电基础设施建设情况表</w:t>
      </w:r>
    </w:p>
    <w:p>
      <w:pPr>
        <w:widowControl w:val="0"/>
        <w:spacing w:before="120" w:beforeLines="50" w:line="360" w:lineRule="auto"/>
        <w:jc w:val="center"/>
        <w:rPr>
          <w:rFonts w:hint="eastAsia" w:ascii="Times New Roman" w:hAnsi="Times New Roman" w:eastAsia="宋体" w:cs="Times New Roman"/>
          <w:bCs/>
          <w:color w:val="auto"/>
          <w:spacing w:val="-7"/>
          <w:kern w:val="2"/>
          <w:sz w:val="24"/>
          <w:szCs w:val="20"/>
          <w:lang w:val="en-US" w:eastAsia="zh-CN" w:bidi="ar-SA"/>
        </w:rPr>
      </w:pPr>
    </w:p>
    <w:p>
      <w:pPr>
        <w:keepNext/>
        <w:keepLines/>
        <w:widowControl w:val="0"/>
        <w:numPr>
          <w:ilvl w:val="-1"/>
          <w:numId w:val="0"/>
        </w:numPr>
        <w:spacing w:before="240" w:beforeLines="100" w:after="240" w:line="240" w:lineRule="auto"/>
        <w:ind w:left="0" w:firstLine="0"/>
        <w:jc w:val="left"/>
        <w:outlineLvl w:val="1"/>
        <w:rPr>
          <w:rFonts w:hint="eastAsia" w:ascii="文星楷体" w:hAnsi="文星楷体" w:eastAsia="文星楷体" w:cs="文星楷体"/>
          <w:b w:val="0"/>
          <w:bCs w:val="0"/>
          <w:color w:val="auto"/>
          <w:kern w:val="2"/>
          <w:sz w:val="32"/>
          <w:szCs w:val="32"/>
          <w:lang w:val="en-US" w:eastAsia="zh-CN" w:bidi="ar-SA"/>
        </w:rPr>
      </w:pPr>
      <w:r>
        <w:rPr>
          <w:rFonts w:hint="eastAsia" w:ascii="文星楷体" w:hAnsi="文星楷体" w:eastAsia="文星楷体" w:cs="文星楷体"/>
          <w:b w:val="0"/>
          <w:bCs w:val="0"/>
          <w:color w:val="auto"/>
          <w:kern w:val="2"/>
          <w:sz w:val="32"/>
          <w:szCs w:val="32"/>
          <w:lang w:val="en-US" w:eastAsia="zh-CN" w:bidi="ar-SA"/>
        </w:rPr>
        <w:t>（四）有序推进各县（市、区）充电设施建设</w:t>
      </w:r>
    </w:p>
    <w:p>
      <w:pPr>
        <w:widowControl w:val="0"/>
        <w:autoSpaceDE w:val="0"/>
        <w:autoSpaceDN w:val="0"/>
        <w:spacing w:before="120" w:beforeLines="50" w:line="360" w:lineRule="auto"/>
        <w:ind w:firstLine="532" w:firstLineChars="200"/>
        <w:jc w:val="both"/>
        <w:rPr>
          <w:rFonts w:hint="eastAsia" w:ascii="文星楷体" w:hAnsi="文星楷体" w:eastAsia="文星楷体" w:cs="文星楷体"/>
          <w:b w:val="0"/>
          <w:bCs/>
          <w:color w:val="auto"/>
          <w:spacing w:val="-7"/>
          <w:kern w:val="0"/>
          <w:sz w:val="28"/>
          <w:szCs w:val="28"/>
          <w:lang w:val="en-US" w:eastAsia="zh-CN" w:bidi="ar-SA"/>
        </w:rPr>
      </w:pPr>
      <w:r>
        <w:rPr>
          <w:rFonts w:hint="eastAsia" w:ascii="文星楷体" w:hAnsi="文星楷体" w:eastAsia="文星楷体" w:cs="文星楷体"/>
          <w:b w:val="0"/>
          <w:bCs/>
          <w:color w:val="auto"/>
          <w:spacing w:val="-7"/>
          <w:kern w:val="0"/>
          <w:sz w:val="28"/>
          <w:szCs w:val="28"/>
          <w:lang w:val="en-US" w:eastAsia="zh-CN" w:bidi="ar-SA"/>
        </w:rPr>
        <w:t>1.各县（市、区）公共充电桩</w:t>
      </w:r>
      <w:r>
        <w:rPr>
          <w:rFonts w:hint="eastAsia" w:ascii="文星楷体" w:hAnsi="文星楷体" w:eastAsia="文星楷体" w:cs="文星楷体"/>
          <w:b w:val="0"/>
          <w:bCs/>
          <w:color w:val="auto"/>
          <w:kern w:val="0"/>
          <w:sz w:val="28"/>
          <w:szCs w:val="28"/>
          <w:lang w:val="en-US" w:eastAsia="zh-CN" w:bidi="ar-SA"/>
        </w:rPr>
        <w:t>总体布局</w:t>
      </w:r>
    </w:p>
    <w:p>
      <w:pPr>
        <w:widowControl w:val="0"/>
        <w:autoSpaceDE w:val="0"/>
        <w:autoSpaceDN w:val="0"/>
        <w:spacing w:before="120" w:beforeLines="50" w:line="360" w:lineRule="auto"/>
        <w:ind w:firstLine="612" w:firstLineChars="200"/>
        <w:jc w:val="both"/>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根据充电设施需求预测分析，至2025年，梅州市建成3624个公共充电桩，新建1112个充电桩；其中梅州市中心城区规划260个公用充电桩（结合停车场及新增超充站）和0个专用充电桩，则梅州市各县（市、区）共需新增852个公共充电桩，其中梅江区、梅县区的年度建设任务不包含已规划布点建设的充电基础设施。</w:t>
      </w:r>
      <w:bookmarkStart w:id="20" w:name="_GoBack"/>
      <w:bookmarkEnd w:id="20"/>
    </w:p>
    <w:p>
      <w:pPr>
        <w:widowControl w:val="0"/>
        <w:spacing w:before="120" w:beforeLines="50" w:line="360" w:lineRule="auto"/>
        <w:jc w:val="center"/>
        <w:rPr>
          <w:rFonts w:hint="eastAsia" w:ascii="Calibri Light" w:hAnsi="Calibri Light" w:eastAsia="宋体" w:cs="Times New Roman"/>
          <w:color w:val="auto"/>
          <w:kern w:val="2"/>
          <w:sz w:val="24"/>
          <w:szCs w:val="20"/>
          <w:lang w:val="en-US" w:eastAsia="zh-CN" w:bidi="ar-SA"/>
        </w:rPr>
      </w:pPr>
      <w:r>
        <w:rPr>
          <w:rFonts w:hint="eastAsia" w:ascii="Calibri Light" w:hAnsi="Calibri Light" w:eastAsia="宋体" w:cs="Times New Roman"/>
          <w:color w:val="auto"/>
          <w:kern w:val="2"/>
          <w:sz w:val="24"/>
          <w:szCs w:val="20"/>
          <w:lang w:val="en-US" w:eastAsia="zh-CN" w:bidi="ar-SA"/>
        </w:rPr>
        <w:t>表</w:t>
      </w:r>
      <w:r>
        <w:rPr>
          <w:rFonts w:ascii="Calibri Light" w:hAnsi="Calibri Light" w:eastAsia="宋体" w:cs="Times New Roman"/>
          <w:color w:val="auto"/>
          <w:kern w:val="2"/>
          <w:sz w:val="24"/>
          <w:szCs w:val="20"/>
          <w:lang w:val="en-US" w:eastAsia="zh-CN" w:bidi="ar-SA"/>
        </w:rPr>
        <w:t>4</w:t>
      </w:r>
      <w:r>
        <w:rPr>
          <w:rFonts w:hint="eastAsia" w:ascii="Calibri Light" w:hAnsi="Calibri Light" w:eastAsia="宋体" w:cs="Times New Roman"/>
          <w:color w:val="auto"/>
          <w:kern w:val="2"/>
          <w:sz w:val="24"/>
          <w:szCs w:val="20"/>
          <w:lang w:val="en-US" w:eastAsia="zh-CN" w:bidi="ar-SA"/>
        </w:rPr>
        <w:t>-4</w:t>
      </w:r>
      <w:r>
        <w:rPr>
          <w:rFonts w:ascii="Calibri Light" w:hAnsi="Calibri Light" w:eastAsia="宋体" w:cs="Times New Roman"/>
          <w:color w:val="auto"/>
          <w:kern w:val="2"/>
          <w:sz w:val="24"/>
          <w:szCs w:val="20"/>
          <w:lang w:val="en-US" w:eastAsia="zh-CN" w:bidi="ar-SA"/>
        </w:rPr>
        <w:t xml:space="preserve"> </w:t>
      </w:r>
      <w:r>
        <w:rPr>
          <w:rFonts w:hint="eastAsia" w:ascii="Calibri Light" w:hAnsi="Calibri Light" w:eastAsia="宋体" w:cs="Times New Roman"/>
          <w:color w:val="auto"/>
          <w:kern w:val="2"/>
          <w:sz w:val="24"/>
          <w:szCs w:val="20"/>
          <w:lang w:val="en-US" w:eastAsia="zh-CN" w:bidi="ar-SA"/>
        </w:rPr>
        <w:t>各县（市、区）公共充电基础设施建设目标任务表（2023-2025年）</w:t>
      </w:r>
    </w:p>
    <w:tbl>
      <w:tblPr>
        <w:tblStyle w:val="2"/>
        <w:tblW w:w="90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2063"/>
        <w:gridCol w:w="2025"/>
        <w:gridCol w:w="1785"/>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各县（市、区）</w:t>
            </w:r>
          </w:p>
        </w:tc>
        <w:tc>
          <w:tcPr>
            <w:tcW w:w="8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2023-2025年公共充电桩建设任务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2023年新增充电桩（个）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2024年新增充电桩（个）</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2025年新增充电桩（个）</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right="985" w:rightChars="469"/>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2023-2025年合计新增充电桩（个）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梅江</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梅县</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兴宁</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平远</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蕉岭</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大埔</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丰顺</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五华</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合计</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100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852</w:t>
            </w:r>
          </w:p>
        </w:tc>
      </w:tr>
    </w:tbl>
    <w:p>
      <w:pPr>
        <w:widowControl w:val="0"/>
        <w:spacing w:before="120" w:beforeLines="50" w:line="360" w:lineRule="auto"/>
        <w:jc w:val="center"/>
        <w:rPr>
          <w:rFonts w:hint="eastAsia" w:ascii="Calibri Light" w:hAnsi="Calibri Light" w:eastAsia="宋体" w:cs="Times New Roman"/>
          <w:color w:val="auto"/>
          <w:kern w:val="2"/>
          <w:sz w:val="24"/>
          <w:szCs w:val="20"/>
          <w:lang w:val="en-US" w:eastAsia="zh-CN" w:bidi="ar-SA"/>
        </w:rPr>
      </w:pPr>
    </w:p>
    <w:p>
      <w:pPr>
        <w:widowControl w:val="0"/>
        <w:autoSpaceDE w:val="0"/>
        <w:autoSpaceDN w:val="0"/>
        <w:spacing w:before="120" w:beforeLines="50" w:line="360" w:lineRule="auto"/>
        <w:ind w:left="420" w:leftChars="200" w:firstLine="0" w:firstLineChars="0"/>
        <w:jc w:val="both"/>
        <w:rPr>
          <w:rFonts w:ascii="宋体" w:hAnsi="宋体" w:eastAsia="宋体" w:cs="宋体"/>
          <w:color w:val="auto"/>
          <w:kern w:val="0"/>
          <w:sz w:val="28"/>
          <w:szCs w:val="28"/>
          <w:lang w:val="en-US" w:eastAsia="zh-CN" w:bidi="ar-SA"/>
        </w:rPr>
      </w:pPr>
      <w:r>
        <w:rPr>
          <w:rFonts w:hint="eastAsia" w:ascii="文星楷体" w:hAnsi="文星楷体" w:eastAsia="文星楷体" w:cs="文星楷体"/>
          <w:b w:val="0"/>
          <w:bCs/>
          <w:color w:val="auto"/>
          <w:spacing w:val="-7"/>
          <w:kern w:val="0"/>
          <w:sz w:val="28"/>
          <w:szCs w:val="28"/>
          <w:lang w:val="en-US" w:eastAsia="zh-CN" w:bidi="ar-SA"/>
        </w:rPr>
        <w:t>2.各县（市、区）超级充电站总体布局</w:t>
      </w:r>
      <w:r>
        <w:rPr>
          <w:rFonts w:ascii="宋体" w:hAnsi="宋体" w:eastAsia="宋体" w:cs="宋体"/>
          <w:color w:val="auto"/>
          <w:kern w:val="0"/>
          <w:sz w:val="28"/>
          <w:szCs w:val="28"/>
          <w:lang w:val="en-US" w:eastAsia="zh-CN" w:bidi="ar-SA"/>
        </w:rPr>
        <w:t xml:space="preserve"> </w:t>
      </w:r>
    </w:p>
    <w:p>
      <w:pPr>
        <w:widowControl w:val="0"/>
        <w:autoSpaceDE w:val="0"/>
        <w:autoSpaceDN w:val="0"/>
        <w:spacing w:before="120" w:beforeLines="50" w:line="360" w:lineRule="auto"/>
        <w:ind w:firstLine="612" w:firstLineChars="200"/>
        <w:jc w:val="both"/>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结合部分站点停车场资料，重点选择独立占地大型公建、景区公园等配套建设的公共停车场作为超充站的建设选址，对除梅江区、梅县区外的剩余县、市各规划布局一个超充站点。</w:t>
      </w:r>
    </w:p>
    <w:p>
      <w:pPr>
        <w:widowControl w:val="0"/>
        <w:spacing w:before="120" w:beforeLines="50" w:line="360" w:lineRule="auto"/>
        <w:ind w:left="894"/>
        <w:jc w:val="center"/>
        <w:rPr>
          <w:rFonts w:ascii="Calibri Light" w:hAnsi="Calibri Light" w:eastAsia="宋体" w:cs="Times New Roman"/>
          <w:color w:val="auto"/>
          <w:kern w:val="2"/>
          <w:sz w:val="24"/>
          <w:szCs w:val="20"/>
          <w:lang w:val="en-US" w:eastAsia="zh-CN" w:bidi="ar-SA"/>
        </w:rPr>
      </w:pPr>
      <w:r>
        <w:rPr>
          <w:rFonts w:hint="eastAsia" w:ascii="Calibri Light" w:hAnsi="Calibri Light" w:eastAsia="宋体" w:cs="Times New Roman"/>
          <w:color w:val="auto"/>
          <w:kern w:val="2"/>
          <w:sz w:val="24"/>
          <w:szCs w:val="20"/>
          <w:lang w:val="en-US" w:eastAsia="zh-CN" w:bidi="ar-SA"/>
        </w:rPr>
        <w:t>表</w:t>
      </w:r>
      <w:r>
        <w:rPr>
          <w:rFonts w:ascii="Calibri Light" w:hAnsi="Calibri Light" w:eastAsia="宋体" w:cs="Times New Roman"/>
          <w:color w:val="auto"/>
          <w:kern w:val="2"/>
          <w:sz w:val="24"/>
          <w:szCs w:val="20"/>
          <w:lang w:val="en-US" w:eastAsia="zh-CN" w:bidi="ar-SA"/>
        </w:rPr>
        <w:t>4</w:t>
      </w:r>
      <w:r>
        <w:rPr>
          <w:rFonts w:hint="eastAsia" w:ascii="Calibri Light" w:hAnsi="Calibri Light" w:eastAsia="宋体" w:cs="Times New Roman"/>
          <w:color w:val="auto"/>
          <w:kern w:val="2"/>
          <w:sz w:val="24"/>
          <w:szCs w:val="20"/>
          <w:lang w:val="en-US" w:eastAsia="zh-CN" w:bidi="ar-SA"/>
        </w:rPr>
        <w:t>-5梅州市各县（市、区）规划超级充电站一览表</w:t>
      </w:r>
    </w:p>
    <w:p>
      <w:pPr>
        <w:widowControl w:val="0"/>
        <w:autoSpaceDE w:val="0"/>
        <w:autoSpaceDN w:val="0"/>
        <w:adjustRightInd w:val="0"/>
        <w:snapToGrid w:val="0"/>
        <w:spacing w:before="120" w:beforeLines="50" w:line="360" w:lineRule="auto"/>
        <w:ind w:firstLine="200" w:firstLineChars="0"/>
        <w:jc w:val="both"/>
        <w:rPr>
          <w:rFonts w:hint="eastAsia" w:ascii="宋体" w:hAnsi="宋体" w:eastAsia="宋体" w:cs="宋体"/>
          <w:color w:val="auto"/>
          <w:kern w:val="0"/>
          <w:sz w:val="24"/>
          <w:szCs w:val="22"/>
          <w:lang w:val="en-US" w:eastAsia="zh-CN" w:bidi="ar-SA"/>
        </w:rPr>
      </w:pPr>
    </w:p>
    <w:p>
      <w:pPr>
        <w:widowControl w:val="0"/>
        <w:autoSpaceDE w:val="0"/>
        <w:autoSpaceDN w:val="0"/>
        <w:adjustRightInd w:val="0"/>
        <w:snapToGrid w:val="0"/>
        <w:spacing w:before="120" w:beforeLines="50" w:line="360" w:lineRule="auto"/>
        <w:ind w:firstLine="200" w:firstLineChars="0"/>
        <w:jc w:val="both"/>
        <w:rPr>
          <w:rFonts w:ascii="宋体" w:hAnsi="宋体" w:eastAsia="宋体" w:cs="宋体"/>
          <w:color w:val="auto"/>
          <w:kern w:val="0"/>
          <w:sz w:val="24"/>
          <w:szCs w:val="22"/>
          <w:lang w:val="en-US" w:eastAsia="zh-CN" w:bidi="ar-SA"/>
        </w:rPr>
      </w:pPr>
      <w:r>
        <w:rPr>
          <w:rFonts w:hint="eastAsia" w:ascii="宋体" w:hAnsi="宋体" w:eastAsia="宋体" w:cs="宋体"/>
          <w:color w:val="auto"/>
          <w:kern w:val="0"/>
          <w:sz w:val="24"/>
          <w:szCs w:val="22"/>
          <w:lang w:val="en-US" w:eastAsia="zh-CN" w:bidi="ar-SA"/>
        </w:rPr>
        <w:t>注：本规划所述每个超级充电站点至少配备2个超级充电桩，剩余充电桩为快充桩，并可根据需要替换成超级充电桩。</w:t>
      </w:r>
    </w:p>
    <w:p>
      <w:pPr>
        <w:keepNext/>
        <w:keepLines/>
        <w:widowControl w:val="0"/>
        <w:numPr>
          <w:ilvl w:val="-1"/>
          <w:numId w:val="0"/>
        </w:numPr>
        <w:spacing w:before="240" w:beforeLines="100" w:after="240" w:line="240" w:lineRule="auto"/>
        <w:ind w:left="0" w:firstLine="0"/>
        <w:jc w:val="left"/>
        <w:outlineLvl w:val="1"/>
        <w:rPr>
          <w:rFonts w:hint="eastAsia" w:ascii="文星楷体" w:hAnsi="文星楷体" w:eastAsia="文星楷体" w:cs="文星楷体"/>
          <w:b w:val="0"/>
          <w:bCs w:val="0"/>
          <w:color w:val="auto"/>
          <w:kern w:val="2"/>
          <w:sz w:val="32"/>
          <w:szCs w:val="32"/>
          <w:lang w:val="en-US" w:eastAsia="zh-CN" w:bidi="ar-SA"/>
        </w:rPr>
      </w:pPr>
      <w:r>
        <w:rPr>
          <w:rFonts w:hint="eastAsia" w:ascii="文星楷体" w:hAnsi="文星楷体" w:eastAsia="文星楷体" w:cs="文星楷体"/>
          <w:b w:val="0"/>
          <w:bCs w:val="0"/>
          <w:color w:val="auto"/>
          <w:kern w:val="2"/>
          <w:sz w:val="32"/>
          <w:szCs w:val="32"/>
          <w:lang w:val="en-US" w:eastAsia="zh-CN" w:bidi="ar-SA"/>
        </w:rPr>
        <w:t>（五）不断完善城际充电基础设施</w:t>
      </w:r>
    </w:p>
    <w:p>
      <w:pPr>
        <w:widowControl w:val="0"/>
        <w:autoSpaceDE w:val="0"/>
        <w:autoSpaceDN w:val="0"/>
        <w:adjustRightInd w:val="0"/>
        <w:snapToGrid w:val="0"/>
        <w:spacing w:before="120" w:beforeLines="50" w:line="360" w:lineRule="auto"/>
        <w:ind w:firstLine="612" w:firstLineChars="200"/>
        <w:jc w:val="both"/>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2023-2025年，全市建成国省干线服务区充电桩94个，其中计划新建81个，已建成13个，待建68个。鼓励增加国省干线公路服务区充电桩密度，不断提高配建比例，满足出行高峰时段的充电需求。结合我市普通国省干线公路服务设施布局规划，在国省干线公路服务区布设充电基础设施。鼓励国省干线公路服务区充电桩业主单位节假日前对充电桩进行全面“体检”，确保节假日期间充分发挥国省干线公路服务区全部充电桩的补能作用；鼓励在国省干线公路服务区合理配建换电站，提高补能效率。</w:t>
      </w:r>
    </w:p>
    <w:p>
      <w:pPr>
        <w:widowControl w:val="0"/>
        <w:spacing w:before="120" w:beforeLines="50" w:line="360" w:lineRule="auto"/>
        <w:jc w:val="center"/>
        <w:rPr>
          <w:rFonts w:ascii="Calibri Light" w:hAnsi="Calibri Light" w:eastAsia="宋体" w:cs="Times New Roman"/>
          <w:color w:val="auto"/>
          <w:kern w:val="2"/>
          <w:sz w:val="24"/>
          <w:szCs w:val="20"/>
          <w:lang w:val="en-US" w:eastAsia="zh-CN" w:bidi="ar-SA"/>
        </w:rPr>
      </w:pPr>
      <w:r>
        <w:rPr>
          <w:rFonts w:ascii="Calibri Light" w:hAnsi="Calibri Light" w:eastAsia="宋体" w:cs="Times New Roman"/>
          <w:color w:val="auto"/>
          <w:kern w:val="2"/>
          <w:sz w:val="24"/>
          <w:szCs w:val="20"/>
          <w:lang w:val="en-US" w:eastAsia="zh-CN" w:bidi="ar-SA"/>
        </w:rPr>
        <w:t>表4</w:t>
      </w:r>
      <w:r>
        <w:rPr>
          <w:rFonts w:hint="eastAsia" w:ascii="Calibri Light" w:hAnsi="Calibri Light" w:eastAsia="宋体" w:cs="Times New Roman"/>
          <w:color w:val="auto"/>
          <w:kern w:val="2"/>
          <w:sz w:val="24"/>
          <w:szCs w:val="20"/>
          <w:lang w:val="en-US" w:eastAsia="zh-CN" w:bidi="ar-SA"/>
        </w:rPr>
        <w:t>-6各县（市、区）国省干线公路服务区站点规划一览表</w:t>
      </w:r>
    </w:p>
    <w:p>
      <w:pPr>
        <w:keepNext/>
        <w:keepLines/>
        <w:widowControl w:val="0"/>
        <w:numPr>
          <w:ilvl w:val="-1"/>
          <w:numId w:val="0"/>
        </w:numPr>
        <w:spacing w:before="240" w:beforeLines="100" w:after="240" w:line="240" w:lineRule="auto"/>
        <w:ind w:left="0" w:firstLine="0"/>
        <w:jc w:val="left"/>
        <w:outlineLvl w:val="1"/>
        <w:rPr>
          <w:rFonts w:hint="eastAsia" w:ascii="文星楷体" w:hAnsi="文星楷体" w:eastAsia="文星楷体" w:cs="文星楷体"/>
          <w:b w:val="0"/>
          <w:bCs w:val="0"/>
          <w:color w:val="auto"/>
          <w:kern w:val="2"/>
          <w:sz w:val="32"/>
          <w:szCs w:val="32"/>
          <w:lang w:val="en-US" w:eastAsia="zh-CN" w:bidi="ar-SA"/>
        </w:rPr>
      </w:pPr>
      <w:bookmarkStart w:id="15" w:name="_Toc148683026"/>
      <w:r>
        <w:rPr>
          <w:rFonts w:hint="eastAsia" w:ascii="文星楷体" w:hAnsi="文星楷体" w:eastAsia="文星楷体" w:cs="文星楷体"/>
          <w:b w:val="0"/>
          <w:bCs w:val="0"/>
          <w:color w:val="auto"/>
          <w:kern w:val="2"/>
          <w:sz w:val="32"/>
          <w:szCs w:val="32"/>
          <w:lang w:val="en-US" w:eastAsia="zh-CN" w:bidi="ar-SA"/>
        </w:rPr>
        <w:t>（六）强化充电基础设施安全管理</w:t>
      </w:r>
      <w:bookmarkEnd w:id="15"/>
    </w:p>
    <w:p>
      <w:pPr>
        <w:widowControl w:val="0"/>
        <w:autoSpaceDE w:val="0"/>
        <w:autoSpaceDN w:val="0"/>
        <w:spacing w:before="120" w:beforeLines="50" w:line="360" w:lineRule="auto"/>
        <w:ind w:firstLine="532" w:firstLineChars="200"/>
        <w:jc w:val="both"/>
        <w:rPr>
          <w:rFonts w:hint="eastAsia" w:ascii="文星楷体" w:hAnsi="文星楷体" w:eastAsia="文星楷体" w:cs="文星楷体"/>
          <w:b w:val="0"/>
          <w:bCs/>
          <w:color w:val="auto"/>
          <w:spacing w:val="-7"/>
          <w:kern w:val="0"/>
          <w:sz w:val="28"/>
          <w:szCs w:val="28"/>
          <w:lang w:val="en-US" w:eastAsia="zh-CN" w:bidi="ar-SA"/>
        </w:rPr>
      </w:pPr>
      <w:r>
        <w:rPr>
          <w:rFonts w:hint="eastAsia" w:ascii="文星楷体" w:hAnsi="文星楷体" w:eastAsia="文星楷体" w:cs="文星楷体"/>
          <w:b w:val="0"/>
          <w:bCs/>
          <w:color w:val="auto"/>
          <w:spacing w:val="-7"/>
          <w:kern w:val="0"/>
          <w:sz w:val="28"/>
          <w:szCs w:val="28"/>
          <w:lang w:val="en-US" w:eastAsia="zh-CN" w:bidi="ar-SA"/>
        </w:rPr>
        <w:t>1.落实充电设施安全主体责任</w:t>
      </w:r>
    </w:p>
    <w:p>
      <w:pPr>
        <w:widowControl w:val="0"/>
        <w:autoSpaceDE w:val="0"/>
        <w:autoSpaceDN w:val="0"/>
        <w:adjustRightInd w:val="0"/>
        <w:snapToGrid w:val="0"/>
        <w:spacing w:before="120" w:beforeLines="50" w:line="360" w:lineRule="auto"/>
        <w:ind w:firstLine="612" w:firstLineChars="200"/>
        <w:jc w:val="both"/>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充电设施建设运营单位要严格按照国家及行业标准开展充电设施的设计、安装、建设、竣工验收和运营，确保产品设施质量和工程建设质量，未经验收合格的充电设施及配套设施不得投入使用。</w:t>
      </w:r>
    </w:p>
    <w:p>
      <w:pPr>
        <w:widowControl w:val="0"/>
        <w:autoSpaceDE w:val="0"/>
        <w:autoSpaceDN w:val="0"/>
        <w:spacing w:before="120" w:beforeLines="50" w:line="360" w:lineRule="auto"/>
        <w:ind w:firstLine="532" w:firstLineChars="200"/>
        <w:jc w:val="both"/>
        <w:rPr>
          <w:rFonts w:hint="eastAsia" w:ascii="文星楷体" w:hAnsi="文星楷体" w:eastAsia="文星楷体" w:cs="文星楷体"/>
          <w:b w:val="0"/>
          <w:bCs/>
          <w:color w:val="auto"/>
          <w:spacing w:val="-7"/>
          <w:kern w:val="0"/>
          <w:sz w:val="28"/>
          <w:szCs w:val="28"/>
          <w:lang w:val="en-US" w:eastAsia="zh-CN" w:bidi="ar-SA"/>
        </w:rPr>
      </w:pPr>
      <w:r>
        <w:rPr>
          <w:rFonts w:hint="eastAsia" w:ascii="文星楷体" w:hAnsi="文星楷体" w:eastAsia="文星楷体" w:cs="文星楷体"/>
          <w:b w:val="0"/>
          <w:bCs/>
          <w:color w:val="auto"/>
          <w:spacing w:val="-7"/>
          <w:kern w:val="0"/>
          <w:sz w:val="28"/>
          <w:szCs w:val="28"/>
          <w:lang w:val="en-US" w:eastAsia="zh-CN" w:bidi="ar-SA"/>
        </w:rPr>
        <w:t>2.加强充电设施安全监督</w:t>
      </w:r>
    </w:p>
    <w:p>
      <w:pPr>
        <w:widowControl w:val="0"/>
        <w:autoSpaceDE w:val="0"/>
        <w:autoSpaceDN w:val="0"/>
        <w:adjustRightInd w:val="0"/>
        <w:snapToGrid w:val="0"/>
        <w:spacing w:before="120" w:beforeLines="50" w:line="360" w:lineRule="auto"/>
        <w:ind w:firstLine="612" w:firstLineChars="200"/>
        <w:jc w:val="both"/>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各地充电设施安全监管部门要定期组织对区域内的电动汽车充电设施及站场进行安全隐患排查，督促充电基础设施运营单位加强对充电设施及场所的日常消防安全管理，建立健全安全管理制度，定期自查自纠，及时消除安全隐患，完善应急处置措施。加强对民众安全、规范使用充电桩的宣传教育。各相关行业主管部门督促本行业相关场所充电基础设施运营单位加强对充电设施及场所的日常消防安全管理。</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Style w:val="10"/>
          <w:rFonts w:hint="eastAsia" w:ascii="Times New Roman" w:hAnsi="Times New Roman" w:cs="Times New Roman"/>
          <w:color w:val="auto"/>
          <w:u w:val="none"/>
          <w:lang w:val="en-US" w:eastAsia="zh-CN"/>
        </w:rPr>
      </w:pPr>
      <w:r>
        <w:rPr>
          <w:rStyle w:val="10"/>
          <w:rFonts w:hint="eastAsia" w:ascii="Times New Roman" w:hAnsi="Times New Roman" w:cs="Times New Roman"/>
          <w:color w:val="auto"/>
          <w:u w:val="none"/>
          <w:lang w:val="en-US" w:eastAsia="zh-CN"/>
        </w:rPr>
        <w:t>（七）加强配套供电服务</w:t>
      </w:r>
    </w:p>
    <w:p>
      <w:pPr>
        <w:keepNext w:val="0"/>
        <w:keepLines w:val="0"/>
        <w:pageBreakBefore w:val="0"/>
        <w:widowControl w:val="0"/>
        <w:kinsoku/>
        <w:wordWrap/>
        <w:overflowPunct/>
        <w:topLinePunct w:val="0"/>
        <w:autoSpaceDE/>
        <w:autoSpaceDN/>
        <w:bidi w:val="0"/>
        <w:adjustRightInd/>
        <w:snapToGrid/>
        <w:spacing w:line="360" w:lineRule="auto"/>
        <w:ind w:right="0" w:firstLine="640" w:firstLineChars="200"/>
        <w:textAlignment w:val="auto"/>
        <w:rPr>
          <w:rFonts w:hint="eastAsia" w:ascii="Times New Roman" w:hAnsi="Times New Roman" w:eastAsia="文星仿宋" w:cs="Times New Roman"/>
          <w:b w:val="0"/>
          <w:bCs w:val="0"/>
          <w:color w:val="auto"/>
          <w:sz w:val="32"/>
          <w:szCs w:val="32"/>
          <w:u w:val="none"/>
          <w:lang w:val="en-US" w:eastAsia="zh-CN"/>
        </w:rPr>
      </w:pPr>
      <w:r>
        <w:rPr>
          <w:rFonts w:hint="eastAsia" w:ascii="Times New Roman" w:hAnsi="Times New Roman" w:eastAsia="文星仿宋" w:cs="Times New Roman"/>
          <w:b w:val="0"/>
          <w:bCs w:val="0"/>
          <w:color w:val="auto"/>
          <w:sz w:val="32"/>
          <w:szCs w:val="32"/>
          <w:u w:val="none"/>
          <w:lang w:val="en-US" w:eastAsia="zh-CN"/>
        </w:rPr>
        <w:t>落实新建建筑配建充电设施用电报装业务指引，主动告知业务流程、所需材料和技术标准等服务内容，为能够提供独立物业权属证明材料的充（换）电站安装独立电表，并为其出具电费发票。</w:t>
      </w:r>
      <w:r>
        <w:rPr>
          <w:rFonts w:hint="default" w:ascii="Times New Roman" w:hAnsi="Times New Roman" w:eastAsia="文星仿宋" w:cs="Times New Roman"/>
          <w:b w:val="0"/>
          <w:bCs w:val="0"/>
          <w:color w:val="auto"/>
          <w:sz w:val="32"/>
          <w:szCs w:val="32"/>
          <w:u w:val="none"/>
          <w:lang w:val="en-US" w:eastAsia="zh-CN"/>
        </w:rPr>
        <w:t>推动小区物业“批量背书”、“电表预装”等优化举措，破解小区充电桩用电物业同意难题。</w:t>
      </w:r>
      <w:r>
        <w:rPr>
          <w:rFonts w:hint="eastAsia" w:ascii="Times New Roman" w:hAnsi="Times New Roman" w:eastAsia="文星仿宋" w:cs="Times New Roman"/>
          <w:b w:val="0"/>
          <w:bCs w:val="0"/>
          <w:color w:val="auto"/>
          <w:sz w:val="32"/>
          <w:szCs w:val="32"/>
          <w:u w:val="none"/>
          <w:lang w:val="en-US" w:eastAsia="zh-CN"/>
        </w:rPr>
        <w:t>优化新建、扩建充电设施建设的报备、用电报装流程。充电设施建设运营企业、供电部门等进行用电及施工可行性勘察时，物业服务企业应积极配合，出具安装电动汽车充电设施施工建设同意书，不得无理阻挠充电设施安装等相关工作。</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Style w:val="10"/>
          <w:rFonts w:hint="eastAsia" w:ascii="Times New Roman" w:hAnsi="Times New Roman" w:cs="Times New Roman"/>
          <w:color w:val="auto"/>
          <w:u w:val="none"/>
          <w:lang w:val="en-US" w:eastAsia="zh-CN"/>
        </w:rPr>
      </w:pPr>
      <w:r>
        <w:rPr>
          <w:rStyle w:val="10"/>
          <w:rFonts w:hint="eastAsia" w:ascii="Times New Roman" w:hAnsi="Times New Roman" w:cs="Times New Roman"/>
          <w:color w:val="auto"/>
          <w:u w:val="none"/>
          <w:lang w:val="en-US" w:eastAsia="zh-CN"/>
        </w:rPr>
        <w:t>（八）推动车桩网高效互动</w:t>
      </w:r>
    </w:p>
    <w:p>
      <w:pPr>
        <w:keepNext w:val="0"/>
        <w:keepLines w:val="0"/>
        <w:pageBreakBefore w:val="0"/>
        <w:widowControl w:val="0"/>
        <w:kinsoku/>
        <w:wordWrap/>
        <w:overflowPunct/>
        <w:topLinePunct w:val="0"/>
        <w:autoSpaceDE/>
        <w:autoSpaceDN/>
        <w:bidi w:val="0"/>
        <w:adjustRightInd/>
        <w:snapToGrid/>
        <w:spacing w:line="360" w:lineRule="auto"/>
        <w:ind w:right="0" w:firstLine="640" w:firstLineChars="200"/>
        <w:textAlignment w:val="auto"/>
        <w:rPr>
          <w:rFonts w:hint="eastAsia" w:ascii="Times New Roman" w:hAnsi="Times New Roman" w:eastAsia="文星仿宋" w:cs="Times New Roman"/>
          <w:b w:val="0"/>
          <w:bCs w:val="0"/>
          <w:color w:val="auto"/>
          <w:sz w:val="32"/>
          <w:szCs w:val="32"/>
          <w:u w:val="none"/>
          <w:lang w:val="en-US" w:eastAsia="zh-CN"/>
        </w:rPr>
      </w:pPr>
      <w:r>
        <w:rPr>
          <w:rFonts w:hint="eastAsia" w:ascii="Times New Roman" w:hAnsi="Times New Roman" w:eastAsia="文星仿宋" w:cs="Times New Roman"/>
          <w:b w:val="0"/>
          <w:bCs w:val="0"/>
          <w:color w:val="auto"/>
          <w:sz w:val="32"/>
          <w:szCs w:val="32"/>
          <w:u w:val="none"/>
          <w:lang w:val="en-US" w:eastAsia="zh-CN"/>
        </w:rPr>
        <w:t>支持V2G技术</w:t>
      </w:r>
      <w:r>
        <w:rPr>
          <w:rFonts w:hint="eastAsia" w:ascii="Times New Roman" w:hAnsi="Times New Roman" w:eastAsia="文星仿宋" w:cs="Times New Roman"/>
          <w:b w:val="0"/>
          <w:bCs w:val="0"/>
          <w:i/>
          <w:iCs/>
          <w:color w:val="auto"/>
          <w:sz w:val="32"/>
          <w:szCs w:val="32"/>
          <w:u w:val="none"/>
          <w:lang w:val="en-US" w:eastAsia="zh-CN"/>
        </w:rPr>
        <w:t>（电动汽车往电网输送能量的技术）</w:t>
      </w:r>
      <w:r>
        <w:rPr>
          <w:rFonts w:hint="eastAsia" w:ascii="Times New Roman" w:hAnsi="Times New Roman" w:eastAsia="文星仿宋" w:cs="Times New Roman"/>
          <w:b w:val="0"/>
          <w:bCs w:val="0"/>
          <w:color w:val="auto"/>
          <w:sz w:val="32"/>
          <w:szCs w:val="32"/>
          <w:u w:val="none"/>
          <w:lang w:val="en-US" w:eastAsia="zh-CN"/>
        </w:rPr>
        <w:t>推广应用，鼓励车主利用电动汽车车载电池闲余的电量参与电网需求侧响应，实现电动汽车、充电设施、电网间的电量和信息互动。</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Style w:val="10"/>
          <w:rFonts w:hint="eastAsia" w:ascii="Times New Roman" w:hAnsi="Times New Roman" w:cs="Times New Roman"/>
          <w:color w:val="auto"/>
          <w:u w:val="none"/>
          <w:lang w:val="en-US" w:eastAsia="zh-CN"/>
        </w:rPr>
      </w:pPr>
      <w:r>
        <w:rPr>
          <w:rStyle w:val="10"/>
          <w:rFonts w:hint="eastAsia" w:ascii="Times New Roman" w:hAnsi="Times New Roman" w:cs="Times New Roman"/>
          <w:color w:val="auto"/>
          <w:u w:val="none"/>
          <w:lang w:val="en-US" w:eastAsia="zh-CN"/>
        </w:rPr>
        <w:t>（九）鼓励“光储充换”综合型充换电场站建设</w:t>
      </w:r>
    </w:p>
    <w:p>
      <w:pPr>
        <w:widowControl w:val="0"/>
        <w:autoSpaceDE w:val="0"/>
        <w:autoSpaceDN w:val="0"/>
        <w:adjustRightInd w:val="0"/>
        <w:snapToGrid w:val="0"/>
        <w:spacing w:before="120" w:beforeLines="50" w:line="360" w:lineRule="auto"/>
        <w:ind w:firstLine="640" w:firstLineChars="200"/>
        <w:jc w:val="both"/>
        <w:rPr>
          <w:rFonts w:hint="eastAsia" w:ascii="Times New Roman" w:hAnsi="Times New Roman" w:eastAsia="宋体" w:cs="宋体"/>
          <w:bCs/>
          <w:color w:val="auto"/>
          <w:spacing w:val="-7"/>
          <w:kern w:val="0"/>
          <w:sz w:val="28"/>
          <w:szCs w:val="28"/>
          <w:lang w:val="en-US" w:eastAsia="zh-CN" w:bidi="ar-SA"/>
        </w:rPr>
      </w:pPr>
      <w:r>
        <w:rPr>
          <w:rFonts w:hint="eastAsia" w:ascii="Times New Roman" w:hAnsi="Times New Roman" w:eastAsia="文星仿宋" w:cs="Times New Roman"/>
          <w:b w:val="0"/>
          <w:bCs w:val="0"/>
          <w:color w:val="auto"/>
          <w:sz w:val="32"/>
          <w:szCs w:val="32"/>
          <w:u w:val="none"/>
          <w:lang w:val="en-US" w:eastAsia="zh-CN"/>
        </w:rPr>
        <w:t>在自然和安全条件合适的站场，鼓励开展“光储充换”综合型充换电场站建设，推动超充设施建设或技术改造，并配建储能等设施。</w:t>
      </w:r>
    </w:p>
    <w:p>
      <w:pPr>
        <w:keepNext/>
        <w:keepLines/>
        <w:widowControl w:val="0"/>
        <w:numPr>
          <w:ilvl w:val="0"/>
          <w:numId w:val="0"/>
        </w:numPr>
        <w:spacing w:before="240" w:beforeLines="100" w:after="240" w:line="240" w:lineRule="auto"/>
        <w:jc w:val="both"/>
        <w:outlineLvl w:val="0"/>
        <w:rPr>
          <w:rFonts w:hint="eastAsia" w:ascii="文星黑体" w:hAnsi="文星黑体" w:eastAsia="文星黑体" w:cs="文星黑体"/>
          <w:b w:val="0"/>
          <w:bCs w:val="0"/>
          <w:color w:val="auto"/>
          <w:kern w:val="44"/>
          <w:sz w:val="32"/>
          <w:szCs w:val="32"/>
          <w:lang w:val="en-US" w:eastAsia="zh-CN" w:bidi="ar-SA"/>
        </w:rPr>
      </w:pPr>
      <w:bookmarkStart w:id="16" w:name="_Toc148683028"/>
      <w:r>
        <w:rPr>
          <w:rFonts w:hint="eastAsia" w:ascii="文星黑体" w:hAnsi="文星黑体" w:eastAsia="文星黑体" w:cs="文星黑体"/>
          <w:b w:val="0"/>
          <w:bCs w:val="0"/>
          <w:color w:val="auto"/>
          <w:kern w:val="44"/>
          <w:sz w:val="32"/>
          <w:szCs w:val="32"/>
          <w:lang w:val="en-US" w:eastAsia="zh-CN" w:bidi="ar-SA"/>
        </w:rPr>
        <w:t>五、规划实施</w:t>
      </w:r>
      <w:bookmarkEnd w:id="16"/>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Style w:val="10"/>
          <w:rFonts w:hint="eastAsia" w:ascii="文星楷体" w:hAnsi="文星楷体" w:eastAsia="文星楷体" w:cs="文星楷体"/>
          <w:color w:val="auto"/>
          <w:u w:val="none"/>
          <w:lang w:val="en-US" w:eastAsia="zh-CN"/>
        </w:rPr>
      </w:pPr>
      <w:r>
        <w:rPr>
          <w:rStyle w:val="10"/>
          <w:rFonts w:hint="eastAsia" w:ascii="文星楷体" w:hAnsi="文星楷体" w:eastAsia="文星楷体" w:cs="文星楷体"/>
          <w:color w:val="auto"/>
          <w:u w:val="none"/>
          <w:lang w:val="en-US" w:eastAsia="zh-CN"/>
        </w:rPr>
        <w:t>（一）加强统筹协调</w:t>
      </w:r>
    </w:p>
    <w:p>
      <w:pPr>
        <w:widowControl w:val="0"/>
        <w:autoSpaceDE w:val="0"/>
        <w:autoSpaceDN w:val="0"/>
        <w:adjustRightInd w:val="0"/>
        <w:snapToGrid w:val="0"/>
        <w:spacing w:before="120" w:beforeLines="50" w:line="360" w:lineRule="auto"/>
        <w:ind w:firstLine="612" w:firstLineChars="200"/>
        <w:jc w:val="both"/>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形成部门协同、上下联动的工作机制。各县（市、区）落实主体责任，做好属地充电设施建设规划布局并组织实施，积极引导支持各类投资主体建设运营充电设施。市相关行业主管部门按职责分工为充电基础设施建设做好服务，落实相关支持政策，并督促本行业相关场所落实充电基础设施建设要求。广东电网公司梅州供电局要简化和规范充电设施用电报装业务指引，主动告知业务流程、所需材料和技术标准等服务内容，加强配套供电服务和配电网建设改造，为充电基础设施建设提供接网保障，并在充电基础设施建设中发挥主力军作用。</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Style w:val="10"/>
          <w:rFonts w:hint="eastAsia" w:ascii="文星楷体" w:hAnsi="文星楷体" w:eastAsia="文星楷体" w:cs="文星楷体"/>
          <w:color w:val="auto"/>
          <w:u w:val="none"/>
          <w:lang w:val="en-US" w:eastAsia="zh-CN"/>
        </w:rPr>
      </w:pPr>
      <w:r>
        <w:rPr>
          <w:rStyle w:val="10"/>
          <w:rFonts w:hint="eastAsia" w:ascii="文星楷体" w:hAnsi="文星楷体" w:eastAsia="文星楷体" w:cs="文星楷体"/>
          <w:color w:val="auto"/>
          <w:u w:val="none"/>
          <w:lang w:val="en-US" w:eastAsia="zh-CN"/>
        </w:rPr>
        <w:t>（二）加强工作落实</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beforeLines="0" w:line="360" w:lineRule="auto"/>
        <w:ind w:left="0" w:leftChars="0" w:firstLine="612" w:firstLineChars="200"/>
        <w:jc w:val="both"/>
        <w:textAlignment w:val="auto"/>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各县（市、区）及市有关单位认真践行以人民为中心的发展思想，围绕我市“十四五”电动汽车充电基础设施建设总体要求及主要任务，认真研究具体措施，抓好工作落实，切实解决好电动汽车“充电难”问题，不断提升人民群众的获得感、幸福感。各县（市、区）发展改革局于每季度结束后 10日内向市发展改革局报送辖区充电基础设施建设进展情况。</w:t>
      </w:r>
    </w:p>
    <w:p>
      <w:pPr>
        <w:widowControl w:val="0"/>
        <w:numPr>
          <w:ilvl w:val="0"/>
          <w:numId w:val="0"/>
        </w:numPr>
        <w:autoSpaceDE w:val="0"/>
        <w:autoSpaceDN w:val="0"/>
        <w:adjustRightInd w:val="0"/>
        <w:snapToGrid w:val="0"/>
        <w:spacing w:before="120" w:beforeLines="50" w:line="360" w:lineRule="auto"/>
        <w:jc w:val="both"/>
        <w:rPr>
          <w:rFonts w:hint="eastAsia" w:ascii="文星楷体" w:hAnsi="文星楷体" w:eastAsia="文星楷体" w:cs="文星楷体"/>
          <w:b w:val="0"/>
          <w:bCs/>
          <w:color w:val="auto"/>
          <w:spacing w:val="-7"/>
          <w:kern w:val="0"/>
          <w:sz w:val="32"/>
          <w:szCs w:val="32"/>
          <w:lang w:val="en-US" w:eastAsia="zh-CN" w:bidi="ar-SA"/>
        </w:rPr>
      </w:pPr>
      <w:r>
        <w:rPr>
          <w:rFonts w:hint="eastAsia" w:ascii="文星楷体" w:hAnsi="文星楷体" w:eastAsia="文星楷体" w:cs="文星楷体"/>
          <w:b w:val="0"/>
          <w:bCs/>
          <w:color w:val="auto"/>
          <w:spacing w:val="-7"/>
          <w:kern w:val="0"/>
          <w:sz w:val="32"/>
          <w:szCs w:val="32"/>
          <w:lang w:val="en-US" w:eastAsia="zh-CN" w:bidi="ar-SA"/>
        </w:rPr>
        <w:t>（三）加大用地支持</w:t>
      </w:r>
    </w:p>
    <w:p>
      <w:pPr>
        <w:widowControl w:val="0"/>
        <w:autoSpaceDE w:val="0"/>
        <w:autoSpaceDN w:val="0"/>
        <w:adjustRightInd w:val="0"/>
        <w:snapToGrid w:val="0"/>
        <w:spacing w:before="120" w:beforeLines="50" w:line="360" w:lineRule="auto"/>
        <w:ind w:firstLine="612" w:firstLineChars="200"/>
        <w:jc w:val="both"/>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各县（市、区）自然资源局在控制性详细规划中落实充电设施建设安排，完善独立占地的充电设施布局，明确独立占地充电设施规模，明确建筑物配建停车场、城市公共停车场预留充电设施建设条件的要求和比例，同步开展用地规划。适当超前对城市新开发区域的充电设施进行布局，预留充足的配套供电设施场址及供电走廊。在编制实施国土空间规划过程中，统筹考虑将独立占地的充换电站用地纳入公用设施营业网点用地范围，大型充换电站应同步预留变电站用地；按照加油加气站用地供应模式，根据可供应国有建设用地情况和充电基础设施及配套电网发展需要，优先安排土地供应。</w:t>
      </w:r>
    </w:p>
    <w:p>
      <w:pPr>
        <w:widowControl w:val="0"/>
        <w:numPr>
          <w:ilvl w:val="0"/>
          <w:numId w:val="0"/>
        </w:numPr>
        <w:autoSpaceDE w:val="0"/>
        <w:autoSpaceDN w:val="0"/>
        <w:adjustRightInd w:val="0"/>
        <w:snapToGrid w:val="0"/>
        <w:spacing w:before="120" w:beforeLines="50" w:line="360" w:lineRule="auto"/>
        <w:jc w:val="both"/>
        <w:rPr>
          <w:rFonts w:hint="eastAsia" w:ascii="文星楷体" w:hAnsi="文星楷体" w:eastAsia="文星楷体" w:cs="文星楷体"/>
          <w:b w:val="0"/>
          <w:bCs/>
          <w:color w:val="auto"/>
          <w:spacing w:val="-7"/>
          <w:kern w:val="0"/>
          <w:sz w:val="32"/>
          <w:szCs w:val="32"/>
          <w:lang w:val="en-US" w:eastAsia="zh-CN" w:bidi="ar-SA"/>
        </w:rPr>
      </w:pPr>
      <w:r>
        <w:rPr>
          <w:rFonts w:hint="eastAsia" w:ascii="文星楷体" w:hAnsi="文星楷体" w:eastAsia="文星楷体" w:cs="文星楷体"/>
          <w:b w:val="0"/>
          <w:bCs/>
          <w:color w:val="auto"/>
          <w:spacing w:val="-7"/>
          <w:kern w:val="0"/>
          <w:sz w:val="32"/>
          <w:szCs w:val="32"/>
          <w:lang w:val="en-US" w:eastAsia="zh-CN" w:bidi="ar-SA"/>
        </w:rPr>
        <w:t>（四）加强财政支持</w:t>
      </w:r>
    </w:p>
    <w:p>
      <w:pPr>
        <w:widowControl w:val="0"/>
        <w:autoSpaceDE w:val="0"/>
        <w:autoSpaceDN w:val="0"/>
        <w:adjustRightInd w:val="0"/>
        <w:snapToGrid w:val="0"/>
        <w:spacing w:before="120" w:beforeLines="50" w:line="360" w:lineRule="auto"/>
        <w:ind w:firstLine="612" w:firstLineChars="200"/>
        <w:jc w:val="both"/>
        <w:rPr>
          <w:rFonts w:hint="eastAsia" w:ascii="文星仿宋" w:hAnsi="文星仿宋" w:eastAsia="文星仿宋" w:cs="文星仿宋"/>
          <w:bCs/>
          <w:color w:val="auto"/>
          <w:spacing w:val="-7"/>
          <w:kern w:val="0"/>
          <w:sz w:val="32"/>
          <w:szCs w:val="32"/>
          <w:lang w:val="en-US" w:eastAsia="zh-CN" w:bidi="ar-SA"/>
        </w:rPr>
      </w:pPr>
      <w:r>
        <w:rPr>
          <w:rFonts w:hint="eastAsia" w:ascii="文星仿宋" w:hAnsi="文星仿宋" w:eastAsia="文星仿宋" w:cs="文星仿宋"/>
          <w:bCs/>
          <w:color w:val="auto"/>
          <w:spacing w:val="-7"/>
          <w:kern w:val="0"/>
          <w:sz w:val="32"/>
          <w:szCs w:val="32"/>
          <w:lang w:val="en-US" w:eastAsia="zh-CN" w:bidi="ar-SA"/>
        </w:rPr>
        <w:t>发挥财政资金引导作用，严格按照省里相关文件要求做好充电基础设施的补贴发放工作，利用国家、省级财政资金对满足补贴条件的公共充电基础设施给予适当的补贴支持。</w:t>
      </w:r>
    </w:p>
    <w:p>
      <w:pPr>
        <w:widowControl w:val="0"/>
        <w:numPr>
          <w:ilvl w:val="0"/>
          <w:numId w:val="0"/>
        </w:numPr>
        <w:autoSpaceDE w:val="0"/>
        <w:autoSpaceDN w:val="0"/>
        <w:adjustRightInd w:val="0"/>
        <w:snapToGrid w:val="0"/>
        <w:spacing w:before="120" w:beforeLines="50" w:line="360" w:lineRule="auto"/>
        <w:jc w:val="both"/>
        <w:rPr>
          <w:rFonts w:hint="eastAsia" w:ascii="文星楷体" w:hAnsi="文星楷体" w:eastAsia="文星楷体" w:cs="文星楷体"/>
          <w:b w:val="0"/>
          <w:bCs/>
          <w:color w:val="auto"/>
          <w:spacing w:val="-7"/>
          <w:kern w:val="0"/>
          <w:sz w:val="32"/>
          <w:szCs w:val="32"/>
          <w:lang w:val="en-US" w:eastAsia="zh-CN" w:bidi="ar-SA"/>
        </w:rPr>
      </w:pPr>
      <w:r>
        <w:rPr>
          <w:rFonts w:hint="eastAsia" w:ascii="文星楷体" w:hAnsi="文星楷体" w:eastAsia="文星楷体" w:cs="文星楷体"/>
          <w:b w:val="0"/>
          <w:bCs/>
          <w:color w:val="auto"/>
          <w:spacing w:val="-7"/>
          <w:kern w:val="0"/>
          <w:sz w:val="32"/>
          <w:szCs w:val="32"/>
          <w:lang w:val="en-US" w:eastAsia="zh-CN" w:bidi="ar-SA"/>
        </w:rPr>
        <w:t>（五）规划滚动调整</w:t>
      </w:r>
    </w:p>
    <w:p>
      <w:pPr>
        <w:widowControl w:val="0"/>
        <w:autoSpaceDE w:val="0"/>
        <w:autoSpaceDN w:val="0"/>
        <w:adjustRightInd w:val="0"/>
        <w:snapToGrid w:val="0"/>
        <w:spacing w:before="120" w:beforeLines="50" w:line="360" w:lineRule="auto"/>
        <w:ind w:firstLine="612" w:firstLineChars="200"/>
        <w:jc w:val="both"/>
        <w:rPr>
          <w:rFonts w:hint="default" w:ascii="Calibri Light" w:hAnsi="Calibri Light" w:eastAsia="宋体" w:cs="Times New Roman"/>
          <w:color w:val="auto"/>
          <w:kern w:val="2"/>
          <w:sz w:val="24"/>
          <w:szCs w:val="20"/>
          <w:lang w:val="en-US" w:eastAsia="zh-CN" w:bidi="ar-SA"/>
        </w:rPr>
      </w:pPr>
      <w:r>
        <w:rPr>
          <w:rFonts w:hint="eastAsia" w:ascii="文星仿宋" w:hAnsi="文星仿宋" w:eastAsia="文星仿宋" w:cs="文星仿宋"/>
          <w:bCs/>
          <w:color w:val="auto"/>
          <w:spacing w:val="-7"/>
          <w:kern w:val="0"/>
          <w:sz w:val="32"/>
          <w:szCs w:val="32"/>
          <w:lang w:val="en-US" w:eastAsia="zh-CN" w:bidi="ar-SA"/>
        </w:rPr>
        <w:t>建立规划滚动调整机制，视国家和省市的最新政策以及市内电动汽车实际保有量增长情况，动态调整充电站、充电桩规划建设数量。如果电动汽车超预期发展，在规划中期调整或每年下达建设计划任务时予以动态调整充电桩建设任务。</w:t>
      </w:r>
      <w:bookmarkEnd w:id="1"/>
      <w:bookmarkEnd w:id="2"/>
      <w:bookmarkStart w:id="17" w:name="2.2.3__有利于扩大就业，提升当地人民的生活水平"/>
      <w:bookmarkEnd w:id="17"/>
      <w:bookmarkStart w:id="18" w:name="1.1__项目基本情况"/>
      <w:bookmarkEnd w:id="18"/>
      <w:bookmarkStart w:id="19" w:name="2.2.2是外来投资的承接平台，利于招商引资"/>
      <w:bookmarkEnd w:id="19"/>
    </w:p>
    <w:sectPr>
      <w:footerReference r:id="rId9" w:type="default"/>
      <w:pgSz w:w="11910" w:h="16840"/>
      <w:pgMar w:top="1440" w:right="1430" w:bottom="1440" w:left="1800" w:header="0" w:footer="10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文星黑体">
    <w:panose1 w:val="0201060900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文星仿宋">
    <w:panose1 w:val="02010609000101010101"/>
    <w:charset w:val="86"/>
    <w:family w:val="auto"/>
    <w:pitch w:val="default"/>
    <w:sig w:usb0="00000001" w:usb1="080E0000" w:usb2="00000000" w:usb3="00000000" w:csb0="00040000" w:csb1="00000000"/>
  </w:font>
  <w:font w:name="文星楷体">
    <w:panose1 w:val="0201060900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before="120" w:beforeLines="50" w:line="360" w:lineRule="auto"/>
      <w:jc w:val="left"/>
      <w:rPr>
        <w:rFonts w:ascii="Calibri" w:hAnsi="Calibri" w:eastAsia="宋体" w:cs="Times New Roman"/>
        <w:kern w:val="2"/>
        <w:sz w:val="18"/>
        <w:szCs w:val="24"/>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before="120" w:beforeLines="50" w:line="360" w:lineRule="auto"/>
      <w:jc w:val="left"/>
      <w:rPr>
        <w:rFonts w:ascii="Calibri" w:hAnsi="Calibri" w:eastAsia="宋体" w:cs="Times New Roman"/>
        <w:kern w:val="2"/>
        <w:sz w:val="18"/>
        <w:szCs w:val="24"/>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before="120" w:beforeLines="50" w:line="360" w:lineRule="auto"/>
      <w:jc w:val="left"/>
      <w:rPr>
        <w:rFonts w:ascii="Calibri" w:hAnsi="Calibri" w:eastAsia="宋体" w:cs="Times New Roman"/>
        <w:kern w:val="2"/>
        <w:sz w:val="18"/>
        <w:szCs w:val="24"/>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libri" w:hAnsi="Calibri" w:eastAsia="宋体" w:cs="Times New Roman"/>
        <w:kern w:val="2"/>
        <w:sz w:val="28"/>
        <w:szCs w:val="24"/>
        <w:lang w:val="en-US" w:eastAsia="zh-CN" w:bidi="ar-SA"/>
      </w:rPr>
      <w:id w:val="-878005442"/>
    </w:sdtPr>
    <w:sdtEndPr>
      <w:rPr>
        <w:rFonts w:ascii="Calibri" w:hAnsi="Calibri" w:eastAsia="宋体" w:cs="Times New Roman"/>
        <w:kern w:val="2"/>
        <w:sz w:val="18"/>
        <w:szCs w:val="24"/>
        <w:lang w:val="en-US" w:eastAsia="zh-CN" w:bidi="ar-SA"/>
      </w:rPr>
    </w:sdtEndPr>
    <w:sdtContent>
      <w:p>
        <w:pPr>
          <w:widowControl w:val="0"/>
          <w:tabs>
            <w:tab w:val="center" w:pos="4153"/>
            <w:tab w:val="right" w:pos="8306"/>
          </w:tabs>
          <w:snapToGrid w:val="0"/>
          <w:spacing w:before="120" w:beforeLines="50" w:line="360" w:lineRule="auto"/>
          <w:jc w:val="center"/>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PAGE   \* MERGEFORMAT</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zh-CN" w:eastAsia="zh-CN" w:bidi="ar-SA"/>
          </w:rPr>
          <w:t>3</w:t>
        </w:r>
        <w:r>
          <w:rPr>
            <w:rFonts w:ascii="Calibri" w:hAnsi="Calibri" w:eastAsia="宋体" w:cs="Times New Roman"/>
            <w:kern w:val="2"/>
            <w:sz w:val="18"/>
            <w:szCs w:val="24"/>
            <w:lang w:val="en-US" w:eastAsia="zh-CN" w:bidi="ar-SA"/>
          </w:rPr>
          <w:fldChar w:fldCharType="end"/>
        </w:r>
      </w:p>
    </w:sdtContent>
  </w:sdt>
  <w:p>
    <w:pPr>
      <w:widowControl w:val="0"/>
      <w:autoSpaceDE w:val="0"/>
      <w:autoSpaceDN w:val="0"/>
      <w:spacing w:before="120" w:beforeLines="50" w:line="14" w:lineRule="auto"/>
      <w:ind w:firstLine="400" w:firstLineChars="200"/>
      <w:jc w:val="both"/>
      <w:rPr>
        <w:rFonts w:ascii="宋体" w:hAnsi="宋体" w:eastAsia="宋体" w:cs="宋体"/>
        <w:kern w:val="0"/>
        <w:sz w:val="20"/>
        <w:szCs w:val="28"/>
        <w:lang w:val="en-US" w:eastAsia="en-US"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before="192" w:beforeLines="80" w:line="240" w:lineRule="auto"/>
      <w:ind w:left="210" w:leftChars="100" w:right="210" w:rightChars="100"/>
      <w:jc w:val="right"/>
      <w:rPr>
        <w:rFonts w:ascii="仿宋" w:hAnsi="仿宋" w:eastAsia="宋体" w:cs="Times New Roman"/>
        <w:kern w:val="2"/>
        <w:sz w:val="18"/>
        <w:szCs w:val="24"/>
        <w:lang w:val="en-US" w:eastAsia="zh-CN" w:bidi="ar-SA"/>
      </w:rPr>
    </w:pPr>
  </w:p>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before="192" w:beforeLines="80" w:line="240" w:lineRule="auto"/>
      <w:ind w:left="0" w:leftChars="0" w:right="0" w:rightChars="0" w:firstLine="160" w:firstLineChars="100"/>
      <w:jc w:val="center"/>
      <w:rPr>
        <w:rFonts w:ascii="仿宋" w:hAnsi="仿宋" w:eastAsia="宋体" w:cs="Times New Roman"/>
        <w:kern w:val="2"/>
        <w:sz w:val="16"/>
        <w:szCs w:val="22"/>
        <w:lang w:val="en-US" w:eastAsia="zh-CN" w:bidi="ar-SA"/>
      </w:rPr>
    </w:pPr>
    <w:r>
      <w:rPr>
        <w:rFonts w:hint="eastAsia" w:ascii="仿宋" w:hAnsi="仿宋" w:eastAsia="宋体" w:cs="Times New Roman"/>
        <w:kern w:val="2"/>
        <w:sz w:val="16"/>
        <w:szCs w:val="22"/>
        <w:lang w:val="en-US" w:eastAsia="zh-CN" w:bidi="ar-SA"/>
      </w:rPr>
      <w:t>梅州市电动汽车充电基础设施发展“十四五”规划（征求意见稿）</w:t>
    </w:r>
    <w:r>
      <w:rPr>
        <w:rFonts w:ascii="仿宋" w:hAnsi="仿宋" w:eastAsia="宋体" w:cs="Times New Roman"/>
        <w:kern w:val="2"/>
        <w:sz w:val="2"/>
        <w:szCs w:val="8"/>
        <w:lang w:val="en-US" w:eastAsia="zh-CN" w:bidi="ar-SA"/>
      </w:rPr>
      <w:pict>
        <v:rect id="_x0000_i1025" o:spt="1" style="height:0.35pt;width:410.5pt;" fillcolor="#A0A0A0" filled="t" stroked="f" coordsize="21600,21600" o:hr="t" o:hrstd="t" o:hrpct="988" o:hralign="center">
          <v:path/>
          <v:fill on="t" focussize="0,0"/>
          <v:stroke on="f"/>
          <v:imagedata o:title=""/>
          <o:lock v:ext="edit"/>
          <w10:wrap type="none"/>
          <w10:anchorlock/>
        </v:rect>
      </w:pict>
    </w:r>
  </w:p>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before="0" w:beforeLines="0" w:line="240" w:lineRule="auto"/>
      <w:ind w:left="210" w:leftChars="100" w:right="210" w:rightChars="100"/>
      <w:jc w:val="right"/>
      <w:rPr>
        <w:rFonts w:ascii="仿宋" w:hAnsi="仿宋" w:eastAsia="宋体" w:cs="Times New Roman"/>
        <w:kern w:val="2"/>
        <w:sz w:val="2"/>
        <w:szCs w:val="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before="120" w:beforeLines="0" w:line="240" w:lineRule="auto"/>
      <w:ind w:left="210" w:leftChars="100" w:right="210" w:rightChars="100"/>
      <w:jc w:val="right"/>
      <w:rPr>
        <w:rFonts w:ascii="Calibri" w:hAnsi="Calibri" w:eastAsia="宋体" w:cs="Times New Roman"/>
        <w:kern w:val="2"/>
        <w:sz w:val="18"/>
        <w:szCs w:val="24"/>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before="120" w:beforeLines="0" w:line="240" w:lineRule="auto"/>
      <w:ind w:left="210" w:leftChars="100" w:right="210" w:rightChars="100"/>
      <w:jc w:val="right"/>
      <w:rPr>
        <w:rFonts w:ascii="Calibri" w:hAnsi="Calibri" w:eastAsia="宋体" w:cs="Times New Roman"/>
        <w:kern w:val="2"/>
        <w:sz w:val="18"/>
        <w:szCs w:val="2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0869A1"/>
    <w:multiLevelType w:val="singleLevel"/>
    <w:tmpl w:val="070869A1"/>
    <w:lvl w:ilvl="0" w:tentative="0">
      <w:start w:val="1"/>
      <w:numFmt w:val="chineseCountingThousand"/>
      <w:pStyle w:val="11"/>
      <w:suff w:val="nothing"/>
      <w:lvlText w:val="（%1）"/>
      <w:lvlJc w:val="left"/>
      <w:pPr>
        <w:tabs>
          <w:tab w:val="left" w:pos="42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YjY2NTdjMTE0YmQwZDg0MTZmYTljZGY2M2Q5MTAifQ=="/>
  </w:docVars>
  <w:rsids>
    <w:rsidRoot w:val="07AE2DCB"/>
    <w:rsid w:val="07AE2DCB"/>
    <w:rsid w:val="088D6653"/>
    <w:rsid w:val="22C000A9"/>
    <w:rsid w:val="2AD83D90"/>
    <w:rsid w:val="2EA302B5"/>
    <w:rsid w:val="31704C1F"/>
    <w:rsid w:val="3D453EB0"/>
    <w:rsid w:val="418A2BE8"/>
    <w:rsid w:val="57DF791A"/>
    <w:rsid w:val="66556140"/>
    <w:rsid w:val="739420A2"/>
    <w:rsid w:val="73EA4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无格式表格 11"/>
    <w:qFormat/>
    <w:uiPriority w:val="41"/>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5">
    <w:name w:val="网格型浅色1"/>
    <w:qFormat/>
    <w:uiPriority w:val="40"/>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style>
  <w:style w:type="character" w:customStyle="1" w:styleId="6">
    <w:name w:val="font11"/>
    <w:basedOn w:val="3"/>
    <w:qFormat/>
    <w:uiPriority w:val="0"/>
    <w:rPr>
      <w:rFonts w:hint="eastAsia" w:ascii="方正小标宋简体" w:hAnsi="方正小标宋简体" w:eastAsia="方正小标宋简体" w:cs="方正小标宋简体"/>
      <w:color w:val="000000"/>
      <w:sz w:val="32"/>
      <w:szCs w:val="32"/>
      <w:u w:val="none"/>
    </w:rPr>
  </w:style>
  <w:style w:type="character" w:customStyle="1" w:styleId="7">
    <w:name w:val="font51"/>
    <w:basedOn w:val="3"/>
    <w:qFormat/>
    <w:uiPriority w:val="0"/>
    <w:rPr>
      <w:rFonts w:hint="default" w:ascii="Times New Roman" w:hAnsi="Times New Roman" w:cs="Times New Roman"/>
      <w:color w:val="000000"/>
      <w:sz w:val="32"/>
      <w:szCs w:val="32"/>
      <w:u w:val="none"/>
    </w:rPr>
  </w:style>
  <w:style w:type="character" w:customStyle="1" w:styleId="8">
    <w:name w:val="font21"/>
    <w:basedOn w:val="3"/>
    <w:qFormat/>
    <w:uiPriority w:val="0"/>
    <w:rPr>
      <w:rFonts w:hint="eastAsia" w:ascii="仿宋_GB2312" w:eastAsia="仿宋_GB2312" w:cs="仿宋_GB2312"/>
      <w:color w:val="000000"/>
      <w:sz w:val="28"/>
      <w:szCs w:val="28"/>
      <w:u w:val="none"/>
    </w:rPr>
  </w:style>
  <w:style w:type="character" w:customStyle="1" w:styleId="9">
    <w:name w:val="font31"/>
    <w:basedOn w:val="3"/>
    <w:qFormat/>
    <w:uiPriority w:val="0"/>
    <w:rPr>
      <w:rFonts w:hint="default" w:ascii="Times New Roman" w:hAnsi="Times New Roman" w:cs="Times New Roman"/>
      <w:color w:val="000000"/>
      <w:sz w:val="28"/>
      <w:szCs w:val="28"/>
      <w:u w:val="none"/>
    </w:rPr>
  </w:style>
  <w:style w:type="character" w:customStyle="1" w:styleId="10">
    <w:name w:val="公文:2级标题 Char"/>
    <w:link w:val="11"/>
    <w:qFormat/>
    <w:uiPriority w:val="0"/>
    <w:rPr>
      <w:rFonts w:ascii="Times New Roman" w:hAnsi="Times New Roman" w:eastAsia="楷体_GB2312" w:cs="Times New Roman"/>
      <w:sz w:val="32"/>
      <w:lang w:bidi="ar-SA"/>
    </w:rPr>
  </w:style>
  <w:style w:type="paragraph" w:customStyle="1" w:styleId="11">
    <w:name w:val="公文:2级标题"/>
    <w:link w:val="10"/>
    <w:qFormat/>
    <w:uiPriority w:val="0"/>
    <w:pPr>
      <w:numPr>
        <w:ilvl w:val="0"/>
        <w:numId w:val="1"/>
      </w:numPr>
      <w:spacing w:line="580" w:lineRule="exact"/>
      <w:ind w:firstLine="880" w:firstLineChars="200"/>
      <w:outlineLvl w:val="1"/>
    </w:pPr>
    <w:rPr>
      <w:rFonts w:ascii="Times New Roman" w:hAnsi="Times New Roman" w:eastAsia="楷体_GB2312" w:cs="Times New Roman"/>
      <w:sz w:val="32"/>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2023-11-06T10:00:00Z</dcterms:created>
  <dc:creator>WPS_1338792321</dc:creator>
  <cp:lastModifiedBy>WPS_1338792321</cp:lastModifiedBy>
  <cp:lastPrinted>2023-11-09T01:44:55Z</cp:lastPrinted>
  <dcterms:modified xsi:type="dcterms:W3CDTF">2023-11-09T02:08:28Z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B7E299C465CB41C3AB3B87BACBF66DC2_11</vt:lpwstr>
  </property>
</Properties>
</file>