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w:hAnsi="Times New Roman" w:eastAsia="仿宋" w:cs="Times New Roman"/>
          <w:sz w:val="32"/>
          <w:szCs w:val="32"/>
        </w:rPr>
      </w:pPr>
      <w:r>
        <w:rPr>
          <w:rFonts w:hint="default" w:ascii="Times New Roman" w:hAnsi="Times New Roman" w:eastAsia="仿宋" w:cs="Times New Roman"/>
          <w:sz w:val="32"/>
          <w:szCs w:val="32"/>
        </w:rPr>
        <w:t>附件</w:t>
      </w:r>
    </w:p>
    <w:tbl>
      <w:tblPr>
        <w:tblStyle w:val="5"/>
        <w:tblW w:w="13988" w:type="dxa"/>
        <w:tblInd w:w="0" w:type="dxa"/>
        <w:tblLayout w:type="fixed"/>
        <w:tblCellMar>
          <w:top w:w="0" w:type="dxa"/>
          <w:left w:w="0" w:type="dxa"/>
          <w:bottom w:w="0" w:type="dxa"/>
          <w:right w:w="0" w:type="dxa"/>
        </w:tblCellMar>
      </w:tblPr>
      <w:tblGrid>
        <w:gridCol w:w="582"/>
        <w:gridCol w:w="2584"/>
        <w:gridCol w:w="5411"/>
        <w:gridCol w:w="5411"/>
      </w:tblGrid>
      <w:tr>
        <w:tblPrEx>
          <w:tblCellMar>
            <w:top w:w="0" w:type="dxa"/>
            <w:left w:w="0" w:type="dxa"/>
            <w:bottom w:w="0" w:type="dxa"/>
            <w:right w:w="0" w:type="dxa"/>
          </w:tblCellMar>
        </w:tblPrEx>
        <w:trPr>
          <w:wBefore w:w="0" w:type="auto"/>
          <w:trHeight w:val="902" w:hRule="atLeast"/>
        </w:trPr>
        <w:tc>
          <w:tcPr>
            <w:tcW w:w="13988" w:type="dxa"/>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b/>
                <w:color w:val="000000" w:themeColor="text1"/>
                <w:sz w:val="44"/>
                <w:szCs w:val="44"/>
                <w14:textFill>
                  <w14:solidFill>
                    <w14:schemeClr w14:val="tx1"/>
                  </w14:solidFill>
                </w14:textFill>
              </w:rPr>
            </w:pPr>
            <w:r>
              <w:rPr>
                <w:rFonts w:hint="default" w:ascii="Times New Roman" w:hAnsi="Times New Roman" w:eastAsia="黑体" w:cs="Times New Roman"/>
                <w:b/>
                <w:color w:val="000000" w:themeColor="text1"/>
                <w:kern w:val="0"/>
                <w:sz w:val="44"/>
                <w:szCs w:val="44"/>
                <w:lang w:bidi="ar"/>
                <w14:textFill>
                  <w14:solidFill>
                    <w14:schemeClr w14:val="tx1"/>
                  </w14:solidFill>
                </w14:textFill>
              </w:rPr>
              <w:t>房屋建筑和市政基础设施工程招标文件编制负面情形</w:t>
            </w:r>
            <w:r>
              <w:rPr>
                <w:rFonts w:ascii="Times New Roman" w:hAnsi="Times New Roman" w:eastAsia="黑体" w:cs="Times New Roman"/>
                <w:b/>
                <w:color w:val="000000" w:themeColor="text1"/>
                <w:kern w:val="0"/>
                <w:sz w:val="44"/>
                <w:szCs w:val="44"/>
                <w:lang w:bidi="ar"/>
                <w14:textFill>
                  <w14:solidFill>
                    <w14:schemeClr w14:val="tx1"/>
                  </w14:solidFill>
                </w14:textFill>
              </w:rPr>
              <w:t>(</w:t>
            </w:r>
            <w:r>
              <w:rPr>
                <w:rFonts w:hint="default" w:ascii="Times New Roman" w:hAnsi="Times New Roman" w:eastAsia="黑体" w:cs="Times New Roman"/>
                <w:b/>
                <w:color w:val="000000" w:themeColor="text1"/>
                <w:kern w:val="0"/>
                <w:sz w:val="44"/>
                <w:szCs w:val="44"/>
                <w:lang w:bidi="ar"/>
                <w14:textFill>
                  <w14:solidFill>
                    <w14:schemeClr w14:val="tx1"/>
                  </w14:solidFill>
                </w14:textFill>
              </w:rPr>
              <w:t>第</w:t>
            </w:r>
            <w:r>
              <w:rPr>
                <w:rFonts w:ascii="Times New Roman" w:hAnsi="Times New Roman" w:eastAsia="黑体" w:cs="Times New Roman"/>
                <w:b/>
                <w:color w:val="000000" w:themeColor="text1"/>
                <w:kern w:val="0"/>
                <w:sz w:val="44"/>
                <w:szCs w:val="44"/>
                <w:lang w:bidi="ar"/>
                <w14:textFill>
                  <w14:solidFill>
                    <w14:schemeClr w14:val="tx1"/>
                  </w14:solidFill>
                </w14:textFill>
              </w:rPr>
              <w:t>2</w:t>
            </w:r>
            <w:r>
              <w:rPr>
                <w:rFonts w:hint="default" w:ascii="Times New Roman" w:hAnsi="Times New Roman" w:eastAsia="黑体" w:cs="Times New Roman"/>
                <w:b/>
                <w:color w:val="000000" w:themeColor="text1"/>
                <w:kern w:val="0"/>
                <w:sz w:val="44"/>
                <w:szCs w:val="44"/>
                <w:lang w:bidi="ar"/>
                <w14:textFill>
                  <w14:solidFill>
                    <w14:schemeClr w14:val="tx1"/>
                  </w14:solidFill>
                </w14:textFill>
              </w:rPr>
              <w:t>期</w:t>
            </w:r>
            <w:r>
              <w:rPr>
                <w:rFonts w:ascii="Times New Roman" w:hAnsi="Times New Roman" w:eastAsia="黑体" w:cs="Times New Roman"/>
                <w:b/>
                <w:color w:val="000000" w:themeColor="text1"/>
                <w:kern w:val="0"/>
                <w:sz w:val="44"/>
                <w:szCs w:val="44"/>
                <w:lang w:bidi="ar"/>
                <w14:textFill>
                  <w14:solidFill>
                    <w14:schemeClr w14:val="tx1"/>
                  </w14:solidFill>
                </w14:textFill>
              </w:rPr>
              <w:t>)</w:t>
            </w:r>
          </w:p>
        </w:tc>
      </w:tr>
      <w:tr>
        <w:tblPrEx>
          <w:tblCellMar>
            <w:top w:w="0" w:type="dxa"/>
            <w:left w:w="0" w:type="dxa"/>
            <w:bottom w:w="0" w:type="dxa"/>
            <w:right w:w="0" w:type="dxa"/>
          </w:tblCellMar>
        </w:tblPrEx>
        <w:trPr>
          <w:wBefore w:w="0" w:type="auto"/>
          <w:trHeight w:val="45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b/>
                <w:color w:val="000000" w:themeColor="text1"/>
                <w:sz w:val="30"/>
                <w:szCs w:val="30"/>
                <w14:textFill>
                  <w14:solidFill>
                    <w14:schemeClr w14:val="tx1"/>
                  </w14:solidFill>
                </w14:textFill>
              </w:rPr>
            </w:pPr>
            <w:bookmarkStart w:id="0" w:name="_GoBack"/>
            <w:r>
              <w:rPr>
                <w:rFonts w:hint="default" w:ascii="Times New Roman" w:hAnsi="Times New Roman" w:eastAsia="仿宋" w:cs="Times New Roman"/>
                <w:b/>
                <w:color w:val="000000" w:themeColor="text1"/>
                <w:kern w:val="0"/>
                <w:sz w:val="30"/>
                <w:szCs w:val="30"/>
                <w:lang w:bidi="ar"/>
                <w14:textFill>
                  <w14:solidFill>
                    <w14:schemeClr w14:val="tx1"/>
                  </w14:solidFill>
                </w14:textFill>
              </w:rPr>
              <w:t>序号</w:t>
            </w:r>
          </w:p>
        </w:tc>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b/>
                <w:color w:val="000000" w:themeColor="text1"/>
                <w:sz w:val="30"/>
                <w:szCs w:val="30"/>
                <w14:textFill>
                  <w14:solidFill>
                    <w14:schemeClr w14:val="tx1"/>
                  </w14:solidFill>
                </w14:textFill>
              </w:rPr>
            </w:pPr>
            <w:r>
              <w:rPr>
                <w:rFonts w:hint="default" w:ascii="Times New Roman" w:hAnsi="Times New Roman" w:eastAsia="仿宋" w:cs="Times New Roman"/>
                <w:b/>
                <w:color w:val="000000" w:themeColor="text1"/>
                <w:kern w:val="0"/>
                <w:sz w:val="30"/>
                <w:szCs w:val="30"/>
                <w:lang w:bidi="ar"/>
                <w14:textFill>
                  <w14:solidFill>
                    <w14:schemeClr w14:val="tx1"/>
                  </w14:solidFill>
                </w14:textFill>
              </w:rPr>
              <w:t>负面情形</w:t>
            </w:r>
          </w:p>
        </w:tc>
        <w:tc>
          <w:tcPr>
            <w:tcW w:w="5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b/>
                <w:color w:val="000000" w:themeColor="text1"/>
                <w:sz w:val="30"/>
                <w:szCs w:val="30"/>
                <w14:textFill>
                  <w14:solidFill>
                    <w14:schemeClr w14:val="tx1"/>
                  </w14:solidFill>
                </w14:textFill>
              </w:rPr>
            </w:pPr>
            <w:r>
              <w:rPr>
                <w:rFonts w:hint="default" w:ascii="Times New Roman" w:hAnsi="Times New Roman" w:eastAsia="仿宋" w:cs="Times New Roman"/>
                <w:b/>
                <w:color w:val="000000" w:themeColor="text1"/>
                <w:kern w:val="0"/>
                <w:sz w:val="30"/>
                <w:szCs w:val="30"/>
                <w:lang w:bidi="ar"/>
                <w14:textFill>
                  <w14:solidFill>
                    <w14:schemeClr w14:val="tx1"/>
                  </w14:solidFill>
                </w14:textFill>
              </w:rPr>
              <w:t>具体示例</w:t>
            </w:r>
          </w:p>
        </w:tc>
        <w:tc>
          <w:tcPr>
            <w:tcW w:w="5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b/>
                <w:color w:val="000000" w:themeColor="text1"/>
                <w:sz w:val="30"/>
                <w:szCs w:val="30"/>
                <w14:textFill>
                  <w14:solidFill>
                    <w14:schemeClr w14:val="tx1"/>
                  </w14:solidFill>
                </w14:textFill>
              </w:rPr>
            </w:pPr>
            <w:r>
              <w:rPr>
                <w:rFonts w:hint="default" w:ascii="Times New Roman" w:hAnsi="Times New Roman" w:eastAsia="仿宋" w:cs="Times New Roman"/>
                <w:b/>
                <w:color w:val="000000" w:themeColor="text1"/>
                <w:kern w:val="0"/>
                <w:sz w:val="30"/>
                <w:szCs w:val="30"/>
                <w:lang w:bidi="ar"/>
                <w14:textFill>
                  <w14:solidFill>
                    <w14:schemeClr w14:val="tx1"/>
                  </w14:solidFill>
                </w14:textFill>
              </w:rPr>
              <w:t>相关依据</w:t>
            </w:r>
          </w:p>
        </w:tc>
      </w:tr>
      <w:bookmarkEnd w:id="0"/>
      <w:tr>
        <w:tblPrEx>
          <w:tblCellMar>
            <w:top w:w="0" w:type="dxa"/>
            <w:left w:w="0" w:type="dxa"/>
            <w:bottom w:w="0" w:type="dxa"/>
            <w:right w:w="0" w:type="dxa"/>
          </w:tblCellMar>
        </w:tblPrEx>
        <w:trPr>
          <w:trHeight w:val="1812" w:hRule="atLeast"/>
        </w:trPr>
        <w:tc>
          <w:tcPr>
            <w:tcW w:w="582" w:type="dxa"/>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方正仿宋_GBK" w:cs="Times New Roman"/>
                <w:b/>
                <w:color w:val="000000" w:themeColor="text1"/>
                <w:sz w:val="28"/>
                <w:szCs w:val="28"/>
                <w14:textFill>
                  <w14:solidFill>
                    <w14:schemeClr w14:val="tx1"/>
                  </w14:solidFill>
                </w14:textFill>
              </w:rPr>
            </w:pPr>
            <w:r>
              <w:rPr>
                <w:rFonts w:ascii="Times New Roman" w:hAnsi="Times New Roman" w:eastAsia="方正仿宋_GBK" w:cs="Times New Roman"/>
                <w:b/>
                <w:color w:val="000000" w:themeColor="text1"/>
                <w:sz w:val="28"/>
                <w:szCs w:val="28"/>
                <w14:textFill>
                  <w14:solidFill>
                    <w14:schemeClr w14:val="tx1"/>
                  </w14:solidFill>
                </w14:textFill>
              </w:rPr>
              <w:t>1</w:t>
            </w:r>
          </w:p>
        </w:tc>
        <w:tc>
          <w:tcPr>
            <w:tcW w:w="2584"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spacing w:line="400" w:lineRule="exact"/>
              <w:contextualSpacing/>
              <w:jc w:val="left"/>
              <w:rPr>
                <w:rFonts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设置排斥性条款，或明显超出招标项目具体特点和实际需要的加分条件</w:t>
            </w:r>
          </w:p>
        </w:tc>
        <w:tc>
          <w:tcPr>
            <w:tcW w:w="541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ind w:firstLine="560" w:firstLineChars="200"/>
              <w:contextualSpacing/>
              <w:jc w:val="left"/>
              <w:textAlignment w:val="center"/>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1.</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某</w:t>
            </w:r>
            <w:r>
              <w:rPr>
                <w:rFonts w:ascii="Times New Roman" w:hAnsi="Times New Roman" w:eastAsia="方正仿宋_GBK" w:cs="Times New Roman"/>
                <w:color w:val="000000" w:themeColor="text1"/>
                <w:kern w:val="0"/>
                <w:sz w:val="28"/>
                <w:szCs w:val="28"/>
                <w:lang w:bidi="ar"/>
                <w14:textFill>
                  <w14:solidFill>
                    <w14:schemeClr w14:val="tx1"/>
                  </w14:solidFill>
                </w14:textFill>
              </w:rPr>
              <w:t>EPC</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项目,在技术标中设置项目不同熟悉程度给予不</w:t>
            </w:r>
            <w:r>
              <w:rPr>
                <w:rFonts w:hint="default" w:ascii="Times New Roman" w:hAnsi="Times New Roman" w:eastAsia="方正仿宋_GBK" w:cs="Times New Roman"/>
                <w:kern w:val="0"/>
                <w:sz w:val="28"/>
                <w:szCs w:val="28"/>
                <w:lang w:bidi="ar"/>
              </w:rPr>
              <w:t>同加分的得分</w:t>
            </w:r>
            <w:r>
              <w:rPr>
                <w:rFonts w:hint="default" w:ascii="Times New Roman" w:hAnsi="Times New Roman" w:eastAsia="方正仿宋_GBK" w:cs="Times New Roman"/>
                <w:color w:val="auto"/>
                <w:kern w:val="0"/>
                <w:sz w:val="28"/>
                <w:szCs w:val="28"/>
                <w:lang w:bidi="ar"/>
              </w:rPr>
              <w:t>项；</w:t>
            </w:r>
            <w:r>
              <w:rPr>
                <w:rFonts w:hint="default" w:ascii="Times New Roman" w:hAnsi="Times New Roman" w:eastAsia="方正仿宋_GBK" w:cs="Times New Roman"/>
                <w:sz w:val="28"/>
                <w:szCs w:val="28"/>
              </w:rPr>
              <w:t>某</w:t>
            </w:r>
            <w:r>
              <w:rPr>
                <w:rFonts w:ascii="Times New Roman" w:hAnsi="Times New Roman" w:eastAsia="方正仿宋_GBK" w:cs="Times New Roman"/>
                <w:sz w:val="28"/>
                <w:szCs w:val="28"/>
              </w:rPr>
              <w:t>EPC</w:t>
            </w:r>
            <w:r>
              <w:rPr>
                <w:rFonts w:hint="default" w:ascii="Times New Roman" w:hAnsi="Times New Roman" w:eastAsia="方正仿宋_GBK" w:cs="Times New Roman"/>
                <w:sz w:val="28"/>
                <w:szCs w:val="28"/>
              </w:rPr>
              <w:t>项目，</w:t>
            </w:r>
            <w:r>
              <w:rPr>
                <w:rFonts w:hint="default" w:ascii="Times New Roman" w:hAnsi="Times New Roman" w:eastAsia="方正仿宋_GBK" w:cs="Times New Roman"/>
                <w:color w:val="auto"/>
                <w:kern w:val="0"/>
                <w:sz w:val="28"/>
                <w:szCs w:val="28"/>
                <w:lang w:bidi="ar"/>
              </w:rPr>
              <w:t>设置对招标项目所在地地域建设条件、现状建筑认识到位、了解全面的加分项；某</w:t>
            </w:r>
            <w:r>
              <w:rPr>
                <w:rFonts w:ascii="Times New Roman" w:hAnsi="Times New Roman" w:eastAsia="方正仿宋_GBK" w:cs="Times New Roman"/>
                <w:color w:val="auto"/>
                <w:kern w:val="0"/>
                <w:sz w:val="28"/>
                <w:szCs w:val="28"/>
                <w:lang w:bidi="ar"/>
              </w:rPr>
              <w:t>EPC项目，</w:t>
            </w:r>
            <w:r>
              <w:rPr>
                <w:rFonts w:hint="default" w:ascii="Times New Roman" w:hAnsi="Times New Roman" w:eastAsia="方正仿宋_GBK" w:cs="Times New Roman"/>
                <w:color w:val="auto"/>
                <w:kern w:val="0"/>
                <w:sz w:val="28"/>
                <w:szCs w:val="28"/>
                <w:lang w:bidi="ar"/>
              </w:rPr>
              <w:t>设置涉及图纸</w:t>
            </w:r>
            <w:r>
              <w:rPr>
                <w:rFonts w:hint="default" w:ascii="Times New Roman" w:hAnsi="Times New Roman" w:eastAsia="方正仿宋_GBK" w:cs="Times New Roman"/>
                <w:kern w:val="0"/>
                <w:sz w:val="28"/>
                <w:szCs w:val="28"/>
                <w:lang w:bidi="ar"/>
              </w:rPr>
              <w:t>深化</w:t>
            </w:r>
            <w:r>
              <w:rPr>
                <w:rFonts w:hint="default" w:ascii="Times New Roman" w:hAnsi="Times New Roman" w:eastAsia="方正仿宋_GBK" w:cs="Times New Roman"/>
                <w:color w:val="auto"/>
                <w:kern w:val="0"/>
                <w:sz w:val="28"/>
                <w:szCs w:val="28"/>
                <w:lang w:bidi="ar"/>
              </w:rPr>
              <w:t>主要节点大样或施工图的加分项；</w:t>
            </w:r>
          </w:p>
          <w:p>
            <w:pPr>
              <w:widowControl/>
              <w:spacing w:line="400" w:lineRule="exact"/>
              <w:ind w:left="210" w:leftChars="100" w:firstLine="280" w:firstLineChars="100"/>
              <w:contextualSpacing/>
              <w:jc w:val="left"/>
              <w:textAlignment w:val="center"/>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2.某招标项目，</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需提供证书和身份证原</w:t>
            </w:r>
          </w:p>
          <w:p>
            <w:pPr>
              <w:widowControl/>
              <w:spacing w:line="400" w:lineRule="exact"/>
              <w:ind w:left="0" w:firstLine="0" w:firstLineChars="0"/>
              <w:contextualSpacing/>
              <w:jc w:val="left"/>
              <w:textAlignment w:val="center"/>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件，不提供原件就不加分。</w:t>
            </w:r>
          </w:p>
          <w:p>
            <w:pPr>
              <w:widowControl/>
              <w:spacing w:line="400" w:lineRule="exact"/>
              <w:ind w:firstLine="420" w:firstLineChars="150"/>
              <w:contextualSpacing/>
              <w:jc w:val="left"/>
              <w:textAlignment w:val="center"/>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注：</w:t>
            </w:r>
            <w:r>
              <w:rPr>
                <w:rFonts w:ascii="Times New Roman" w:hAnsi="Times New Roman" w:eastAsia="方正仿宋_GBK" w:cs="Times New Roman"/>
                <w:color w:val="000000" w:themeColor="text1"/>
                <w:kern w:val="0"/>
                <w:sz w:val="28"/>
                <w:szCs w:val="28"/>
                <w:lang w:bidi="ar"/>
                <w14:textFill>
                  <w14:solidFill>
                    <w14:schemeClr w14:val="tx1"/>
                  </w14:solidFill>
                </w14:textFill>
              </w:rPr>
              <w:t>1.EPC项目</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对投标人不同熟悉程度给予不同加分，并对投标人进行横向比较评分，涉嫌以不合理的条件限制或者排斥潜在投标人；工程总承包项目在投标阶段要求投标人提供深化主要节点大样或施工图，明显超出项目投标阶段实际需要，涉嫌为参与前期工作或提前介入的投标人“量身定做”。</w:t>
            </w:r>
          </w:p>
          <w:p>
            <w:pPr>
              <w:widowControl w:val="0"/>
              <w:spacing w:line="400" w:lineRule="exact"/>
              <w:ind w:firstLine="420" w:firstLineChars="150"/>
              <w:contextualSpacing/>
              <w:jc w:val="left"/>
              <w:textAlignment w:val="center"/>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2.</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将原件核对作为加分条件，违反了法律法规所作的规定，涉嫌对潜在投标人实行歧视待遇、涉嫌排斥潜在投标人。</w:t>
            </w:r>
          </w:p>
        </w:tc>
        <w:tc>
          <w:tcPr>
            <w:tcW w:w="541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400" w:lineRule="exact"/>
              <w:ind w:firstLine="420" w:firstLineChars="150"/>
              <w:contextualSpacing/>
              <w:jc w:val="left"/>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1.《中华人民共和国招标投标法》第十八条，招标人不得以不合理的条件限制或者排斥潜在投标人，不得对潜在投标人实行歧视待遇；</w:t>
            </w:r>
          </w:p>
          <w:p>
            <w:pPr>
              <w:spacing w:line="400" w:lineRule="exact"/>
              <w:ind w:firstLine="420" w:firstLineChars="150"/>
              <w:contextualSpacing/>
              <w:jc w:val="left"/>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2.</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《中华人民共和国招标投标法实施条例》第三十二条第（二）项，设定的资格、技术、商务条件与招标项目的具体特点和实际需要不相适应或者与合同履约无关；</w:t>
            </w:r>
          </w:p>
          <w:p>
            <w:pPr>
              <w:spacing w:line="400" w:lineRule="exact"/>
              <w:ind w:firstLine="420" w:firstLineChars="150"/>
              <w:contextualSpacing/>
              <w:jc w:val="left"/>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3.</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《国务院办公厅转发国家发展改革委关于深化公共资源交易平台整合共享指导意见的通知》（国办函〔</w:t>
            </w:r>
            <w:r>
              <w:rPr>
                <w:rFonts w:ascii="Times New Roman" w:hAnsi="Times New Roman" w:eastAsia="方正仿宋_GBK" w:cs="Times New Roman"/>
                <w:color w:val="000000" w:themeColor="text1"/>
                <w:kern w:val="0"/>
                <w:sz w:val="28"/>
                <w:szCs w:val="28"/>
                <w:lang w:bidi="ar"/>
                <w14:textFill>
                  <w14:solidFill>
                    <w14:schemeClr w14:val="tx1"/>
                  </w14:solidFill>
                </w14:textFill>
              </w:rPr>
              <w:t>2019〕41号）</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（九）精简管理事项和环节：系统梳理公共资源交易流程，取消没有法律法规依据的投标报名、招标文件审查、原件核对等事项以及能够采用告知承诺制和事中事后监管解决的前置审批或审核环节。</w:t>
            </w:r>
          </w:p>
          <w:p>
            <w:pPr>
              <w:spacing w:line="400" w:lineRule="exact"/>
              <w:ind w:firstLine="560" w:firstLineChars="200"/>
              <w:contextualSpacing/>
              <w:jc w:val="left"/>
              <w:rPr>
                <w:rFonts w:ascii="Times New Roman" w:hAnsi="Times New Roman" w:eastAsia="方正仿宋_GBK" w:cs="Times New Roman"/>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wBefore w:w="0" w:type="auto"/>
          <w:trHeight w:val="1519"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b/>
                <w:color w:val="000000" w:themeColor="text1"/>
                <w:sz w:val="28"/>
                <w:szCs w:val="28"/>
                <w14:textFill>
                  <w14:solidFill>
                    <w14:schemeClr w14:val="tx1"/>
                  </w14:solidFill>
                </w14:textFill>
              </w:rPr>
              <w:t>2</w:t>
            </w:r>
          </w:p>
        </w:tc>
        <w:tc>
          <w:tcPr>
            <w:tcW w:w="258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00" w:lineRule="exact"/>
              <w:contextualSpacing/>
              <w:jc w:val="left"/>
              <w:rPr>
                <w:rFonts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在国家已经明令取消资质资格的领域，将其他资质资格作为投标条件、加分条件、中标条件</w:t>
            </w:r>
          </w:p>
        </w:tc>
        <w:tc>
          <w:tcPr>
            <w:tcW w:w="5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ind w:firstLine="420" w:firstLineChars="150"/>
              <w:contextualSpacing/>
              <w:jc w:val="left"/>
              <w:textAlignment w:val="center"/>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某招标项目</w:t>
            </w:r>
            <w:r>
              <w:rPr>
                <w:rFonts w:ascii="Times New Roman" w:hAnsi="Times New Roman" w:eastAsia="方正仿宋_GBK" w:cs="Times New Roman"/>
                <w:color w:val="000000" w:themeColor="text1"/>
                <w:kern w:val="0"/>
                <w:sz w:val="28"/>
                <w:szCs w:val="28"/>
                <w:lang w:bidi="ar"/>
                <w14:textFill>
                  <w14:solidFill>
                    <w14:schemeClr w14:val="tx1"/>
                  </w14:solidFill>
                </w14:textFill>
              </w:rPr>
              <w:t>,</w:t>
            </w:r>
            <w:r>
              <w:rPr>
                <w:rFonts w:ascii="Times New Roman" w:hAnsi="Times New Roman" w:eastAsia="方正仿宋_GBK" w:cs="Times New Roman"/>
                <w:sz w:val="28"/>
                <w:szCs w:val="28"/>
              </w:rPr>
              <w:t xml:space="preserve"> </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设置质量管理体系认证证书、环境管理体系认证证书、职业健康安全管理体系认证证书、信息安全管理体系认证证书、诚信管理体系认证证书、合规管理体系认证证书、社会责任管理体系认证证书等加分项。</w:t>
            </w:r>
          </w:p>
          <w:p>
            <w:pPr>
              <w:widowControl/>
              <w:spacing w:line="400" w:lineRule="exact"/>
              <w:ind w:firstLine="420" w:firstLineChars="150"/>
              <w:contextualSpacing/>
              <w:jc w:val="left"/>
              <w:textAlignment w:val="center"/>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注：本项目将非强制认证作为加分条件，涉嫌排斥潜在投标人。</w:t>
            </w:r>
          </w:p>
        </w:tc>
        <w:tc>
          <w:tcPr>
            <w:tcW w:w="5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ind w:firstLine="420" w:firstLineChars="150"/>
              <w:contextualSpacing/>
              <w:jc w:val="left"/>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《国家发展改革委等部门关于严格执行招标投标法规制度进一步规范招标投标主体行为的若干意见》（发改法规规〔</w:t>
            </w:r>
            <w:r>
              <w:rPr>
                <w:rFonts w:ascii="Times New Roman" w:hAnsi="Times New Roman" w:eastAsia="方正仿宋_GBK" w:cs="Times New Roman"/>
                <w:color w:val="000000" w:themeColor="text1"/>
                <w:kern w:val="0"/>
                <w:sz w:val="28"/>
                <w:szCs w:val="28"/>
                <w:lang w:bidi="ar"/>
                <w14:textFill>
                  <w14:solidFill>
                    <w14:schemeClr w14:val="tx1"/>
                  </w14:solidFill>
                </w14:textFill>
              </w:rPr>
              <w:t>2022〕1117号）（三）规范招标文件编制和发布</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依法必须招标项目不得提出注册地址、所有制性质、市场占有率、特定行政区域或者特定行业业绩、取得非强制资质认证、设立本地分支机构、本地缴纳税收社保等要求，不得套用特定生产供应者的条件设定投标人资格、技术、商务条件。</w:t>
            </w:r>
          </w:p>
        </w:tc>
      </w:tr>
      <w:tr>
        <w:tblPrEx>
          <w:tblCellMar>
            <w:top w:w="0" w:type="dxa"/>
            <w:left w:w="0" w:type="dxa"/>
            <w:bottom w:w="0" w:type="dxa"/>
            <w:right w:w="0" w:type="dxa"/>
          </w:tblCellMar>
        </w:tblPrEx>
        <w:trPr>
          <w:wBefore w:w="0" w:type="auto"/>
          <w:trHeight w:val="1519" w:hRule="atLeast"/>
        </w:trPr>
        <w:tc>
          <w:tcPr>
            <w:tcW w:w="58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b/>
                <w:color w:val="000000" w:themeColor="text1"/>
                <w:sz w:val="28"/>
                <w:szCs w:val="28"/>
                <w14:textFill>
                  <w14:solidFill>
                    <w14:schemeClr w14:val="tx1"/>
                  </w14:solidFill>
                </w14:textFill>
              </w:rPr>
              <w:t>3</w:t>
            </w:r>
          </w:p>
        </w:tc>
        <w:tc>
          <w:tcPr>
            <w:tcW w:w="258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00" w:lineRule="exact"/>
              <w:contextualSpacing/>
              <w:jc w:val="left"/>
              <w:rPr>
                <w:rFonts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设置倾向性或排斥性评审因素</w:t>
            </w:r>
          </w:p>
        </w:tc>
        <w:tc>
          <w:tcPr>
            <w:tcW w:w="5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ind w:firstLine="560" w:firstLineChars="200"/>
              <w:contextualSpacing/>
              <w:jc w:val="left"/>
              <w:textAlignment w:val="center"/>
              <w:rPr>
                <w:rFonts w:ascii="Times New Roman" w:hAnsi="Times New Roman" w:eastAsia="方正仿宋_GBK" w:cs="Times New Roman"/>
                <w:color w:val="auto"/>
                <w:kern w:val="0"/>
                <w:sz w:val="28"/>
                <w:szCs w:val="28"/>
                <w:lang w:bidi="ar"/>
              </w:rPr>
            </w:pPr>
            <w:r>
              <w:rPr>
                <w:rFonts w:ascii="Times New Roman" w:hAnsi="Times New Roman" w:eastAsia="方正仿宋_GBK" w:cs="Times New Roman"/>
                <w:color w:val="auto"/>
                <w:kern w:val="0"/>
                <w:sz w:val="28"/>
                <w:szCs w:val="28"/>
                <w:lang w:bidi="ar"/>
              </w:rPr>
              <w:t>1.</w:t>
            </w:r>
            <w:r>
              <w:rPr>
                <w:rFonts w:hint="default" w:ascii="Times New Roman" w:hAnsi="Times New Roman" w:eastAsia="方正仿宋_GBK" w:cs="Times New Roman"/>
                <w:color w:val="auto"/>
                <w:kern w:val="0"/>
                <w:sz w:val="28"/>
                <w:szCs w:val="28"/>
                <w:lang w:bidi="ar"/>
              </w:rPr>
              <w:t>某房屋宿舍施工项目，设置项目技术负责人具备建筑工程管理专业高级工程师或以上技术职称的加分项；</w:t>
            </w:r>
          </w:p>
          <w:p>
            <w:pPr>
              <w:widowControl/>
              <w:spacing w:line="400" w:lineRule="exact"/>
              <w:ind w:firstLine="560" w:firstLineChars="200"/>
              <w:contextualSpacing/>
              <w:jc w:val="left"/>
              <w:textAlignment w:val="center"/>
              <w:rPr>
                <w:rFonts w:ascii="Times New Roman" w:hAnsi="Times New Roman" w:eastAsia="方正仿宋_GBK" w:cs="Times New Roman"/>
                <w:color w:val="auto"/>
                <w:kern w:val="0"/>
                <w:sz w:val="28"/>
                <w:szCs w:val="28"/>
                <w:lang w:bidi="ar"/>
              </w:rPr>
            </w:pPr>
            <w:r>
              <w:rPr>
                <w:rFonts w:ascii="Times New Roman" w:hAnsi="Times New Roman" w:eastAsia="方正仿宋_GBK" w:cs="Times New Roman"/>
                <w:color w:val="auto"/>
                <w:kern w:val="0"/>
                <w:sz w:val="28"/>
                <w:szCs w:val="28"/>
                <w:lang w:bidi="ar"/>
              </w:rPr>
              <w:t>2.某招标项目，</w:t>
            </w:r>
            <w:r>
              <w:rPr>
                <w:rFonts w:hint="default" w:ascii="Times New Roman" w:hAnsi="Times New Roman" w:eastAsia="方正仿宋_GBK" w:cs="Times New Roman"/>
                <w:color w:val="auto"/>
                <w:kern w:val="0"/>
                <w:sz w:val="28"/>
                <w:szCs w:val="28"/>
                <w:lang w:bidi="ar"/>
              </w:rPr>
              <w:t>设置拟投入的职称人员具备</w:t>
            </w:r>
            <w:r>
              <w:rPr>
                <w:rFonts w:ascii="Times New Roman" w:hAnsi="Times New Roman" w:eastAsia="方正仿宋_GBK" w:cs="Times New Roman"/>
                <w:color w:val="auto"/>
                <w:kern w:val="0"/>
                <w:sz w:val="28"/>
                <w:szCs w:val="28"/>
                <w:lang w:bidi="ar"/>
              </w:rPr>
              <w:t>建筑经济专业工程师（或以上）技术职称1名</w:t>
            </w:r>
            <w:r>
              <w:rPr>
                <w:rFonts w:hint="default" w:ascii="Times New Roman" w:hAnsi="Times New Roman" w:eastAsia="方正仿宋_GBK" w:cs="Times New Roman"/>
                <w:color w:val="auto"/>
                <w:kern w:val="0"/>
                <w:sz w:val="28"/>
                <w:szCs w:val="28"/>
                <w:lang w:bidi="ar"/>
              </w:rPr>
              <w:t>的加分项。</w:t>
            </w:r>
          </w:p>
          <w:p>
            <w:pPr>
              <w:widowControl/>
              <w:spacing w:line="400" w:lineRule="exact"/>
              <w:ind w:firstLine="560" w:firstLineChars="200"/>
              <w:contextualSpacing/>
              <w:jc w:val="left"/>
              <w:textAlignment w:val="center"/>
              <w:rPr>
                <w:rFonts w:ascii="Times New Roman" w:hAnsi="Times New Roman" w:eastAsia="方正仿宋_GBK" w:cs="Times New Roman"/>
                <w:color w:val="auto"/>
                <w:kern w:val="0"/>
                <w:sz w:val="28"/>
                <w:szCs w:val="28"/>
                <w:lang w:bidi="ar"/>
              </w:rPr>
            </w:pPr>
            <w:r>
              <w:rPr>
                <w:rFonts w:ascii="Times New Roman" w:hAnsi="Times New Roman" w:eastAsia="方正仿宋_GBK" w:cs="Times New Roman"/>
                <w:color w:val="auto"/>
                <w:kern w:val="0"/>
                <w:sz w:val="28"/>
                <w:szCs w:val="28"/>
                <w:lang w:bidi="ar"/>
              </w:rPr>
              <w:t>3.某招标项目，设置资产负债率的评审因素，且不同区间得分不同，负债率越高得分越低，甚至超过某一范围时得零分；</w:t>
            </w:r>
          </w:p>
          <w:p>
            <w:pPr>
              <w:widowControl/>
              <w:spacing w:line="400" w:lineRule="exact"/>
              <w:ind w:firstLine="560" w:firstLineChars="200"/>
              <w:contextualSpacing/>
              <w:jc w:val="left"/>
              <w:textAlignment w:val="center"/>
              <w:rPr>
                <w:rFonts w:ascii="Times New Roman" w:hAnsi="Times New Roman" w:eastAsia="方正仿宋_GBK" w:cs="Times New Roman"/>
                <w:color w:val="auto"/>
                <w:kern w:val="0"/>
                <w:sz w:val="28"/>
                <w:szCs w:val="28"/>
                <w:lang w:bidi="ar"/>
              </w:rPr>
            </w:pPr>
            <w:r>
              <w:rPr>
                <w:rFonts w:ascii="Times New Roman" w:hAnsi="Times New Roman" w:eastAsia="方正仿宋_GBK" w:cs="Times New Roman"/>
                <w:color w:val="auto"/>
                <w:kern w:val="0"/>
                <w:sz w:val="28"/>
                <w:szCs w:val="28"/>
                <w:lang w:bidi="ar"/>
              </w:rPr>
              <w:t>4.</w:t>
            </w:r>
            <w:r>
              <w:rPr>
                <w:rFonts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t>某招标项目，</w:t>
            </w:r>
            <w:r>
              <w:rPr>
                <w:rFonts w:hint="default" w:ascii="Times New Roman" w:hAnsi="Times New Roman" w:eastAsia="方正仿宋_GBK" w:cs="Times New Roman"/>
                <w:color w:val="auto"/>
                <w:kern w:val="0"/>
                <w:sz w:val="28"/>
                <w:szCs w:val="28"/>
                <w:lang w:bidi="ar"/>
              </w:rPr>
              <w:t>需具备</w:t>
            </w:r>
            <w:r>
              <w:rPr>
                <w:rFonts w:ascii="Times New Roman" w:hAnsi="Times New Roman" w:eastAsia="方正仿宋_GBK" w:cs="Times New Roman"/>
                <w:color w:val="auto"/>
                <w:kern w:val="0"/>
                <w:sz w:val="28"/>
                <w:szCs w:val="28"/>
                <w:lang w:bidi="ar"/>
              </w:rPr>
              <w:t xml:space="preserve">4种资质，要求联合体所有成员均应具备独立法人资格且不超过 2 </w:t>
            </w:r>
            <w:r>
              <w:rPr>
                <w:rFonts w:hint="default" w:ascii="Times New Roman" w:hAnsi="Times New Roman" w:eastAsia="方正仿宋_GBK" w:cs="Times New Roman"/>
                <w:color w:val="auto"/>
                <w:kern w:val="0"/>
                <w:sz w:val="28"/>
                <w:szCs w:val="28"/>
                <w:lang w:bidi="ar"/>
              </w:rPr>
              <w:t>家。</w:t>
            </w:r>
          </w:p>
          <w:p>
            <w:pPr>
              <w:widowControl/>
              <w:spacing w:line="400" w:lineRule="exact"/>
              <w:ind w:firstLine="560" w:firstLineChars="200"/>
              <w:contextualSpacing/>
              <w:jc w:val="left"/>
              <w:textAlignment w:val="center"/>
              <w:rPr>
                <w:rFonts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注：</w:t>
            </w:r>
            <w:r>
              <w:rPr>
                <w:rFonts w:ascii="Times New Roman" w:hAnsi="Times New Roman" w:eastAsia="方正仿宋_GBK" w:cs="Times New Roman"/>
                <w:color w:val="auto"/>
                <w:kern w:val="0"/>
                <w:sz w:val="28"/>
                <w:szCs w:val="28"/>
                <w:lang w:bidi="ar"/>
              </w:rPr>
              <w:t>1.</w:t>
            </w:r>
            <w:r>
              <w:rPr>
                <w:rFonts w:hint="default" w:ascii="Times New Roman" w:hAnsi="Times New Roman" w:eastAsia="方正仿宋_GBK" w:cs="Times New Roman"/>
                <w:color w:val="auto"/>
                <w:kern w:val="0"/>
                <w:sz w:val="28"/>
                <w:szCs w:val="28"/>
                <w:lang w:bidi="ar"/>
              </w:rPr>
              <w:t>“建筑工程管理”专业为建筑工程技术人才职称设置中的其中某一专业；在众多专业中仅设置“建筑工程管理”专业职称的得分项</w:t>
            </w:r>
            <w:r>
              <w:rPr>
                <w:rFonts w:ascii="Times New Roman" w:hAnsi="Times New Roman" w:eastAsia="方正仿宋_GBK" w:cs="Times New Roman"/>
                <w:color w:val="auto"/>
                <w:kern w:val="0"/>
                <w:sz w:val="28"/>
                <w:szCs w:val="28"/>
                <w:lang w:bidi="ar"/>
              </w:rPr>
              <w:t>,涉嫌为某一特定投标人</w:t>
            </w:r>
            <w:r>
              <w:rPr>
                <w:rFonts w:hint="default" w:ascii="Times New Roman" w:hAnsi="Times New Roman" w:eastAsia="方正仿宋_GBK" w:cs="Times New Roman"/>
                <w:color w:val="auto"/>
                <w:kern w:val="0"/>
                <w:sz w:val="28"/>
                <w:szCs w:val="28"/>
                <w:lang w:bidi="ar"/>
              </w:rPr>
              <w:t>“量身定制”。</w:t>
            </w:r>
          </w:p>
          <w:p>
            <w:pPr>
              <w:widowControl/>
              <w:spacing w:line="400" w:lineRule="exact"/>
              <w:ind w:firstLine="560" w:firstLineChars="200"/>
              <w:contextualSpacing/>
              <w:jc w:val="left"/>
              <w:textAlignment w:val="center"/>
              <w:rPr>
                <w:rFonts w:ascii="Times New Roman" w:hAnsi="Times New Roman" w:eastAsia="方正仿宋_GBK" w:cs="Times New Roman"/>
                <w:color w:val="auto"/>
                <w:kern w:val="0"/>
                <w:sz w:val="28"/>
                <w:szCs w:val="28"/>
                <w:lang w:bidi="ar"/>
              </w:rPr>
            </w:pPr>
            <w:r>
              <w:rPr>
                <w:rFonts w:ascii="Times New Roman" w:hAnsi="Times New Roman" w:eastAsia="方正仿宋_GBK" w:cs="Times New Roman"/>
                <w:color w:val="auto"/>
                <w:kern w:val="0"/>
                <w:sz w:val="28"/>
                <w:szCs w:val="28"/>
                <w:lang w:bidi="ar"/>
              </w:rPr>
              <w:t xml:space="preserve">2. </w:t>
            </w:r>
            <w:r>
              <w:rPr>
                <w:rFonts w:hint="default" w:ascii="Times New Roman" w:hAnsi="Times New Roman" w:eastAsia="方正仿宋_GBK" w:cs="Times New Roman"/>
                <w:color w:val="auto"/>
                <w:kern w:val="0"/>
                <w:sz w:val="28"/>
                <w:szCs w:val="28"/>
                <w:lang w:bidi="ar"/>
              </w:rPr>
              <w:t>“建筑经济专业”为人社部</w:t>
            </w:r>
            <w:r>
              <w:rPr>
                <w:rFonts w:ascii="Times New Roman" w:hAnsi="Times New Roman" w:eastAsia="方正仿宋_GBK" w:cs="Times New Roman"/>
                <w:color w:val="auto"/>
                <w:kern w:val="0"/>
                <w:sz w:val="28"/>
                <w:szCs w:val="28"/>
                <w:lang w:bidi="ar"/>
              </w:rPr>
              <w:t>2020年1月份</w:t>
            </w:r>
            <w:r>
              <w:rPr>
                <w:rFonts w:hint="default" w:ascii="Times New Roman" w:hAnsi="Times New Roman" w:eastAsia="方正仿宋_GBK" w:cs="Times New Roman"/>
                <w:color w:val="auto"/>
                <w:kern w:val="0"/>
                <w:sz w:val="28"/>
                <w:szCs w:val="28"/>
                <w:lang w:bidi="ar"/>
              </w:rPr>
              <w:t>之前所列的专业，该专业与“房地产经济”已合并为“建筑与房地产经济”专业。单独将“建筑经济专业”</w:t>
            </w:r>
            <w:r>
              <w:rPr>
                <w:rFonts w:ascii="Times New Roman" w:hAnsi="Times New Roman" w:eastAsia="方正仿宋_GBK" w:cs="Times New Roman"/>
                <w:color w:val="auto"/>
                <w:kern w:val="0"/>
                <w:sz w:val="28"/>
                <w:szCs w:val="28"/>
                <w:lang w:bidi="ar"/>
              </w:rPr>
              <w:t xml:space="preserve"> </w:t>
            </w:r>
            <w:r>
              <w:rPr>
                <w:rFonts w:hint="default" w:ascii="Times New Roman" w:hAnsi="Times New Roman" w:eastAsia="方正仿宋_GBK" w:cs="Times New Roman"/>
                <w:color w:val="auto"/>
                <w:kern w:val="0"/>
                <w:sz w:val="28"/>
                <w:szCs w:val="28"/>
                <w:lang w:bidi="ar"/>
              </w:rPr>
              <w:t>作为加分条件，排斥了“建筑与房地产经济”专业，涉嫌为特定投标人“量身定制”。</w:t>
            </w:r>
          </w:p>
          <w:p>
            <w:pPr>
              <w:widowControl/>
              <w:spacing w:line="400" w:lineRule="exact"/>
              <w:ind w:firstLine="560" w:firstLineChars="200"/>
              <w:contextualSpacing/>
              <w:jc w:val="left"/>
              <w:textAlignment w:val="center"/>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auto"/>
                <w:kern w:val="0"/>
                <w:sz w:val="28"/>
                <w:szCs w:val="28"/>
                <w:lang w:bidi="ar"/>
              </w:rPr>
              <w:t>3.设置资产负债率，涉嫌排斥</w:t>
            </w:r>
            <w:r>
              <w:rPr>
                <w:rFonts w:hint="default" w:ascii="Times New Roman" w:hAnsi="Times New Roman" w:eastAsia="方正仿宋_GBK" w:cs="Times New Roman"/>
                <w:color w:val="auto"/>
                <w:kern w:val="0"/>
                <w:sz w:val="28"/>
                <w:szCs w:val="28"/>
                <w:lang w:bidi="ar"/>
              </w:rPr>
              <w:t>央企</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或省属国企等大型企业竞标；</w:t>
            </w:r>
          </w:p>
          <w:p>
            <w:pPr>
              <w:widowControl/>
              <w:spacing w:line="400" w:lineRule="exact"/>
              <w:ind w:firstLine="560" w:firstLineChars="200"/>
              <w:contextualSpacing/>
              <w:jc w:val="left"/>
              <w:textAlignment w:val="center"/>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4.</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要求</w:t>
            </w:r>
            <w:r>
              <w:rPr>
                <w:rFonts w:hint="default" w:ascii="Times New Roman" w:hAnsi="Times New Roman" w:eastAsia="方正仿宋_GBK" w:cs="Times New Roman"/>
                <w:sz w:val="28"/>
                <w:szCs w:val="28"/>
              </w:rPr>
              <w:t>投标人具备</w:t>
            </w:r>
            <w:r>
              <w:rPr>
                <w:rFonts w:ascii="Times New Roman" w:hAnsi="Times New Roman" w:eastAsia="方正仿宋_GBK" w:cs="Times New Roman"/>
                <w:sz w:val="28"/>
                <w:szCs w:val="28"/>
              </w:rPr>
              <w:t>4</w:t>
            </w:r>
            <w:r>
              <w:rPr>
                <w:rFonts w:hint="default" w:ascii="Times New Roman" w:hAnsi="Times New Roman" w:eastAsia="方正仿宋_GBK" w:cs="Times New Roman"/>
                <w:sz w:val="28"/>
                <w:szCs w:val="28"/>
              </w:rPr>
              <w:t>种资质，但联合体成员不得超过两家</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，条件极为苛刻，涉嫌为特定投标人“量身定制”。</w:t>
            </w:r>
          </w:p>
        </w:tc>
        <w:tc>
          <w:tcPr>
            <w:tcW w:w="5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ind w:firstLine="420" w:firstLineChars="150"/>
              <w:contextualSpacing/>
              <w:jc w:val="left"/>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1.《中华人民共和国招标投标法》第十八条，招标人不得以不合理的条件限制或者排斥潜在投标人，不得对潜在投标人实行歧视待遇；</w:t>
            </w:r>
          </w:p>
          <w:p>
            <w:pPr>
              <w:spacing w:line="400" w:lineRule="exact"/>
              <w:ind w:firstLine="420" w:firstLineChars="150"/>
              <w:contextualSpacing/>
              <w:jc w:val="left"/>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2.</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《中华人民共和国招标投标法实施条例》第三十二条第（二）项，设定的资格、技术、商务条件与招标项目的具体特点和实际需要不相适应或者与合同履约无关；</w:t>
            </w:r>
          </w:p>
          <w:p>
            <w:pPr>
              <w:spacing w:line="400" w:lineRule="exact"/>
              <w:ind w:firstLine="420" w:firstLineChars="150"/>
              <w:contextualSpacing/>
              <w:jc w:val="left"/>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3.</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《广东省人社厅</w:t>
            </w:r>
            <w:r>
              <w:rPr>
                <w:rFonts w:ascii="Times New Roman" w:hAnsi="Times New Roman" w:eastAsia="方正仿宋_GBK" w:cs="Times New Roman"/>
                <w:color w:val="000000" w:themeColor="text1"/>
                <w:kern w:val="0"/>
                <w:sz w:val="28"/>
                <w:szCs w:val="28"/>
                <w:lang w:bidi="ar"/>
                <w14:textFill>
                  <w14:solidFill>
                    <w14:schemeClr w14:val="tx1"/>
                  </w14:solidFill>
                </w14:textFill>
              </w:rPr>
              <w:t xml:space="preserve"> </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广东省住建厅关于印发＜广东省建筑工程技术人才职称评价改革实施方案＞的通知》（粤人社规〔</w:t>
            </w:r>
            <w:r>
              <w:rPr>
                <w:rFonts w:ascii="Times New Roman" w:hAnsi="Times New Roman" w:eastAsia="方正仿宋_GBK" w:cs="Times New Roman"/>
                <w:color w:val="000000" w:themeColor="text1"/>
                <w:kern w:val="0"/>
                <w:sz w:val="28"/>
                <w:szCs w:val="28"/>
                <w:lang w:bidi="ar"/>
                <w14:textFill>
                  <w14:solidFill>
                    <w14:schemeClr w14:val="tx1"/>
                  </w14:solidFill>
                </w14:textFill>
              </w:rPr>
              <w:t>2019〕33号）二</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、主要分类</w:t>
            </w:r>
            <w:r>
              <w:rPr>
                <w:rFonts w:ascii="Times New Roman" w:hAnsi="Times New Roman" w:eastAsia="方正仿宋_GBK" w:cs="Times New Roman"/>
                <w:color w:val="000000" w:themeColor="text1"/>
                <w:kern w:val="0"/>
                <w:sz w:val="28"/>
                <w:szCs w:val="28"/>
                <w:lang w:bidi="ar"/>
                <w14:textFill>
                  <w14:solidFill>
                    <w14:schemeClr w14:val="tx1"/>
                  </w14:solidFill>
                </w14:textFill>
              </w:rPr>
              <w:t>2.科学设置分类</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w:t>
            </w:r>
          </w:p>
          <w:p>
            <w:pPr>
              <w:spacing w:line="400" w:lineRule="exact"/>
              <w:ind w:firstLine="420" w:firstLineChars="150"/>
              <w:contextualSpacing/>
              <w:jc w:val="left"/>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4.</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《人社部关于印发经济专业技术资格规定和经济专业技术资格考试实施办法的通知》（人社部规〔</w:t>
            </w:r>
            <w:r>
              <w:rPr>
                <w:rFonts w:ascii="Times New Roman" w:hAnsi="Times New Roman" w:eastAsia="方正仿宋_GBK" w:cs="Times New Roman"/>
                <w:color w:val="000000" w:themeColor="text1"/>
                <w:kern w:val="0"/>
                <w:sz w:val="28"/>
                <w:szCs w:val="28"/>
                <w:lang w:bidi="ar"/>
                <w14:textFill>
                  <w14:solidFill>
                    <w14:schemeClr w14:val="tx1"/>
                  </w14:solidFill>
                </w14:textFill>
              </w:rPr>
              <w:t>2020〕1号</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w:t>
            </w:r>
          </w:p>
          <w:p>
            <w:pPr>
              <w:spacing w:line="400" w:lineRule="exact"/>
              <w:ind w:firstLine="420" w:firstLineChars="150"/>
              <w:contextualSpacing/>
              <w:jc w:val="left"/>
              <w:rPr>
                <w:rFonts w:ascii="Times New Roman" w:hAnsi="Times New Roman" w:eastAsia="方正仿宋_GBK" w:cs="Times New Roman"/>
                <w:color w:val="000000" w:themeColor="text1"/>
                <w:kern w:val="0"/>
                <w:sz w:val="28"/>
                <w:szCs w:val="28"/>
                <w:lang w:bidi="ar"/>
                <w14:textFill>
                  <w14:solidFill>
                    <w14:schemeClr w14:val="tx1"/>
                  </w14:solidFill>
                </w14:textFill>
              </w:rPr>
            </w:pPr>
            <w:r>
              <w:rPr>
                <w:rFonts w:ascii="Times New Roman" w:hAnsi="Times New Roman" w:eastAsia="方正仿宋_GBK" w:cs="Times New Roman"/>
                <w:color w:val="000000" w:themeColor="text1"/>
                <w:kern w:val="0"/>
                <w:sz w:val="28"/>
                <w:szCs w:val="28"/>
                <w:lang w:bidi="ar"/>
                <w14:textFill>
                  <w14:solidFill>
                    <w14:schemeClr w14:val="tx1"/>
                  </w14:solidFill>
                </w14:textFill>
              </w:rPr>
              <w:t>5.</w:t>
            </w:r>
            <w:r>
              <w:rPr>
                <w:rFonts w:hint="default" w:ascii="Times New Roman" w:hAnsi="Times New Roman" w:eastAsia="方正仿宋_GBK" w:cs="Times New Roman"/>
                <w:color w:val="000000" w:themeColor="text1"/>
                <w:kern w:val="0"/>
                <w:sz w:val="28"/>
                <w:szCs w:val="28"/>
                <w:lang w:bidi="ar"/>
                <w14:textFill>
                  <w14:solidFill>
                    <w14:schemeClr w14:val="tx1"/>
                  </w14:solidFill>
                </w14:textFill>
              </w:rPr>
              <w:t>《广东省发展改革委关于印发＜广东省工程建设项目招标投标领域违反统一市场建设专项整治工作方案＞的通知》（粤发改法规函〔</w:t>
            </w:r>
            <w:r>
              <w:rPr>
                <w:rFonts w:ascii="Times New Roman" w:hAnsi="Times New Roman" w:eastAsia="方正仿宋_GBK" w:cs="Times New Roman"/>
                <w:color w:val="000000" w:themeColor="text1"/>
                <w:kern w:val="0"/>
                <w:sz w:val="28"/>
                <w:szCs w:val="28"/>
                <w:lang w:bidi="ar"/>
                <w14:textFill>
                  <w14:solidFill>
                    <w14:schemeClr w14:val="tx1"/>
                  </w14:solidFill>
                </w14:textFill>
              </w:rPr>
              <w:t>2023〕834号）二、整治范围和内容（二）整治内容8.其他以不合理条件排斥、差别对待或限制外地企业及对不同所有制企业设置不合理限制和壁垒活动的情形。</w:t>
            </w:r>
          </w:p>
        </w:tc>
      </w:tr>
    </w:tbl>
    <w:p>
      <w:pPr>
        <w:ind w:firstLine="560" w:firstLineChars="200"/>
        <w:rPr>
          <w:rFonts w:ascii="Times New Roman" w:hAnsi="Times New Roman" w:eastAsia="方正仿宋_GBK" w:cs="Times New Roman"/>
          <w:sz w:val="28"/>
          <w:szCs w:val="28"/>
        </w:rPr>
      </w:pPr>
    </w:p>
    <w:p>
      <w:pPr>
        <w:rPr>
          <w:rFonts w:ascii="Times New Roman" w:hAnsi="Times New Roman" w:cs="Times New Roman"/>
          <w:sz w:val="28"/>
          <w:szCs w:val="28"/>
        </w:rPr>
      </w:pPr>
    </w:p>
    <w:sectPr>
      <w:footerReference r:id="rId3" w:type="default"/>
      <w:pgSz w:w="16838" w:h="11906" w:orient="landscape"/>
      <w:pgMar w:top="1474" w:right="1021" w:bottom="1191" w:left="124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trackRevisions w:val="true"/>
  <w:documentProtection w:enforcement="0"/>
  <w:defaultTabStop w:val="420"/>
  <w:drawingGridVerticalSpacing w:val="159"/>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25304"/>
    <w:rsid w:val="000044B8"/>
    <w:rsid w:val="000424F8"/>
    <w:rsid w:val="000434C8"/>
    <w:rsid w:val="000511A3"/>
    <w:rsid w:val="00053715"/>
    <w:rsid w:val="00074589"/>
    <w:rsid w:val="00095174"/>
    <w:rsid w:val="00096D33"/>
    <w:rsid w:val="000976EA"/>
    <w:rsid w:val="000A3735"/>
    <w:rsid w:val="000B0873"/>
    <w:rsid w:val="000C7E38"/>
    <w:rsid w:val="000D2922"/>
    <w:rsid w:val="000D4004"/>
    <w:rsid w:val="000D65F8"/>
    <w:rsid w:val="000E016D"/>
    <w:rsid w:val="000E7491"/>
    <w:rsid w:val="001010CE"/>
    <w:rsid w:val="00103DA9"/>
    <w:rsid w:val="0010621B"/>
    <w:rsid w:val="001163B1"/>
    <w:rsid w:val="00116EA8"/>
    <w:rsid w:val="0012152A"/>
    <w:rsid w:val="00123314"/>
    <w:rsid w:val="00147712"/>
    <w:rsid w:val="001559CA"/>
    <w:rsid w:val="00157B8E"/>
    <w:rsid w:val="00170A40"/>
    <w:rsid w:val="00173AB3"/>
    <w:rsid w:val="00174BDA"/>
    <w:rsid w:val="0018734B"/>
    <w:rsid w:val="00194E31"/>
    <w:rsid w:val="001B2E3B"/>
    <w:rsid w:val="001D0FDE"/>
    <w:rsid w:val="001D5715"/>
    <w:rsid w:val="001D7B45"/>
    <w:rsid w:val="001E2714"/>
    <w:rsid w:val="001E48E0"/>
    <w:rsid w:val="002005D7"/>
    <w:rsid w:val="00200780"/>
    <w:rsid w:val="002077E6"/>
    <w:rsid w:val="00226ABF"/>
    <w:rsid w:val="00227D39"/>
    <w:rsid w:val="002311A6"/>
    <w:rsid w:val="00241775"/>
    <w:rsid w:val="00262906"/>
    <w:rsid w:val="00262F6C"/>
    <w:rsid w:val="00265AF5"/>
    <w:rsid w:val="00265EEC"/>
    <w:rsid w:val="00266203"/>
    <w:rsid w:val="00272AAF"/>
    <w:rsid w:val="00273282"/>
    <w:rsid w:val="002C1CA5"/>
    <w:rsid w:val="002C415C"/>
    <w:rsid w:val="002D3D00"/>
    <w:rsid w:val="002E356A"/>
    <w:rsid w:val="002E3C65"/>
    <w:rsid w:val="002E6C03"/>
    <w:rsid w:val="00305C73"/>
    <w:rsid w:val="003350F6"/>
    <w:rsid w:val="003448F6"/>
    <w:rsid w:val="003460F7"/>
    <w:rsid w:val="003464CE"/>
    <w:rsid w:val="0035716C"/>
    <w:rsid w:val="003707ED"/>
    <w:rsid w:val="00380829"/>
    <w:rsid w:val="00380AE1"/>
    <w:rsid w:val="00384046"/>
    <w:rsid w:val="003962F9"/>
    <w:rsid w:val="003D649C"/>
    <w:rsid w:val="003E2968"/>
    <w:rsid w:val="00404FF3"/>
    <w:rsid w:val="004444E1"/>
    <w:rsid w:val="004666E5"/>
    <w:rsid w:val="00474B81"/>
    <w:rsid w:val="004A1362"/>
    <w:rsid w:val="004A47EE"/>
    <w:rsid w:val="004C5DB5"/>
    <w:rsid w:val="004D7175"/>
    <w:rsid w:val="004E0BF2"/>
    <w:rsid w:val="004E47EC"/>
    <w:rsid w:val="004E497D"/>
    <w:rsid w:val="004F6DFB"/>
    <w:rsid w:val="004F765C"/>
    <w:rsid w:val="00505C61"/>
    <w:rsid w:val="00511A11"/>
    <w:rsid w:val="00521DEF"/>
    <w:rsid w:val="00531BF1"/>
    <w:rsid w:val="00547576"/>
    <w:rsid w:val="005740FE"/>
    <w:rsid w:val="0058026D"/>
    <w:rsid w:val="00590FA1"/>
    <w:rsid w:val="005A4912"/>
    <w:rsid w:val="005C55AB"/>
    <w:rsid w:val="005D0119"/>
    <w:rsid w:val="005D218F"/>
    <w:rsid w:val="005E0683"/>
    <w:rsid w:val="005F3E64"/>
    <w:rsid w:val="00605B66"/>
    <w:rsid w:val="00606B3C"/>
    <w:rsid w:val="00607054"/>
    <w:rsid w:val="00610076"/>
    <w:rsid w:val="00610B0C"/>
    <w:rsid w:val="00613AFA"/>
    <w:rsid w:val="00615BCB"/>
    <w:rsid w:val="00630320"/>
    <w:rsid w:val="00631330"/>
    <w:rsid w:val="006313D3"/>
    <w:rsid w:val="00641903"/>
    <w:rsid w:val="00672E74"/>
    <w:rsid w:val="006936F9"/>
    <w:rsid w:val="006A533A"/>
    <w:rsid w:val="006C0E11"/>
    <w:rsid w:val="006E6BB5"/>
    <w:rsid w:val="006F520C"/>
    <w:rsid w:val="00715D70"/>
    <w:rsid w:val="00724910"/>
    <w:rsid w:val="0072606D"/>
    <w:rsid w:val="00742C0A"/>
    <w:rsid w:val="00744A4C"/>
    <w:rsid w:val="00750F81"/>
    <w:rsid w:val="00775251"/>
    <w:rsid w:val="007811F1"/>
    <w:rsid w:val="00784946"/>
    <w:rsid w:val="00790470"/>
    <w:rsid w:val="007927C3"/>
    <w:rsid w:val="00796E54"/>
    <w:rsid w:val="007A01A0"/>
    <w:rsid w:val="007B34B2"/>
    <w:rsid w:val="007C70C5"/>
    <w:rsid w:val="007D0DE4"/>
    <w:rsid w:val="007D4F75"/>
    <w:rsid w:val="007E6C6F"/>
    <w:rsid w:val="007F2799"/>
    <w:rsid w:val="007F37A8"/>
    <w:rsid w:val="00815167"/>
    <w:rsid w:val="00816073"/>
    <w:rsid w:val="00825CC7"/>
    <w:rsid w:val="00837B7E"/>
    <w:rsid w:val="00837CC0"/>
    <w:rsid w:val="00847CB8"/>
    <w:rsid w:val="00862890"/>
    <w:rsid w:val="00867A0C"/>
    <w:rsid w:val="00880C1C"/>
    <w:rsid w:val="008B2DC9"/>
    <w:rsid w:val="008D015F"/>
    <w:rsid w:val="008D34B1"/>
    <w:rsid w:val="008D3CA3"/>
    <w:rsid w:val="008D47C3"/>
    <w:rsid w:val="008E6725"/>
    <w:rsid w:val="008E73D0"/>
    <w:rsid w:val="008F002E"/>
    <w:rsid w:val="008F074D"/>
    <w:rsid w:val="008F1DFB"/>
    <w:rsid w:val="008F7AF3"/>
    <w:rsid w:val="008F7B74"/>
    <w:rsid w:val="009034DA"/>
    <w:rsid w:val="009065E8"/>
    <w:rsid w:val="00916150"/>
    <w:rsid w:val="009203FE"/>
    <w:rsid w:val="00925D37"/>
    <w:rsid w:val="009309E4"/>
    <w:rsid w:val="00944F6B"/>
    <w:rsid w:val="00950BE4"/>
    <w:rsid w:val="00962FCD"/>
    <w:rsid w:val="0096433C"/>
    <w:rsid w:val="00985A4E"/>
    <w:rsid w:val="00990FCB"/>
    <w:rsid w:val="00991855"/>
    <w:rsid w:val="00993C8B"/>
    <w:rsid w:val="009A52AF"/>
    <w:rsid w:val="009A5CD1"/>
    <w:rsid w:val="009B32A4"/>
    <w:rsid w:val="009E2F3E"/>
    <w:rsid w:val="00A30981"/>
    <w:rsid w:val="00A550A7"/>
    <w:rsid w:val="00A57E40"/>
    <w:rsid w:val="00A62D28"/>
    <w:rsid w:val="00A650AB"/>
    <w:rsid w:val="00A65EAD"/>
    <w:rsid w:val="00A772D0"/>
    <w:rsid w:val="00AB3B33"/>
    <w:rsid w:val="00AC39D2"/>
    <w:rsid w:val="00AE5DDE"/>
    <w:rsid w:val="00B11710"/>
    <w:rsid w:val="00B133C5"/>
    <w:rsid w:val="00B1509A"/>
    <w:rsid w:val="00B1524E"/>
    <w:rsid w:val="00B25163"/>
    <w:rsid w:val="00B43C26"/>
    <w:rsid w:val="00B5265F"/>
    <w:rsid w:val="00B5511B"/>
    <w:rsid w:val="00B71EC2"/>
    <w:rsid w:val="00B738B3"/>
    <w:rsid w:val="00B86B85"/>
    <w:rsid w:val="00B91085"/>
    <w:rsid w:val="00B95F32"/>
    <w:rsid w:val="00B96DE6"/>
    <w:rsid w:val="00BB1466"/>
    <w:rsid w:val="00BB212E"/>
    <w:rsid w:val="00BC3C16"/>
    <w:rsid w:val="00BC70CD"/>
    <w:rsid w:val="00BD295E"/>
    <w:rsid w:val="00BD45C2"/>
    <w:rsid w:val="00C079EB"/>
    <w:rsid w:val="00C110C0"/>
    <w:rsid w:val="00C318E9"/>
    <w:rsid w:val="00C756DE"/>
    <w:rsid w:val="00C77268"/>
    <w:rsid w:val="00C77DCD"/>
    <w:rsid w:val="00C954C0"/>
    <w:rsid w:val="00CB0646"/>
    <w:rsid w:val="00CB700B"/>
    <w:rsid w:val="00CD28F2"/>
    <w:rsid w:val="00CD3053"/>
    <w:rsid w:val="00CD6CD2"/>
    <w:rsid w:val="00CE583C"/>
    <w:rsid w:val="00D01B34"/>
    <w:rsid w:val="00D16F54"/>
    <w:rsid w:val="00D35449"/>
    <w:rsid w:val="00D57A6F"/>
    <w:rsid w:val="00D60B7C"/>
    <w:rsid w:val="00D767B2"/>
    <w:rsid w:val="00D93D6B"/>
    <w:rsid w:val="00D95128"/>
    <w:rsid w:val="00DA0B59"/>
    <w:rsid w:val="00DC0D6D"/>
    <w:rsid w:val="00DC16C6"/>
    <w:rsid w:val="00DF5460"/>
    <w:rsid w:val="00E046ED"/>
    <w:rsid w:val="00E21918"/>
    <w:rsid w:val="00E260E9"/>
    <w:rsid w:val="00E3573D"/>
    <w:rsid w:val="00E431C9"/>
    <w:rsid w:val="00E4772B"/>
    <w:rsid w:val="00E553D0"/>
    <w:rsid w:val="00E66CEB"/>
    <w:rsid w:val="00E70D46"/>
    <w:rsid w:val="00E7684E"/>
    <w:rsid w:val="00E81A9D"/>
    <w:rsid w:val="00E82A0E"/>
    <w:rsid w:val="00EA38DB"/>
    <w:rsid w:val="00EA5836"/>
    <w:rsid w:val="00ED4FF2"/>
    <w:rsid w:val="00EF17EE"/>
    <w:rsid w:val="00F207D5"/>
    <w:rsid w:val="00F330C2"/>
    <w:rsid w:val="00F40D20"/>
    <w:rsid w:val="00F4193E"/>
    <w:rsid w:val="00F527C8"/>
    <w:rsid w:val="00F902C5"/>
    <w:rsid w:val="00F9572E"/>
    <w:rsid w:val="00F95FC8"/>
    <w:rsid w:val="00FA2080"/>
    <w:rsid w:val="00FE56D7"/>
    <w:rsid w:val="014C6AEE"/>
    <w:rsid w:val="180257AA"/>
    <w:rsid w:val="1D152095"/>
    <w:rsid w:val="22D23AE7"/>
    <w:rsid w:val="287B0AE2"/>
    <w:rsid w:val="32B047F8"/>
    <w:rsid w:val="362507B8"/>
    <w:rsid w:val="39821598"/>
    <w:rsid w:val="3C425304"/>
    <w:rsid w:val="3CC24A75"/>
    <w:rsid w:val="45381468"/>
    <w:rsid w:val="46B74C7E"/>
    <w:rsid w:val="4CCC49B1"/>
    <w:rsid w:val="4E5E4D9B"/>
    <w:rsid w:val="4EAF3CBC"/>
    <w:rsid w:val="50737041"/>
    <w:rsid w:val="51C10D26"/>
    <w:rsid w:val="51C37D53"/>
    <w:rsid w:val="58FFF1D8"/>
    <w:rsid w:val="5A023FCB"/>
    <w:rsid w:val="609B113F"/>
    <w:rsid w:val="6A9877F2"/>
    <w:rsid w:val="6ADE6E2F"/>
    <w:rsid w:val="736B1ABA"/>
    <w:rsid w:val="73E541B1"/>
    <w:rsid w:val="77DD7B5D"/>
    <w:rsid w:val="79F57A27"/>
    <w:rsid w:val="7D9E0C92"/>
    <w:rsid w:val="7DF360C4"/>
    <w:rsid w:val="7FE37389"/>
    <w:rsid w:val="B6FE41A7"/>
    <w:rsid w:val="D8DDC8CD"/>
    <w:rsid w:val="F33EEBEE"/>
    <w:rsid w:val="F3F95DD8"/>
    <w:rsid w:val="FF76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11"/>
    <w:basedOn w:val="6"/>
    <w:qFormat/>
    <w:uiPriority w:val="0"/>
    <w:rPr>
      <w:rFonts w:hint="eastAsia" w:ascii="宋体" w:hAnsi="宋体" w:eastAsia="宋体" w:cs="宋体"/>
      <w:color w:val="000000"/>
      <w:sz w:val="22"/>
      <w:szCs w:val="22"/>
      <w:u w:val="none"/>
    </w:rPr>
  </w:style>
  <w:style w:type="character" w:customStyle="1" w:styleId="8">
    <w:name w:val="font61"/>
    <w:basedOn w:val="6"/>
    <w:qFormat/>
    <w:uiPriority w:val="0"/>
    <w:rPr>
      <w:rFonts w:hint="eastAsia" w:ascii="宋体" w:hAnsi="宋体" w:eastAsia="宋体" w:cs="宋体"/>
      <w:color w:val="000000"/>
      <w:sz w:val="22"/>
      <w:szCs w:val="22"/>
      <w:u w:val="none"/>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Pages>
  <Words>1830</Words>
  <Characters>9940</Characters>
  <Lines>82</Lines>
  <Paragraphs>23</Paragraphs>
  <TotalTime>101</TotalTime>
  <ScaleCrop>false</ScaleCrop>
  <LinksUpToDate>false</LinksUpToDate>
  <CharactersWithSpaces>11747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2023-12-08T11:20:00Z</dcterms:created>
  <dc:creator>刘焓碧</dc:creator>
  <cp:lastModifiedBy>greatwall</cp:lastModifiedBy>
  <cp:lastPrinted>2023-12-14T11:48:00Z</cp:lastPrinted>
  <dcterms:modified xsi:type="dcterms:W3CDTF">2023-12-18T18:10:56Z</dcterms:modified>
  <dc:title>附件</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91132CFDBA334D55BAA3F0A500F769F0</vt:lpwstr>
  </property>
</Properties>
</file>