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lang w:eastAsia="zh-CN"/>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p>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梅州市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金桔栽培技术规程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Regulations for the </w:t>
      </w:r>
      <w:r>
        <w:rPr>
          <w:rFonts w:hint="eastAsia" w:ascii="黑体" w:hAnsi="黑体" w:eastAsia="黑体"/>
          <w:szCs w:val="28"/>
        </w:rPr>
        <w:t>Kumquat</w:t>
      </w:r>
      <w:r>
        <w:rPr>
          <w:rFonts w:hint="eastAsia" w:ascii="黑体" w:hAnsi="黑体" w:eastAsia="黑体"/>
          <w:szCs w:val="28"/>
          <w:lang w:val="en-US" w:eastAsia="zh-CN"/>
        </w:rPr>
        <w:t xml:space="preserve"> </w:t>
      </w:r>
      <w:r>
        <w:rPr>
          <w:rFonts w:ascii="黑体" w:hAnsi="黑体" w:eastAsia="黑体"/>
          <w:szCs w:val="28"/>
        </w:rPr>
        <w:t>Cultivation</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"_Toc153439701" </w:instrText>
      </w:r>
      <w:r>
        <w:fldChar w:fldCharType="separate"/>
      </w:r>
      <w:r>
        <w:rPr>
          <w:rStyle w:val="32"/>
        </w:rPr>
        <w:t>前言</w:t>
      </w:r>
      <w:r>
        <w:tab/>
      </w:r>
      <w:r>
        <w:fldChar w:fldCharType="begin"/>
      </w:r>
      <w:r>
        <w:instrText xml:space="preserve"> PAGEREF _Toc153439701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"_Toc153439702" </w:instrText>
      </w:r>
      <w:r>
        <w:fldChar w:fldCharType="separate"/>
      </w:r>
      <w:r>
        <w:rPr>
          <w:rStyle w:val="32"/>
        </w:rPr>
        <w:t>1  范围</w:t>
      </w:r>
      <w:r>
        <w:tab/>
      </w:r>
      <w:r>
        <w:fldChar w:fldCharType="begin"/>
      </w:r>
      <w:r>
        <w:instrText xml:space="preserve"> PAGEREF _Toc153439702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"_Toc153439703" </w:instrText>
      </w:r>
      <w:r>
        <w:fldChar w:fldCharType="separate"/>
      </w:r>
      <w:r>
        <w:rPr>
          <w:rStyle w:val="32"/>
        </w:rPr>
        <w:t>2  规范性引用文件</w:t>
      </w:r>
      <w:r>
        <w:tab/>
      </w:r>
      <w:r>
        <w:fldChar w:fldCharType="begin"/>
      </w:r>
      <w:r>
        <w:instrText xml:space="preserve"> PAGEREF _Toc153439703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"_Toc153439704" </w:instrText>
      </w:r>
      <w:r>
        <w:fldChar w:fldCharType="separate"/>
      </w:r>
      <w:r>
        <w:rPr>
          <w:rStyle w:val="32"/>
          <w:rFonts w:ascii="Times New Roman"/>
          <w:kern w:val="0"/>
        </w:rPr>
        <w:t>NY/T  496    肥料合理使用准则通则</w:t>
      </w:r>
      <w:r>
        <w:tab/>
      </w:r>
      <w:r>
        <w:fldChar w:fldCharType="begin"/>
      </w:r>
      <w:r>
        <w:instrText xml:space="preserve"> PAGEREF _Toc153439704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"_Toc153439705" </w:instrText>
      </w:r>
      <w:r>
        <w:fldChar w:fldCharType="separate"/>
      </w:r>
      <w:r>
        <w:rPr>
          <w:rStyle w:val="32"/>
        </w:rPr>
        <w:t>3  术语和定义</w:t>
      </w:r>
      <w:r>
        <w:tab/>
      </w:r>
      <w:r>
        <w:fldChar w:fldCharType="begin"/>
      </w:r>
      <w:r>
        <w:instrText xml:space="preserve"> PAGEREF _Toc153439705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"_Toc153439706" </w:instrText>
      </w:r>
      <w:r>
        <w:fldChar w:fldCharType="separate"/>
      </w:r>
      <w:r>
        <w:rPr>
          <w:rStyle w:val="32"/>
        </w:rPr>
        <w:t>4  建园</w:t>
      </w:r>
      <w:r>
        <w:tab/>
      </w:r>
      <w:r>
        <w:fldChar w:fldCharType="begin"/>
      </w:r>
      <w:r>
        <w:instrText xml:space="preserve"> PAGEREF _Toc153439706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"_Toc153439707" </w:instrText>
      </w:r>
      <w:r>
        <w:fldChar w:fldCharType="separate"/>
      </w:r>
      <w:r>
        <w:rPr>
          <w:rStyle w:val="32"/>
        </w:rPr>
        <w:t>5  苗木选择与定植</w:t>
      </w:r>
      <w:r>
        <w:tab/>
      </w:r>
      <w:r>
        <w:fldChar w:fldCharType="begin"/>
      </w:r>
      <w:r>
        <w:instrText xml:space="preserve"> PAGEREF _Toc153439707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"_Toc153439708" </w:instrText>
      </w:r>
      <w:r>
        <w:fldChar w:fldCharType="separate"/>
      </w:r>
      <w:r>
        <w:rPr>
          <w:rStyle w:val="32"/>
          <w14:scene3d>
            <w14:lightRig w14:rig="threePt" w14:dir="t">
              <w14:rot w14:lat="0" w14:lon="0" w14:rev="0"/>
            </w14:lightRig>
          </w14:scene3d>
        </w:rPr>
        <w:t xml:space="preserve">5.1 </w:t>
      </w:r>
      <w:r>
        <w:rPr>
          <w:rStyle w:val="32"/>
        </w:rPr>
        <w:t xml:space="preserve"> 开穴施基肥</w:t>
      </w:r>
      <w:r>
        <w:tab/>
      </w:r>
      <w:r>
        <w:fldChar w:fldCharType="begin"/>
      </w:r>
      <w:r>
        <w:instrText xml:space="preserve"> PAGEREF _Toc153439708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"_Toc153439709" </w:instrText>
      </w:r>
      <w:r>
        <w:fldChar w:fldCharType="separate"/>
      </w:r>
      <w:r>
        <w:rPr>
          <w:rStyle w:val="32"/>
          <w14:scene3d>
            <w14:lightRig w14:rig="threePt" w14:dir="t">
              <w14:rot w14:lat="0" w14:lon="0" w14:rev="0"/>
            </w14:lightRig>
          </w14:scene3d>
        </w:rPr>
        <w:t xml:space="preserve">5.2 </w:t>
      </w:r>
      <w:r>
        <w:rPr>
          <w:rStyle w:val="32"/>
        </w:rPr>
        <w:t xml:space="preserve"> 苗木选择</w:t>
      </w:r>
      <w:r>
        <w:tab/>
      </w:r>
      <w:r>
        <w:fldChar w:fldCharType="begin"/>
      </w:r>
      <w:r>
        <w:instrText xml:space="preserve"> PAGEREF _Toc153439709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"_Toc153439710" </w:instrText>
      </w:r>
      <w:r>
        <w:fldChar w:fldCharType="separate"/>
      </w:r>
      <w:r>
        <w:rPr>
          <w:rStyle w:val="32"/>
          <w14:scene3d>
            <w14:lightRig w14:rig="threePt" w14:dir="t">
              <w14:rot w14:lat="0" w14:lon="0" w14:rev="0"/>
            </w14:lightRig>
          </w14:scene3d>
        </w:rPr>
        <w:t xml:space="preserve">5.3 </w:t>
      </w:r>
      <w:r>
        <w:rPr>
          <w:rStyle w:val="32"/>
        </w:rPr>
        <w:t xml:space="preserve"> 定植</w:t>
      </w:r>
      <w:r>
        <w:tab/>
      </w:r>
      <w:r>
        <w:fldChar w:fldCharType="begin"/>
      </w:r>
      <w:r>
        <w:instrText xml:space="preserve"> PAGEREF _Toc153439710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"_Toc153439711" </w:instrText>
      </w:r>
      <w:r>
        <w:fldChar w:fldCharType="separate"/>
      </w:r>
      <w:r>
        <w:rPr>
          <w:rStyle w:val="32"/>
        </w:rPr>
        <w:t>6  幼树管理</w:t>
      </w:r>
      <w:r>
        <w:tab/>
      </w:r>
      <w:r>
        <w:fldChar w:fldCharType="begin"/>
      </w:r>
      <w:r>
        <w:instrText xml:space="preserve"> PAGEREF _Toc153439711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"_Toc153439712" </w:instrText>
      </w:r>
      <w:r>
        <w:fldChar w:fldCharType="separate"/>
      </w:r>
      <w:r>
        <w:rPr>
          <w:rStyle w:val="32"/>
          <w14:scene3d>
            <w14:lightRig w14:rig="threePt" w14:dir="t">
              <w14:rot w14:lat="0" w14:lon="0" w14:rev="0"/>
            </w14:lightRig>
          </w14:scene3d>
        </w:rPr>
        <w:t xml:space="preserve">6.1 </w:t>
      </w:r>
      <w:r>
        <w:rPr>
          <w:rStyle w:val="32"/>
        </w:rPr>
        <w:t xml:space="preserve"> 肥水管理</w:t>
      </w:r>
      <w:r>
        <w:tab/>
      </w:r>
      <w:r>
        <w:fldChar w:fldCharType="begin"/>
      </w:r>
      <w:r>
        <w:instrText xml:space="preserve"> PAGEREF _Toc153439712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"_Toc153439713" </w:instrText>
      </w:r>
      <w:r>
        <w:fldChar w:fldCharType="separate"/>
      </w:r>
      <w:r>
        <w:rPr>
          <w:rStyle w:val="32"/>
          <w14:scene3d>
            <w14:lightRig w14:rig="threePt" w14:dir="t">
              <w14:rot w14:lat="0" w14:lon="0" w14:rev="0"/>
            </w14:lightRig>
          </w14:scene3d>
        </w:rPr>
        <w:t xml:space="preserve">6.2 </w:t>
      </w:r>
      <w:r>
        <w:rPr>
          <w:rStyle w:val="32"/>
        </w:rPr>
        <w:t xml:space="preserve"> 整形修剪</w:t>
      </w:r>
      <w:r>
        <w:tab/>
      </w:r>
      <w:r>
        <w:fldChar w:fldCharType="begin"/>
      </w:r>
      <w:r>
        <w:instrText xml:space="preserve"> PAGEREF _Toc153439713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"_Toc153439714" </w:instrText>
      </w:r>
      <w:r>
        <w:fldChar w:fldCharType="separate"/>
      </w:r>
      <w:r>
        <w:rPr>
          <w:rStyle w:val="32"/>
        </w:rPr>
        <w:t>7  结果树管理</w:t>
      </w:r>
      <w:r>
        <w:tab/>
      </w:r>
      <w:r>
        <w:fldChar w:fldCharType="begin"/>
      </w:r>
      <w:r>
        <w:instrText xml:space="preserve"> PAGEREF _Toc153439714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"_Toc153439715" </w:instrText>
      </w:r>
      <w:r>
        <w:fldChar w:fldCharType="separate"/>
      </w:r>
      <w:r>
        <w:rPr>
          <w:rStyle w:val="32"/>
          <w14:scene3d>
            <w14:lightRig w14:rig="threePt" w14:dir="t">
              <w14:rot w14:lat="0" w14:lon="0" w14:rev="0"/>
            </w14:lightRig>
          </w14:scene3d>
        </w:rPr>
        <w:t xml:space="preserve">7.1 </w:t>
      </w:r>
      <w:r>
        <w:rPr>
          <w:rStyle w:val="32"/>
        </w:rPr>
        <w:t xml:space="preserve"> 肥水管理</w:t>
      </w:r>
      <w:r>
        <w:tab/>
      </w:r>
      <w:r>
        <w:fldChar w:fldCharType="begin"/>
      </w:r>
      <w:r>
        <w:instrText xml:space="preserve"> PAGEREF _Toc153439715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"_Toc153439716" </w:instrText>
      </w:r>
      <w:r>
        <w:fldChar w:fldCharType="separate"/>
      </w:r>
      <w:r>
        <w:rPr>
          <w:rStyle w:val="32"/>
          <w14:scene3d>
            <w14:lightRig w14:rig="threePt" w14:dir="t">
              <w14:rot w14:lat="0" w14:lon="0" w14:rev="0"/>
            </w14:lightRig>
          </w14:scene3d>
        </w:rPr>
        <w:t xml:space="preserve">7.2 </w:t>
      </w:r>
      <w:r>
        <w:rPr>
          <w:rStyle w:val="32"/>
        </w:rPr>
        <w:t xml:space="preserve"> 整形修剪</w:t>
      </w:r>
      <w:r>
        <w:tab/>
      </w:r>
      <w:r>
        <w:fldChar w:fldCharType="begin"/>
      </w:r>
      <w:r>
        <w:instrText xml:space="preserve"> PAGEREF _Toc153439716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"_Toc153439717" </w:instrText>
      </w:r>
      <w:r>
        <w:fldChar w:fldCharType="separate"/>
      </w:r>
      <w:r>
        <w:rPr>
          <w:rStyle w:val="32"/>
        </w:rPr>
        <w:t>8  花果管理</w:t>
      </w:r>
      <w:r>
        <w:tab/>
      </w:r>
      <w:r>
        <w:fldChar w:fldCharType="begin"/>
      </w:r>
      <w:r>
        <w:instrText xml:space="preserve"> PAGEREF _Toc153439717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"_Toc153439718" </w:instrText>
      </w:r>
      <w:r>
        <w:fldChar w:fldCharType="separate"/>
      </w:r>
      <w:r>
        <w:rPr>
          <w:rStyle w:val="32"/>
          <w14:scene3d>
            <w14:lightRig w14:rig="threePt" w14:dir="t">
              <w14:rot w14:lat="0" w14:lon="0" w14:rev="0"/>
            </w14:lightRig>
          </w14:scene3d>
        </w:rPr>
        <w:t xml:space="preserve">8.1 </w:t>
      </w:r>
      <w:r>
        <w:rPr>
          <w:rStyle w:val="32"/>
        </w:rPr>
        <w:t xml:space="preserve"> 结果母枝培育</w:t>
      </w:r>
      <w:r>
        <w:tab/>
      </w:r>
      <w:r>
        <w:fldChar w:fldCharType="begin"/>
      </w:r>
      <w:r>
        <w:instrText xml:space="preserve"> PAGEREF _Toc153439718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"_Toc153439719" </w:instrText>
      </w:r>
      <w:r>
        <w:fldChar w:fldCharType="separate"/>
      </w:r>
      <w:r>
        <w:rPr>
          <w:rStyle w:val="32"/>
          <w14:scene3d>
            <w14:lightRig w14:rig="threePt" w14:dir="t">
              <w14:rot w14:lat="0" w14:lon="0" w14:rev="0"/>
            </w14:lightRig>
          </w14:scene3d>
        </w:rPr>
        <w:t xml:space="preserve">8.2 </w:t>
      </w:r>
      <w:r>
        <w:rPr>
          <w:rStyle w:val="32"/>
        </w:rPr>
        <w:t xml:space="preserve"> 促花</w:t>
      </w:r>
      <w:r>
        <w:tab/>
      </w:r>
      <w:r>
        <w:fldChar w:fldCharType="begin"/>
      </w:r>
      <w:r>
        <w:instrText xml:space="preserve"> PAGEREF _Toc153439719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"_Toc153439720" </w:instrText>
      </w:r>
      <w:r>
        <w:fldChar w:fldCharType="separate"/>
      </w:r>
      <w:r>
        <w:rPr>
          <w:rStyle w:val="32"/>
          <w14:scene3d>
            <w14:lightRig w14:rig="threePt" w14:dir="t">
              <w14:rot w14:lat="0" w14:lon="0" w14:rev="0"/>
            </w14:lightRig>
          </w14:scene3d>
        </w:rPr>
        <w:t xml:space="preserve">8.3 </w:t>
      </w:r>
      <w:r>
        <w:rPr>
          <w:rStyle w:val="32"/>
        </w:rPr>
        <w:t xml:space="preserve"> 保花</w:t>
      </w:r>
      <w:r>
        <w:tab/>
      </w:r>
      <w:r>
        <w:fldChar w:fldCharType="begin"/>
      </w:r>
      <w:r>
        <w:instrText xml:space="preserve"> PAGEREF _Toc153439720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"_Toc153439721" </w:instrText>
      </w:r>
      <w:r>
        <w:fldChar w:fldCharType="separate"/>
      </w:r>
      <w:r>
        <w:rPr>
          <w:rStyle w:val="32"/>
          <w14:scene3d>
            <w14:lightRig w14:rig="threePt" w14:dir="t">
              <w14:rot w14:lat="0" w14:lon="0" w14:rev="0"/>
            </w14:lightRig>
          </w14:scene3d>
        </w:rPr>
        <w:t xml:space="preserve">8.4 </w:t>
      </w:r>
      <w:r>
        <w:rPr>
          <w:rStyle w:val="32"/>
        </w:rPr>
        <w:t xml:space="preserve"> 保果</w:t>
      </w:r>
      <w:r>
        <w:tab/>
      </w:r>
      <w:r>
        <w:fldChar w:fldCharType="begin"/>
      </w:r>
      <w:r>
        <w:instrText xml:space="preserve"> PAGEREF _Toc153439721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"_Toc153439722" </w:instrText>
      </w:r>
      <w:r>
        <w:fldChar w:fldCharType="separate"/>
      </w:r>
      <w:r>
        <w:rPr>
          <w:rStyle w:val="32"/>
          <w14:scene3d>
            <w14:lightRig w14:rig="threePt" w14:dir="t">
              <w14:rot w14:lat="0" w14:lon="0" w14:rev="0"/>
            </w14:lightRig>
          </w14:scene3d>
        </w:rPr>
        <w:t xml:space="preserve">8.5 </w:t>
      </w:r>
      <w:r>
        <w:rPr>
          <w:rStyle w:val="32"/>
        </w:rPr>
        <w:t xml:space="preserve"> 护果</w:t>
      </w:r>
      <w:r>
        <w:tab/>
      </w:r>
      <w:r>
        <w:fldChar w:fldCharType="begin"/>
      </w:r>
      <w:r>
        <w:instrText xml:space="preserve"> PAGEREF _Toc153439722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"_Toc153439723" </w:instrText>
      </w:r>
      <w:r>
        <w:fldChar w:fldCharType="separate"/>
      </w:r>
      <w:r>
        <w:rPr>
          <w:rStyle w:val="32"/>
        </w:rPr>
        <w:t>9  病虫害防治</w:t>
      </w:r>
      <w:r>
        <w:tab/>
      </w:r>
      <w:r>
        <w:fldChar w:fldCharType="begin"/>
      </w:r>
      <w:r>
        <w:instrText xml:space="preserve"> PAGEREF _Toc153439723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"_Toc153439724" </w:instrText>
      </w:r>
      <w:r>
        <w:fldChar w:fldCharType="separate"/>
      </w:r>
      <w:r>
        <w:rPr>
          <w:rStyle w:val="32"/>
          <w14:scene3d>
            <w14:lightRig w14:rig="threePt" w14:dir="t">
              <w14:rot w14:lat="0" w14:lon="0" w14:rev="0"/>
            </w14:lightRig>
          </w14:scene3d>
        </w:rPr>
        <w:t xml:space="preserve">9.1 </w:t>
      </w:r>
      <w:r>
        <w:rPr>
          <w:rStyle w:val="32"/>
        </w:rPr>
        <w:t xml:space="preserve"> 农业防治</w:t>
      </w:r>
      <w:r>
        <w:tab/>
      </w:r>
      <w:r>
        <w:fldChar w:fldCharType="begin"/>
      </w:r>
      <w:r>
        <w:instrText xml:space="preserve"> PAGEREF _Toc153439724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"_Toc153439725" </w:instrText>
      </w:r>
      <w:r>
        <w:fldChar w:fldCharType="separate"/>
      </w:r>
      <w:r>
        <w:rPr>
          <w:rStyle w:val="32"/>
          <w14:scene3d>
            <w14:lightRig w14:rig="threePt" w14:dir="t">
              <w14:rot w14:lat="0" w14:lon="0" w14:rev="0"/>
            </w14:lightRig>
          </w14:scene3d>
        </w:rPr>
        <w:t xml:space="preserve">9.2 </w:t>
      </w:r>
      <w:r>
        <w:rPr>
          <w:rStyle w:val="32"/>
        </w:rPr>
        <w:t xml:space="preserve"> 物理防治</w:t>
      </w:r>
      <w:r>
        <w:tab/>
      </w:r>
      <w:r>
        <w:fldChar w:fldCharType="begin"/>
      </w:r>
      <w:r>
        <w:instrText xml:space="preserve"> PAGEREF _Toc153439725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"_Toc153439726" </w:instrText>
      </w:r>
      <w:r>
        <w:fldChar w:fldCharType="separate"/>
      </w:r>
      <w:r>
        <w:rPr>
          <w:rStyle w:val="32"/>
          <w14:scene3d>
            <w14:lightRig w14:rig="threePt" w14:dir="t">
              <w14:rot w14:lat="0" w14:lon="0" w14:rev="0"/>
            </w14:lightRig>
          </w14:scene3d>
        </w:rPr>
        <w:t xml:space="preserve">9.3 </w:t>
      </w:r>
      <w:r>
        <w:rPr>
          <w:rStyle w:val="32"/>
        </w:rPr>
        <w:t xml:space="preserve"> 生物防治</w:t>
      </w:r>
      <w:r>
        <w:tab/>
      </w:r>
      <w:r>
        <w:fldChar w:fldCharType="begin"/>
      </w:r>
      <w:r>
        <w:instrText xml:space="preserve"> PAGEREF _Toc153439726 \h </w:instrText>
      </w:r>
      <w:r>
        <w:fldChar w:fldCharType="separate"/>
      </w:r>
      <w:r>
        <w:t>4</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"_Toc153439727" </w:instrText>
      </w:r>
      <w:r>
        <w:fldChar w:fldCharType="separate"/>
      </w:r>
      <w:r>
        <w:rPr>
          <w:rStyle w:val="32"/>
          <w14:scene3d>
            <w14:lightRig w14:rig="threePt" w14:dir="t">
              <w14:rot w14:lat="0" w14:lon="0" w14:rev="0"/>
            </w14:lightRig>
          </w14:scene3d>
        </w:rPr>
        <w:t xml:space="preserve">9.4 </w:t>
      </w:r>
      <w:r>
        <w:rPr>
          <w:rStyle w:val="32"/>
        </w:rPr>
        <w:t xml:space="preserve"> 化学防治</w:t>
      </w:r>
      <w:r>
        <w:tab/>
      </w:r>
      <w:r>
        <w:fldChar w:fldCharType="begin"/>
      </w:r>
      <w:r>
        <w:instrText xml:space="preserve"> PAGEREF _Toc153439727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"_Toc153439728" </w:instrText>
      </w:r>
      <w:r>
        <w:fldChar w:fldCharType="separate"/>
      </w:r>
      <w:r>
        <w:rPr>
          <w:rStyle w:val="32"/>
          <w:rFonts w:hAnsi="黑体" w:cs="黑体"/>
        </w:rPr>
        <w:t xml:space="preserve">9.4.1 </w:t>
      </w:r>
      <w:r>
        <w:rPr>
          <w:rStyle w:val="32"/>
        </w:rPr>
        <w:t xml:space="preserve"> 炭疽病</w:t>
      </w:r>
      <w:r>
        <w:tab/>
      </w:r>
      <w:r>
        <w:fldChar w:fldCharType="begin"/>
      </w:r>
      <w:r>
        <w:instrText xml:space="preserve"> PAGEREF _Toc153439728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"_Toc153439729" </w:instrText>
      </w:r>
      <w:r>
        <w:fldChar w:fldCharType="separate"/>
      </w:r>
      <w:r>
        <w:rPr>
          <w:rStyle w:val="32"/>
        </w:rPr>
        <w:t>9.4.2  灰霉病</w:t>
      </w:r>
      <w:r>
        <w:tab/>
      </w:r>
      <w:r>
        <w:fldChar w:fldCharType="begin"/>
      </w:r>
      <w:r>
        <w:instrText xml:space="preserve"> PAGEREF _Toc153439729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"_Toc153439730" </w:instrText>
      </w:r>
      <w:r>
        <w:fldChar w:fldCharType="separate"/>
      </w:r>
      <w:r>
        <w:rPr>
          <w:rStyle w:val="32"/>
        </w:rPr>
        <w:t>9.4.3  黑星病</w:t>
      </w:r>
      <w:r>
        <w:tab/>
      </w:r>
      <w:r>
        <w:fldChar w:fldCharType="begin"/>
      </w:r>
      <w:r>
        <w:instrText xml:space="preserve"> PAGEREF _Toc153439730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"_Toc153439731" </w:instrText>
      </w:r>
      <w:r>
        <w:fldChar w:fldCharType="separate"/>
      </w:r>
      <w:r>
        <w:rPr>
          <w:rStyle w:val="32"/>
        </w:rPr>
        <w:t>9.4.4  脚腐病</w:t>
      </w:r>
      <w:r>
        <w:tab/>
      </w:r>
      <w:r>
        <w:fldChar w:fldCharType="begin"/>
      </w:r>
      <w:r>
        <w:instrText xml:space="preserve"> PAGEREF _Toc153439731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"_Toc153439732" </w:instrText>
      </w:r>
      <w:r>
        <w:fldChar w:fldCharType="separate"/>
      </w:r>
      <w:r>
        <w:rPr>
          <w:rStyle w:val="32"/>
        </w:rPr>
        <w:t>9.4.5  红蜘蛛</w:t>
      </w:r>
      <w:r>
        <w:tab/>
      </w:r>
      <w:r>
        <w:fldChar w:fldCharType="begin"/>
      </w:r>
      <w:r>
        <w:instrText xml:space="preserve"> PAGEREF _Toc153439732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"_Toc153439733" </w:instrText>
      </w:r>
      <w:r>
        <w:fldChar w:fldCharType="separate"/>
      </w:r>
      <w:r>
        <w:rPr>
          <w:rStyle w:val="32"/>
        </w:rPr>
        <w:t>9.4.6  潜叶蛾</w:t>
      </w:r>
      <w:r>
        <w:tab/>
      </w:r>
      <w:r>
        <w:fldChar w:fldCharType="begin"/>
      </w:r>
      <w:r>
        <w:instrText xml:space="preserve"> PAGEREF _Toc153439733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"_Toc153439734" </w:instrText>
      </w:r>
      <w:r>
        <w:fldChar w:fldCharType="separate"/>
      </w:r>
      <w:r>
        <w:rPr>
          <w:rStyle w:val="32"/>
        </w:rPr>
        <w:t>9.4.7  蓟马</w:t>
      </w:r>
      <w:r>
        <w:tab/>
      </w:r>
      <w:r>
        <w:fldChar w:fldCharType="begin"/>
      </w:r>
      <w:r>
        <w:instrText xml:space="preserve"> PAGEREF _Toc153439734 \h </w:instrText>
      </w:r>
      <w:r>
        <w:fldChar w:fldCharType="separate"/>
      </w:r>
      <w:r>
        <w:t>4</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"_Toc153439735" </w:instrText>
      </w:r>
      <w:r>
        <w:fldChar w:fldCharType="separate"/>
      </w:r>
      <w:r>
        <w:rPr>
          <w:rStyle w:val="32"/>
        </w:rPr>
        <w:t>9.4.8  锈壁虱</w:t>
      </w:r>
      <w:bookmarkStart w:id="112" w:name="_GoBack"/>
      <w:bookmarkEnd w:id="112"/>
      <w:r>
        <w:tab/>
      </w:r>
      <w:r>
        <w:fldChar w:fldCharType="begin"/>
      </w:r>
      <w:r>
        <w:instrText xml:space="preserve"> PAGEREF _Toc153439735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"_Toc153439736" </w:instrText>
      </w:r>
      <w:r>
        <w:fldChar w:fldCharType="separate"/>
      </w:r>
      <w:r>
        <w:rPr>
          <w:rStyle w:val="32"/>
        </w:rPr>
        <w:t>10  适时采收</w:t>
      </w:r>
      <w:r>
        <w:tab/>
      </w:r>
      <w:r>
        <w:fldChar w:fldCharType="begin"/>
      </w:r>
      <w:r>
        <w:instrText xml:space="preserve"> PAGEREF _Toc153439736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"_Toc153439737" </w:instrText>
      </w:r>
      <w:r>
        <w:fldChar w:fldCharType="separate"/>
      </w:r>
      <w:r>
        <w:rPr>
          <w:rStyle w:val="32"/>
        </w:rPr>
        <w:t>11  生产档案</w:t>
      </w:r>
      <w:r>
        <w:tab/>
      </w:r>
      <w:r>
        <w:fldChar w:fldCharType="begin"/>
      </w:r>
      <w:r>
        <w:instrText xml:space="preserve"> PAGEREF _Toc153439737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"_Toc153439738" </w:instrText>
      </w:r>
      <w:r>
        <w:fldChar w:fldCharType="separate"/>
      </w:r>
      <w:r>
        <w:rPr>
          <w:rStyle w:val="32"/>
        </w:rPr>
        <w:t>附录A（资料性）  金桔栽培</w:t>
      </w:r>
      <w:r>
        <w:rPr>
          <w:rStyle w:val="32"/>
          <w:rFonts w:hint="eastAsia"/>
          <w:lang w:eastAsia="zh-CN"/>
        </w:rPr>
        <w:t>管理</w:t>
      </w:r>
      <w:r>
        <w:rPr>
          <w:rStyle w:val="32"/>
        </w:rPr>
        <w:t>记录档案</w:t>
      </w:r>
      <w:r>
        <w:tab/>
      </w:r>
      <w:r>
        <w:fldChar w:fldCharType="begin"/>
      </w:r>
      <w:r>
        <w:instrText xml:space="preserve"> PAGEREF _Toc153439738 \h </w:instrText>
      </w:r>
      <w:r>
        <w:fldChar w:fldCharType="separate"/>
      </w:r>
      <w:r>
        <w:t>6</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153439701"/>
      <w:bookmarkStart w:id="23" w:name="BookMark2"/>
      <w:r>
        <w:rPr>
          <w:spacing w:val="320"/>
        </w:rPr>
        <w:t>前</w:t>
      </w:r>
      <w:r>
        <w:t>言</w:t>
      </w:r>
      <w:bookmarkEnd w:id="22"/>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ascii="Times New Roman"/>
        </w:rPr>
        <w:t>请注意本文件的某些内容可能涉及专利。本文件的发布机构不承担识别专利的责任</w:t>
      </w:r>
      <w:r>
        <w:rPr>
          <w:rFonts w:hint="eastAsia" w:ascii="Times New Roman"/>
        </w:rPr>
        <w:t>。</w:t>
      </w:r>
    </w:p>
    <w:p>
      <w:pPr>
        <w:pStyle w:val="56"/>
        <w:ind w:firstLine="420"/>
        <w:rPr>
          <w:rFonts w:hint="eastAsia"/>
        </w:rPr>
      </w:pPr>
      <w:r>
        <w:rPr>
          <w:rFonts w:hint="eastAsia"/>
        </w:rPr>
        <w:t>本文件由</w:t>
      </w:r>
      <w:r>
        <w:rPr>
          <w:rFonts w:ascii="Times New Roman"/>
        </w:rPr>
        <w:t>梅州市农业农村局</w:t>
      </w:r>
      <w:r>
        <w:rPr>
          <w:rFonts w:hint="eastAsia"/>
        </w:rPr>
        <w:t>提出并归口。</w:t>
      </w:r>
    </w:p>
    <w:p>
      <w:pPr>
        <w:pStyle w:val="56"/>
        <w:ind w:firstLine="420"/>
        <w:rPr>
          <w:rFonts w:hint="eastAsia"/>
        </w:rPr>
      </w:pPr>
      <w:r>
        <w:rPr>
          <w:rFonts w:hint="eastAsia"/>
        </w:rPr>
        <w:t>本文件起草单位：</w:t>
      </w:r>
      <w:r>
        <w:rPr>
          <w:rFonts w:ascii="Times New Roman"/>
        </w:rPr>
        <w:t>梅州市农林科学院果树研究所、梅州市农林科学院、蕉岭县长潭镇农业农村服务中心、梅州东山谷农林园艺有限公司</w:t>
      </w:r>
      <w:r>
        <w:rPr>
          <w:rFonts w:hint="eastAsia" w:ascii="Times New Roman"/>
        </w:rPr>
        <w:t>。</w:t>
      </w:r>
    </w:p>
    <w:p>
      <w:pPr>
        <w:pStyle w:val="56"/>
        <w:ind w:firstLine="420"/>
        <w:rPr>
          <w:rFonts w:hint="eastAsia"/>
        </w:rPr>
      </w:pPr>
      <w:r>
        <w:rPr>
          <w:rFonts w:hint="eastAsia"/>
        </w:rPr>
        <w:t>本文件主要起草人：</w:t>
      </w:r>
      <w:r>
        <w:rPr>
          <w:rFonts w:ascii="Times New Roman"/>
        </w:rPr>
        <w:t>马瑞丰、甘吉昌、李月、刘蕊、苟文涛、陶星星、张志标、谢岳昌、李国华、杜小珍、曾莎芮、谭烨欢、张鉴波、周芬、刘杰、梁丽丽、黄卓莹、李陛方、</w:t>
      </w:r>
      <w:r>
        <w:rPr>
          <w:rFonts w:hint="eastAsia" w:ascii="Times New Roman"/>
        </w:rPr>
        <w:t>杨锦坤、</w:t>
      </w:r>
      <w:r>
        <w:rPr>
          <w:rFonts w:ascii="Times New Roman"/>
        </w:rPr>
        <w:t>黄碧芳、周伟平</w:t>
      </w:r>
      <w:r>
        <w:rPr>
          <w:rFonts w:hint="eastAsia" w:ascii="Times New Roman"/>
        </w:rPr>
        <w:t>。</w:t>
      </w:r>
    </w:p>
    <w:p>
      <w:pPr>
        <w:pStyle w:val="56"/>
        <w:ind w:firstLine="420"/>
      </w:pPr>
      <w:r>
        <w:rPr>
          <w:rFonts w:ascii="Times New Roman"/>
        </w:rPr>
        <w:t>本文件为首次发布</w:t>
      </w:r>
      <w:r>
        <w:rPr>
          <w:rFonts w:hint="eastAsia" w:ascii="Times New Roman"/>
        </w:rPr>
        <w:t>。</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24AD7AF496B844FCAEC56DD172C1A24D"/>
        </w:placeholder>
      </w:sdtPr>
      <w:sdtContent>
        <w:p>
          <w:pPr>
            <w:pStyle w:val="177"/>
            <w:spacing w:before="3" w:beforeLines="1" w:after="686" w:afterLines="220"/>
          </w:pPr>
          <w:bookmarkStart w:id="25" w:name="NEW_STAND_NAME"/>
          <w:r>
            <w:rPr>
              <w:rFonts w:hint="eastAsia"/>
              <w:lang w:eastAsia="zh-CN"/>
            </w:rPr>
            <w:t>金桔栽培技术规程</w:t>
          </w:r>
        </w:p>
      </w:sdtContent>
    </w:sdt>
    <w:bookmarkEnd w:id="25"/>
    <w:p>
      <w:pPr>
        <w:pStyle w:val="104"/>
        <w:spacing w:before="312" w:after="312"/>
      </w:pPr>
      <w:bookmarkStart w:id="26" w:name="_Toc97191423"/>
      <w:bookmarkStart w:id="27" w:name="_Toc17233333"/>
      <w:bookmarkStart w:id="28" w:name="_Toc153439702"/>
      <w:bookmarkStart w:id="29" w:name="_Toc17233325"/>
      <w:bookmarkStart w:id="30" w:name="_Toc26648465"/>
      <w:bookmarkStart w:id="31" w:name="_Toc26986530"/>
      <w:bookmarkStart w:id="32" w:name="_Toc26986771"/>
      <w:bookmarkStart w:id="33" w:name="_Toc26718930"/>
      <w:bookmarkStart w:id="34" w:name="_Toc24884218"/>
      <w:bookmarkStart w:id="35" w:name="_Toc24884211"/>
      <w:r>
        <w:rPr>
          <w:rFonts w:hint="eastAsia"/>
        </w:rPr>
        <w:t>范围</w:t>
      </w:r>
      <w:bookmarkEnd w:id="26"/>
      <w:bookmarkEnd w:id="27"/>
      <w:bookmarkEnd w:id="28"/>
      <w:bookmarkEnd w:id="29"/>
      <w:bookmarkEnd w:id="30"/>
      <w:bookmarkEnd w:id="31"/>
      <w:bookmarkEnd w:id="32"/>
      <w:bookmarkEnd w:id="33"/>
      <w:bookmarkEnd w:id="34"/>
      <w:bookmarkEnd w:id="35"/>
    </w:p>
    <w:p>
      <w:pPr>
        <w:pStyle w:val="56"/>
        <w:ind w:firstLine="420"/>
        <w:rPr>
          <w:rFonts w:ascii="Times New Roman"/>
          <w:szCs w:val="21"/>
        </w:rPr>
      </w:pPr>
      <w:bookmarkStart w:id="36" w:name="_Toc17233326"/>
      <w:bookmarkStart w:id="37" w:name="_Toc17233334"/>
      <w:bookmarkStart w:id="38" w:name="_Toc24884219"/>
      <w:bookmarkStart w:id="39" w:name="_Toc24884212"/>
      <w:bookmarkStart w:id="40" w:name="_Toc26648466"/>
      <w:r>
        <w:rPr>
          <w:rFonts w:ascii="Times New Roman"/>
          <w:szCs w:val="21"/>
        </w:rPr>
        <w:t>本标准规定了</w:t>
      </w:r>
      <w:r>
        <w:rPr>
          <w:rFonts w:hint="eastAsia" w:ascii="Times New Roman"/>
          <w:szCs w:val="21"/>
        </w:rPr>
        <w:t>金桔</w:t>
      </w:r>
      <w:r>
        <w:rPr>
          <w:rFonts w:ascii="Times New Roman"/>
          <w:szCs w:val="21"/>
        </w:rPr>
        <w:t>的术语和定义、砧木选择、建园标准、幼树管理、结果树管理、病虫害防控及采收标准</w:t>
      </w:r>
      <w:r>
        <w:rPr>
          <w:rFonts w:hint="eastAsia" w:ascii="Times New Roman"/>
          <w:szCs w:val="21"/>
        </w:rPr>
        <w:t>。</w:t>
      </w:r>
    </w:p>
    <w:p>
      <w:pPr>
        <w:ind w:firstLine="420" w:firstLineChars="200"/>
        <w:rPr>
          <w:rFonts w:hint="eastAsia" w:ascii="Times New Roman" w:hAnsi="Times New Roman"/>
        </w:rPr>
      </w:pPr>
      <w:r>
        <w:rPr>
          <w:rFonts w:ascii="Times New Roman" w:hAnsi="Times New Roman"/>
        </w:rPr>
        <w:t>本标准适用于梅州市</w:t>
      </w:r>
      <w:r>
        <w:rPr>
          <w:rFonts w:hint="eastAsia" w:ascii="Times New Roman" w:hAnsi="Times New Roman"/>
        </w:rPr>
        <w:t>金桔</w:t>
      </w:r>
      <w:r>
        <w:rPr>
          <w:rFonts w:ascii="Times New Roman" w:hAnsi="Times New Roman"/>
        </w:rPr>
        <w:t>的种植。</w:t>
      </w:r>
    </w:p>
    <w:p>
      <w:pPr>
        <w:pStyle w:val="104"/>
        <w:spacing w:before="312" w:after="312"/>
      </w:pPr>
      <w:bookmarkStart w:id="41" w:name="_Toc26986531"/>
      <w:bookmarkStart w:id="42" w:name="_Toc97191424"/>
      <w:bookmarkStart w:id="43" w:name="_Toc153439703"/>
      <w:bookmarkStart w:id="44" w:name="_Toc267189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7BE33777E694C838C224A90DBD237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rPr>
          <w:rFonts w:hint="eastAsia" w:ascii="Times New Roman"/>
          <w:szCs w:val="21"/>
        </w:rPr>
      </w:pPr>
      <w:r>
        <w:rPr>
          <w:rFonts w:hint="eastAsia" w:ascii="Times New Roman"/>
          <w:szCs w:val="21"/>
        </w:rPr>
        <w:t>GB 5040     柑桔苗木产地检疫规程</w:t>
      </w:r>
    </w:p>
    <w:p>
      <w:pPr>
        <w:pStyle w:val="230"/>
        <w:rPr>
          <w:rFonts w:hint="eastAsia" w:ascii="Times New Roman"/>
          <w:szCs w:val="21"/>
        </w:rPr>
      </w:pPr>
      <w:r>
        <w:rPr>
          <w:rFonts w:hint="eastAsia" w:ascii="Times New Roman"/>
          <w:szCs w:val="21"/>
        </w:rPr>
        <w:t>GB/T 9659   柑桔嫁接苗</w:t>
      </w:r>
    </w:p>
    <w:p>
      <w:pPr>
        <w:pStyle w:val="230"/>
        <w:rPr>
          <w:rFonts w:hint="eastAsia" w:ascii="Times New Roman"/>
          <w:szCs w:val="21"/>
        </w:rPr>
      </w:pPr>
      <w:r>
        <w:rPr>
          <w:rFonts w:hint="eastAsia" w:ascii="Times New Roman"/>
          <w:szCs w:val="21"/>
        </w:rPr>
        <w:t>GB/T 33470  金桔</w:t>
      </w:r>
    </w:p>
    <w:p>
      <w:pPr>
        <w:pStyle w:val="230"/>
        <w:rPr>
          <w:rFonts w:ascii="Times New Roman"/>
          <w:szCs w:val="21"/>
        </w:rPr>
      </w:pPr>
      <w:r>
        <w:rPr>
          <w:rFonts w:ascii="Times New Roman"/>
          <w:szCs w:val="21"/>
        </w:rPr>
        <w:t xml:space="preserve">GB 5084 </w:t>
      </w:r>
      <w:r>
        <w:rPr>
          <w:rFonts w:hint="eastAsia" w:ascii="Times New Roman"/>
          <w:szCs w:val="21"/>
        </w:rPr>
        <w:t xml:space="preserve">    </w:t>
      </w:r>
      <w:r>
        <w:rPr>
          <w:rFonts w:ascii="Times New Roman"/>
          <w:szCs w:val="21"/>
        </w:rPr>
        <w:t>农田灌溉水质标准</w:t>
      </w:r>
    </w:p>
    <w:p>
      <w:pPr>
        <w:pStyle w:val="2"/>
        <w:keepNext w:val="0"/>
        <w:keepLines w:val="0"/>
        <w:widowControl/>
        <w:shd w:val="clear" w:color="auto" w:fill="FFFFFF"/>
        <w:adjustRightInd/>
        <w:spacing w:before="0" w:after="0" w:line="240" w:lineRule="auto"/>
        <w:ind w:firstLine="420" w:firstLineChars="200"/>
        <w:textAlignment w:val="center"/>
        <w:rPr>
          <w:rFonts w:hint="eastAsia" w:ascii="Times New Roman" w:hAnsi="Times New Roman"/>
          <w:b w:val="0"/>
          <w:bCs w:val="0"/>
          <w:kern w:val="0"/>
          <w:sz w:val="21"/>
          <w:szCs w:val="21"/>
        </w:rPr>
      </w:pPr>
      <w:bookmarkStart w:id="46" w:name="_Toc153439704"/>
      <w:r>
        <w:rPr>
          <w:rFonts w:ascii="Times New Roman" w:hAnsi="Times New Roman"/>
          <w:b w:val="0"/>
          <w:bCs w:val="0"/>
          <w:kern w:val="0"/>
          <w:sz w:val="21"/>
          <w:szCs w:val="21"/>
        </w:rPr>
        <w:t>NY/T 496</w:t>
      </w:r>
      <w:r>
        <w:rPr>
          <w:rFonts w:hint="eastAsia" w:ascii="Times New Roman" w:hAnsi="Times New Roman"/>
          <w:b w:val="0"/>
          <w:bCs w:val="0"/>
          <w:kern w:val="0"/>
          <w:sz w:val="21"/>
          <w:szCs w:val="21"/>
        </w:rPr>
        <w:t xml:space="preserve">    肥料合理使用准则通则</w:t>
      </w:r>
      <w:bookmarkEnd w:id="46"/>
    </w:p>
    <w:p>
      <w:pPr>
        <w:rPr>
          <w:rFonts w:hint="eastAsia" w:ascii="Times New Roman" w:hAnsi="Times New Roman"/>
          <w:kern w:val="0"/>
        </w:rPr>
      </w:pPr>
      <w:r>
        <w:rPr>
          <w:rFonts w:hint="eastAsia"/>
        </w:rPr>
        <w:tab/>
      </w:r>
      <w:r>
        <w:rPr>
          <w:rFonts w:hint="eastAsia" w:ascii="Times New Roman" w:hAnsi="Times New Roman"/>
          <w:kern w:val="0"/>
        </w:rPr>
        <w:t>NY/T 1868   肥料合理使用准则.有机肥料</w:t>
      </w:r>
    </w:p>
    <w:p>
      <w:pPr>
        <w:ind w:firstLine="420" w:firstLineChars="200"/>
        <w:rPr>
          <w:rFonts w:hint="eastAsia" w:ascii="Times New Roman" w:hAnsi="Times New Roman"/>
          <w:kern w:val="0"/>
        </w:rPr>
      </w:pPr>
      <w:r>
        <w:rPr>
          <w:rFonts w:hint="eastAsia" w:ascii="Times New Roman" w:hAnsi="Times New Roman"/>
          <w:kern w:val="0"/>
        </w:rPr>
        <w:t>GB/T 27614  生物防治物和其他有益生物的输入和释放准则</w:t>
      </w:r>
    </w:p>
    <w:p>
      <w:pPr>
        <w:pStyle w:val="230"/>
        <w:rPr>
          <w:rFonts w:hint="eastAsia" w:ascii="Times New Roman"/>
          <w:szCs w:val="21"/>
        </w:rPr>
      </w:pPr>
      <w:r>
        <w:rPr>
          <w:rFonts w:ascii="Times New Roman"/>
          <w:szCs w:val="21"/>
        </w:rPr>
        <w:t xml:space="preserve">GB/T 8321  </w:t>
      </w:r>
      <w:r>
        <w:rPr>
          <w:rFonts w:hint="eastAsia" w:ascii="Times New Roman"/>
          <w:szCs w:val="21"/>
        </w:rPr>
        <w:t xml:space="preserve"> </w:t>
      </w:r>
      <w:r>
        <w:rPr>
          <w:rFonts w:ascii="Times New Roman"/>
          <w:szCs w:val="21"/>
        </w:rPr>
        <w:t>农药合理使用准则（所有部分）</w:t>
      </w:r>
    </w:p>
    <w:p>
      <w:pPr>
        <w:pStyle w:val="104"/>
        <w:spacing w:before="312" w:after="312"/>
      </w:pPr>
      <w:bookmarkStart w:id="47" w:name="_Toc153439705"/>
      <w:bookmarkStart w:id="48" w:name="_Toc97191425"/>
      <w:r>
        <w:rPr>
          <w:rFonts w:hint="eastAsia"/>
          <w:szCs w:val="21"/>
        </w:rPr>
        <w:t>术语和定义</w:t>
      </w:r>
      <w:bookmarkEnd w:id="47"/>
      <w:bookmarkEnd w:id="48"/>
    </w:p>
    <w:p>
      <w:pPr>
        <w:pStyle w:val="223"/>
        <w:ind w:left="420" w:hanging="420" w:hangingChars="200"/>
      </w:pPr>
      <w:bookmarkStart w:id="49" w:name="_Toc26986532"/>
      <w:bookmarkEnd w:id="49"/>
      <w:r>
        <w:rPr>
          <w:rFonts w:hint="eastAsia" w:ascii="黑体" w:hAnsi="黑体" w:eastAsia="黑体"/>
        </w:rPr>
        <w:t>金桔</w:t>
      </w:r>
      <w:r>
        <w:rPr>
          <w:rFonts w:ascii="黑体" w:hAnsi="黑体" w:eastAsia="黑体"/>
        </w:rPr>
        <w:br w:type="textWrapping"/>
      </w:r>
      <w:bookmarkStart w:id="50" w:name="_Hlk153438658"/>
      <w:r>
        <w:rPr>
          <w:rFonts w:hint="eastAsia"/>
          <w:szCs w:val="21"/>
        </w:rPr>
        <w:t xml:space="preserve"> </w:t>
      </w:r>
      <w:r>
        <w:t xml:space="preserve"> 芸香科</w:t>
      </w:r>
      <w:r>
        <w:rPr>
          <w:rFonts w:hint="eastAsia"/>
        </w:rPr>
        <w:t>金柑</w:t>
      </w:r>
      <w:r>
        <w:t>属</w:t>
      </w:r>
      <w:r>
        <w:rPr>
          <w:rFonts w:hint="eastAsia"/>
        </w:rPr>
        <w:t>金弹类</w:t>
      </w:r>
      <w:r>
        <w:t>常绿灌木</w:t>
      </w:r>
      <w:r>
        <w:rPr>
          <w:rFonts w:hint="eastAsia"/>
        </w:rPr>
        <w:t>或小乔木</w:t>
      </w:r>
      <w:r>
        <w:t>，</w:t>
      </w:r>
      <w:r>
        <w:rPr>
          <w:rFonts w:hint="eastAsia"/>
        </w:rPr>
        <w:t>别名金橘、金弹或金柑，</w:t>
      </w:r>
      <w:r>
        <w:t>果椭圆形或卵状椭圆形，橙黄至橙红色，皮脆而光滑、果肉鲜嫩、汁多清甜</w:t>
      </w:r>
      <w:bookmarkEnd w:id="50"/>
      <w:r>
        <w:rPr>
          <w:rFonts w:hint="eastAsia"/>
        </w:rPr>
        <w:t>。</w:t>
      </w:r>
    </w:p>
    <w:p>
      <w:pPr>
        <w:pStyle w:val="223"/>
        <w:ind w:left="420" w:hanging="420" w:hangingChars="200"/>
        <w:rPr>
          <w:rFonts w:ascii="黑体" w:hAnsi="黑体" w:eastAsia="黑体"/>
        </w:rPr>
      </w:pPr>
      <w:r>
        <w:rPr>
          <w:rFonts w:ascii="黑体" w:hAnsi="黑体" w:eastAsia="黑体"/>
        </w:rPr>
        <w:t>砧木</w:t>
      </w:r>
    </w:p>
    <w:p>
      <w:pPr>
        <w:pStyle w:val="56"/>
        <w:ind w:firstLine="420"/>
      </w:pPr>
      <w:r>
        <w:t>指嫁接繁殖时承受接穗的植株。</w:t>
      </w:r>
    </w:p>
    <w:p>
      <w:pPr>
        <w:pStyle w:val="104"/>
        <w:spacing w:before="312" w:after="312"/>
      </w:pPr>
      <w:bookmarkStart w:id="51" w:name="_Toc12992"/>
      <w:bookmarkStart w:id="52" w:name="_Toc14919"/>
      <w:r>
        <w:t xml:space="preserve"> </w:t>
      </w:r>
      <w:bookmarkStart w:id="53" w:name="_Toc153439706"/>
      <w:r>
        <w:t>建园</w:t>
      </w:r>
      <w:bookmarkEnd w:id="51"/>
      <w:bookmarkEnd w:id="52"/>
      <w:bookmarkEnd w:id="53"/>
    </w:p>
    <w:p>
      <w:pPr>
        <w:pStyle w:val="56"/>
        <w:ind w:firstLine="420"/>
      </w:pPr>
      <w:r>
        <w:rPr>
          <w:rFonts w:hint="eastAsia"/>
        </w:rPr>
        <w:t>金桔</w:t>
      </w:r>
      <w:r>
        <w:t>适应性广，各类土壤均可种植，但以沙壤土、壤土为好。要求种植地块土层深厚、有机质含量丰富、疏松通气、灌排水条件良好、地下水位低、微酸性至中性。山地选坡度25°以下的沙壤土最好。</w:t>
      </w:r>
    </w:p>
    <w:p>
      <w:pPr>
        <w:pStyle w:val="104"/>
        <w:spacing w:before="312" w:after="312"/>
      </w:pPr>
      <w:bookmarkStart w:id="54" w:name="_Toc19625"/>
      <w:bookmarkStart w:id="55" w:name="_Toc12143"/>
      <w:r>
        <w:t xml:space="preserve"> </w:t>
      </w:r>
      <w:bookmarkStart w:id="56" w:name="_Toc153439707"/>
      <w:r>
        <w:t>苗木选择与定植</w:t>
      </w:r>
      <w:bookmarkEnd w:id="54"/>
      <w:bookmarkEnd w:id="55"/>
      <w:bookmarkEnd w:id="56"/>
    </w:p>
    <w:p>
      <w:pPr>
        <w:pStyle w:val="105"/>
        <w:spacing w:before="156" w:after="156"/>
      </w:pPr>
      <w:bookmarkStart w:id="57" w:name="_Toc153439708"/>
      <w:bookmarkStart w:id="58" w:name="_Toc23487"/>
      <w:r>
        <w:t>开穴施基肥</w:t>
      </w:r>
      <w:bookmarkEnd w:id="57"/>
      <w:bookmarkEnd w:id="58"/>
    </w:p>
    <w:p>
      <w:pPr>
        <w:pStyle w:val="56"/>
        <w:ind w:firstLine="420"/>
        <w:rPr>
          <w:rFonts w:hint="eastAsia"/>
        </w:rPr>
      </w:pPr>
      <w:r>
        <w:t>平地一般株行距 2</w:t>
      </w:r>
      <w:r>
        <w:rPr>
          <w:rFonts w:hint="eastAsia"/>
        </w:rPr>
        <w:t>.5</w:t>
      </w:r>
      <w:r>
        <w:t xml:space="preserve"> m</w:t>
      </w:r>
      <w:r>
        <w:rPr>
          <w:rFonts w:eastAsia="汉仪细圆B5"/>
        </w:rPr>
        <w:t>×</w:t>
      </w:r>
      <w:r>
        <w:rPr>
          <w:rFonts w:hint="eastAsia" w:eastAsia="汉仪细圆B5"/>
        </w:rPr>
        <w:t>3.5</w:t>
      </w:r>
      <w:r>
        <w:t>m</w:t>
      </w:r>
      <w:r>
        <w:rPr>
          <w:rFonts w:hint="eastAsia"/>
        </w:rPr>
        <w:t>（</w:t>
      </w:r>
      <w:r>
        <w:t>亩</w:t>
      </w:r>
      <w:r>
        <w:rPr>
          <w:rFonts w:hint="eastAsia"/>
        </w:rPr>
        <w:t>76</w:t>
      </w:r>
      <w:r>
        <w:t>株</w:t>
      </w:r>
      <w:r>
        <w:rPr>
          <w:rFonts w:hint="eastAsia"/>
        </w:rPr>
        <w:t>）</w:t>
      </w:r>
      <w:r>
        <w:t>山坡地一般每亩种 60～70 株。扩穴规格为长、宽、深各80 cm。每穴分层施肥，先将稻草或杂草埋入底层，撒石灰2kg后覆盖一层土约25cm；再</w:t>
      </w:r>
      <w:r>
        <w:rPr>
          <w:rFonts w:hint="eastAsia"/>
        </w:rPr>
        <w:t>施</w:t>
      </w:r>
      <w:r>
        <w:t>放有机肥5kg、复合肥0.5kg、过磷酸钙0.5kg，覆土充分拌匀约25cm；最后将底层土回填至穴内，整出高出地面30cm的树盘待栽。</w:t>
      </w:r>
      <w:r>
        <w:rPr>
          <w:rFonts w:hint="eastAsia"/>
        </w:rPr>
        <w:t xml:space="preserve"> 肥料使用按照NY/T 496和NY/T 1868有关规定执行。</w:t>
      </w:r>
    </w:p>
    <w:p>
      <w:pPr>
        <w:pStyle w:val="105"/>
        <w:spacing w:before="156" w:after="156"/>
      </w:pPr>
      <w:bookmarkStart w:id="59" w:name="_Toc18023"/>
      <w:r>
        <w:t xml:space="preserve"> </w:t>
      </w:r>
      <w:bookmarkStart w:id="60" w:name="_Toc153439709"/>
      <w:r>
        <w:t>苗木选择</w:t>
      </w:r>
      <w:bookmarkEnd w:id="59"/>
      <w:bookmarkEnd w:id="60"/>
    </w:p>
    <w:p>
      <w:pPr>
        <w:pStyle w:val="56"/>
        <w:ind w:firstLine="420"/>
      </w:pPr>
      <w:r>
        <w:rPr>
          <w:rFonts w:hint="eastAsia"/>
        </w:rPr>
        <w:t>苗木质量应符合GB 5040、GB/T 9659的规定，</w:t>
      </w:r>
      <w:r>
        <w:t>优先选择</w:t>
      </w:r>
      <w:r>
        <w:rPr>
          <w:rFonts w:hint="eastAsia"/>
        </w:rPr>
        <w:t>无病毒</w:t>
      </w:r>
      <w:r>
        <w:t>容器苗种植，如果种植裸根苗，则尽量带土种植。</w:t>
      </w:r>
    </w:p>
    <w:p>
      <w:pPr>
        <w:pStyle w:val="105"/>
        <w:spacing w:before="156" w:after="156"/>
      </w:pPr>
      <w:bookmarkStart w:id="61" w:name="_Toc16087"/>
      <w:r>
        <w:t xml:space="preserve"> </w:t>
      </w:r>
      <w:bookmarkStart w:id="62" w:name="_Toc153439710"/>
      <w:r>
        <w:t>定植</w:t>
      </w:r>
      <w:bookmarkEnd w:id="61"/>
      <w:bookmarkEnd w:id="62"/>
    </w:p>
    <w:p>
      <w:pPr>
        <w:pStyle w:val="56"/>
        <w:ind w:firstLine="420"/>
      </w:pPr>
      <w:r>
        <w:t>以春季3月上中旬萌芽前定植为好，</w:t>
      </w:r>
      <w:r>
        <w:rPr>
          <w:rFonts w:hint="eastAsia"/>
        </w:rPr>
        <w:t>或</w:t>
      </w:r>
      <w:r>
        <w:t>在秋季9～10月秋梢老熟后定植。灌溉水质</w:t>
      </w:r>
      <w:r>
        <w:rPr>
          <w:rFonts w:hint="eastAsia"/>
        </w:rPr>
        <w:t>应符合</w:t>
      </w:r>
      <w:r>
        <w:t>GB 5084</w:t>
      </w:r>
      <w:r>
        <w:rPr>
          <w:rFonts w:hint="eastAsia"/>
        </w:rPr>
        <w:t>的规定。</w:t>
      </w:r>
      <w:r>
        <w:t>定植后要及时浇足定根水，种植后1个月内，根据天气情况3～4 d 淋水1次；在水田种植的要注意排水，以防烂根；做好树盘覆盖，苗木种下后最好用杂草和稻草等覆盖树盘，以减少水分蒸发，保持土壤疏松和土温，促发新根，提高成活率。</w:t>
      </w:r>
    </w:p>
    <w:p>
      <w:pPr>
        <w:pStyle w:val="104"/>
        <w:spacing w:before="312" w:after="312"/>
      </w:pPr>
      <w:bookmarkStart w:id="63" w:name="_Toc1395"/>
      <w:bookmarkStart w:id="64" w:name="_Toc153439711"/>
      <w:bookmarkStart w:id="65" w:name="_Toc22207"/>
      <w:r>
        <w:t>幼树管理</w:t>
      </w:r>
      <w:bookmarkEnd w:id="63"/>
      <w:bookmarkEnd w:id="64"/>
      <w:bookmarkEnd w:id="65"/>
    </w:p>
    <w:p>
      <w:pPr>
        <w:pStyle w:val="105"/>
        <w:spacing w:before="156" w:after="156"/>
      </w:pPr>
      <w:bookmarkStart w:id="66" w:name="_Toc19470"/>
      <w:bookmarkStart w:id="67" w:name="_Toc153439712"/>
      <w:r>
        <w:t>肥水管理</w:t>
      </w:r>
      <w:bookmarkEnd w:id="66"/>
      <w:bookmarkEnd w:id="67"/>
    </w:p>
    <w:p>
      <w:pPr>
        <w:pStyle w:val="56"/>
        <w:ind w:firstLine="420"/>
      </w:pPr>
      <w:r>
        <w:t>新植1～2年的幼树施肥以勤施薄施、少量多次为原则，并以速效肥为主。幼树第一次肥用0.5％优质复合肥液或沼气液、麸水淋施，沼气、麸水原液需稀释20～30倍后使用，淋湿幼树周边土壤，不要直接冲淋树的根部，以避免烧根。可20～30d淋施水肥1次，促使幼树尽快长出新根抽发新梢。无条件淋施水肥的，可在新梢萌芽前10～15 d沿树冠滴水线开浅沟，株施优质复合肥0.05 kg＋尿素0.05 kg，新梢转绿后再施1次。随着幼树生长，攻梢肥用量逐次增加。</w:t>
      </w:r>
    </w:p>
    <w:p>
      <w:pPr>
        <w:pStyle w:val="105"/>
        <w:spacing w:before="156" w:after="156"/>
      </w:pPr>
      <w:bookmarkStart w:id="68" w:name="_Toc13052"/>
      <w:bookmarkStart w:id="69" w:name="_Toc153439713"/>
      <w:r>
        <w:t>整形修剪</w:t>
      </w:r>
      <w:bookmarkEnd w:id="68"/>
      <w:bookmarkEnd w:id="69"/>
    </w:p>
    <w:p>
      <w:pPr>
        <w:pStyle w:val="56"/>
        <w:ind w:firstLine="420"/>
      </w:pPr>
      <w:r>
        <w:t>待主干高15～20 cm即可通过新梢短截摘心、短截枝条的方式促进分枝生长。一般选留2～3条生长健壮新梢培养成为主枝，每条主枝上再选留2～3条健壮新梢培养成副主枝。第3次新梢长出后再按前述方法培育形成骨干枝组。对选留的新梢及时摘心，以促进新梢老熟。经过一年的培育，幼树树形骨架基本形成，对分枝角度不够合理的枝组，可通过拉、吊、撑等措施进行调整。</w:t>
      </w:r>
    </w:p>
    <w:p>
      <w:pPr>
        <w:pStyle w:val="104"/>
        <w:spacing w:before="312" w:after="312"/>
      </w:pPr>
      <w:bookmarkStart w:id="70" w:name="_Toc17722"/>
      <w:bookmarkStart w:id="71" w:name="_Toc153439714"/>
      <w:bookmarkStart w:id="72" w:name="_Toc28625"/>
      <w:r>
        <w:t>结果树管理</w:t>
      </w:r>
      <w:bookmarkEnd w:id="70"/>
      <w:bookmarkEnd w:id="71"/>
      <w:bookmarkEnd w:id="72"/>
    </w:p>
    <w:p>
      <w:pPr>
        <w:pStyle w:val="105"/>
        <w:spacing w:before="156" w:after="156"/>
      </w:pPr>
      <w:bookmarkStart w:id="73" w:name="_Toc153439715"/>
      <w:bookmarkStart w:id="74" w:name="_Toc20971"/>
      <w:r>
        <w:t>肥水管理</w:t>
      </w:r>
      <w:bookmarkEnd w:id="73"/>
      <w:bookmarkEnd w:id="74"/>
    </w:p>
    <w:p>
      <w:pPr>
        <w:pStyle w:val="56"/>
        <w:ind w:firstLine="420"/>
      </w:pPr>
      <w:r>
        <w:t>在施肥管理方面，应当以有机肥为主、无机肥为辅，通常1年需要施肥5～7次，重点施好秋梢肥、壮果肥、果实膨大肥和改土肥。秋梢肥以稀释50 倍的粪水或麸水为主＋复合肥（15</w:t>
      </w:r>
      <w:r>
        <w:rPr>
          <w:rFonts w:hint="eastAsia" w:hAnsi="宋体" w:cs="宋体"/>
        </w:rPr>
        <w:t>：</w:t>
      </w:r>
      <w:r>
        <w:t>15：15）0.1～0.15 kg/株，在秋梢萌芽前淋施1～2次，每次间隔10～15天；壮果肥以50%硫酸钾型的钾肥为主，在第二次生理落果结束后，雨后或土壤湿润状态下撒施，每株施用0.25～0.5 kg；果实膨大肥以稀释50倍的粪水或麸水为主＋复合肥（15：15：15）0.1～0.25 kg/株，在果实迅速膨大期淋施2～3次，每次间隔10～15天；改土肥以农家肥为主，每株施放农家肥15～30 kg＋46.4%过磷酸钙0.1～0.25 kg，在果实全部采收后，树冠两侧滴水线处开沟，规格为长×宽×深＝40～60 cm×30～40 cm×30～50 cm，与表土拌匀后施下。水分管理坚</w:t>
      </w:r>
      <w:r>
        <w:rPr>
          <w:rFonts w:hint="eastAsia" w:hAnsi="宋体" w:cs="宋体"/>
        </w:rPr>
        <w:t>持“保持湿润，及时排灌水”</w:t>
      </w:r>
      <w:r>
        <w:t>的原则，在果实迅速膨大期和秋梢生长过程中需保证充足的水分。</w:t>
      </w:r>
    </w:p>
    <w:p>
      <w:pPr>
        <w:pStyle w:val="105"/>
        <w:spacing w:before="156" w:after="156"/>
      </w:pPr>
      <w:bookmarkStart w:id="75" w:name="_Toc22909"/>
      <w:bookmarkStart w:id="76" w:name="_Toc153439716"/>
      <w:r>
        <w:t>整形修剪</w:t>
      </w:r>
      <w:bookmarkEnd w:id="75"/>
      <w:bookmarkEnd w:id="76"/>
    </w:p>
    <w:p>
      <w:pPr>
        <w:pStyle w:val="56"/>
        <w:ind w:firstLine="420"/>
      </w:pPr>
      <w:r>
        <w:t>初结果树以扩大树冠为主，及时剪除徒长枝或者利用徒长枝，进行短截补充树冠缺陷，其它枝条短截、拉枝等，让其分枝充实树冠，促使形成圆头形树冠。盛果期以控制树冠，延长密植期为主，剪除徒长枝，回缩过长枝，采果后剪除枯枝、病虫枝、荫蔽枝、交叉重叠枝等，促进树体通风透光、枝梢分布合理。</w:t>
      </w:r>
    </w:p>
    <w:p>
      <w:pPr>
        <w:pStyle w:val="104"/>
        <w:spacing w:before="312" w:after="312"/>
        <w:rPr>
          <w:rFonts w:hint="eastAsia"/>
        </w:rPr>
      </w:pPr>
      <w:bookmarkStart w:id="77" w:name="_Toc153439717"/>
      <w:r>
        <w:rPr>
          <w:rFonts w:hint="eastAsia"/>
        </w:rPr>
        <w:t>花果管理</w:t>
      </w:r>
      <w:bookmarkEnd w:id="77"/>
    </w:p>
    <w:p>
      <w:pPr>
        <w:pStyle w:val="105"/>
        <w:spacing w:before="156" w:after="156"/>
      </w:pPr>
      <w:bookmarkStart w:id="78" w:name="_Toc153439718"/>
      <w:bookmarkStart w:id="79" w:name="_Toc12187"/>
      <w:r>
        <w:t>结果母枝培育</w:t>
      </w:r>
      <w:bookmarkEnd w:id="78"/>
      <w:bookmarkEnd w:id="79"/>
    </w:p>
    <w:p>
      <w:pPr>
        <w:pStyle w:val="56"/>
        <w:ind w:firstLine="420"/>
      </w:pPr>
      <w:r>
        <w:rPr>
          <w:rFonts w:hint="eastAsia"/>
        </w:rPr>
        <w:t>金桔</w:t>
      </w:r>
      <w:r>
        <w:t>以当年的春梢为主要结果母枝</w:t>
      </w:r>
      <w:r>
        <w:rPr>
          <w:rFonts w:hint="eastAsia"/>
        </w:rPr>
        <w:t>，在</w:t>
      </w:r>
      <w:r>
        <w:t>春梢生长过程中，适时使用叶面肥和多效唑控制春梢生长过旺，促进春梢生长粗壮。</w:t>
      </w:r>
    </w:p>
    <w:p>
      <w:pPr>
        <w:pStyle w:val="105"/>
        <w:spacing w:before="156" w:after="156"/>
      </w:pPr>
      <w:bookmarkStart w:id="80" w:name="_Toc8589"/>
      <w:bookmarkStart w:id="81" w:name="_Toc153439719"/>
      <w:r>
        <w:t>促花</w:t>
      </w:r>
      <w:bookmarkEnd w:id="80"/>
      <w:bookmarkEnd w:id="81"/>
    </w:p>
    <w:p>
      <w:pPr>
        <w:pStyle w:val="56"/>
        <w:ind w:firstLine="420"/>
      </w:pPr>
      <w:r>
        <w:t>春梢不打顶。在春梢基本老熟时，每株树冠喷施98%磷酸二氢钾7.5～15 g＋硼肥（有效成分为硼酸盐98%，硼≥17%）15～22.5 g兑水7.5 kg溶液1次。如树势旺盛，间隔7天左右加入适量多效唑再喷施树冠1次。</w:t>
      </w:r>
    </w:p>
    <w:p>
      <w:pPr>
        <w:pStyle w:val="105"/>
        <w:spacing w:before="156" w:after="156"/>
      </w:pPr>
      <w:bookmarkStart w:id="82" w:name="_Toc153439720"/>
      <w:bookmarkStart w:id="83" w:name="_Toc19152"/>
      <w:r>
        <w:t>保花</w:t>
      </w:r>
      <w:bookmarkEnd w:id="82"/>
      <w:bookmarkEnd w:id="83"/>
    </w:p>
    <w:p>
      <w:pPr>
        <w:pStyle w:val="56"/>
        <w:ind w:firstLine="420"/>
      </w:pPr>
      <w:r>
        <w:t>用0.5%噻苯隆水剂制成4000～5000倍液，在盛花期、谢花期（摇花后）喷施树冠各1次；每次喷施后的次日用硼肥（有效成分为硼酸盐98%，硼≥17%）20 g＋0.1%芸苔素12.5 g＋营养元素水肥（主要养分含量为NPK总含量≥428 g/L，微量元素总含量≥113.2 g/L）15ml兑水7.5 kg喷施树冠1次。或者使用增效液化BA＋GA（喷布型）800倍液或者6%赤霉素50～100 mg/L在谢花期保花1次。</w:t>
      </w:r>
    </w:p>
    <w:p>
      <w:pPr>
        <w:pStyle w:val="105"/>
        <w:spacing w:before="156" w:after="156"/>
      </w:pPr>
      <w:bookmarkStart w:id="84" w:name="_Toc153439721"/>
      <w:bookmarkStart w:id="85" w:name="_Toc30129"/>
      <w:r>
        <w:t>保果</w:t>
      </w:r>
      <w:bookmarkEnd w:id="84"/>
      <w:bookmarkEnd w:id="85"/>
    </w:p>
    <w:p>
      <w:pPr>
        <w:pStyle w:val="56"/>
        <w:ind w:firstLine="420"/>
      </w:pPr>
      <w:r>
        <w:t>用0.5%噻苯隆水剂制成2000～3000倍液，施用时每株加入0.136%赤·吲乙·芸苔1g，充分溶解后，在幼果期进行树冠喷施2次，第1次在谢花结束后1～2 d内，第2次在第1次后隔3～5 d。</w:t>
      </w:r>
    </w:p>
    <w:p>
      <w:pPr>
        <w:pStyle w:val="105"/>
        <w:spacing w:before="156" w:after="156"/>
        <w:rPr>
          <w:rFonts w:hint="eastAsia"/>
        </w:rPr>
      </w:pPr>
      <w:bookmarkStart w:id="86" w:name="_Toc153439722"/>
      <w:r>
        <w:rPr>
          <w:rFonts w:hint="eastAsia"/>
        </w:rPr>
        <w:t>护</w:t>
      </w:r>
      <w:r>
        <w:t>果</w:t>
      </w:r>
      <w:bookmarkEnd w:id="86"/>
    </w:p>
    <w:p>
      <w:pPr>
        <w:pStyle w:val="56"/>
        <w:ind w:firstLine="420"/>
        <w:rPr>
          <w:rFonts w:hint="eastAsia"/>
        </w:rPr>
      </w:pPr>
      <w:r>
        <w:rPr>
          <w:rFonts w:hint="eastAsia"/>
        </w:rPr>
        <w:t>挂果多的枝条容易发生果实触地、枝条撕裂断枝等状况，应用竹、木棍等进行支撑或用布条、绳子等进行吊、拉。在7月～9月使用遮阳网进行适当的树冠遮阳防日灼；在11月中下旬根据天气变化情况及时盖膜，避雨、避寒。</w:t>
      </w:r>
    </w:p>
    <w:p>
      <w:pPr>
        <w:pStyle w:val="104"/>
        <w:spacing w:before="312" w:after="312"/>
      </w:pPr>
      <w:bookmarkStart w:id="87" w:name="_Toc153439723"/>
      <w:bookmarkStart w:id="88" w:name="_Toc1168"/>
      <w:bookmarkStart w:id="89" w:name="_Toc21831"/>
      <w:r>
        <w:t>病虫害防治</w:t>
      </w:r>
      <w:bookmarkEnd w:id="87"/>
      <w:bookmarkEnd w:id="88"/>
      <w:bookmarkEnd w:id="89"/>
    </w:p>
    <w:p>
      <w:pPr>
        <w:pStyle w:val="105"/>
        <w:spacing w:before="156" w:after="156"/>
      </w:pPr>
      <w:bookmarkStart w:id="90" w:name="_Toc153439724"/>
      <w:bookmarkStart w:id="91" w:name="_Toc22853"/>
      <w:r>
        <w:t>农业防治</w:t>
      </w:r>
      <w:bookmarkEnd w:id="90"/>
      <w:bookmarkEnd w:id="91"/>
    </w:p>
    <w:p>
      <w:pPr>
        <w:pStyle w:val="56"/>
        <w:ind w:firstLine="420"/>
      </w:pPr>
      <w:r>
        <w:t>选用无病虫害的接穗及砧木育苗；栽植优质无检疫性病虫害的苗木；通过加强栽培管理，健壮树势，提高树体抗病虫能力；搞好冬季清园，减少病虫源，降低病虫基数。</w:t>
      </w:r>
    </w:p>
    <w:p>
      <w:pPr>
        <w:pStyle w:val="105"/>
        <w:spacing w:before="156" w:after="156"/>
      </w:pPr>
      <w:bookmarkStart w:id="92" w:name="_Toc153439725"/>
      <w:bookmarkStart w:id="93" w:name="_Toc23222"/>
      <w:r>
        <w:t>物理防治</w:t>
      </w:r>
      <w:bookmarkEnd w:id="92"/>
      <w:bookmarkEnd w:id="93"/>
    </w:p>
    <w:p>
      <w:pPr>
        <w:pStyle w:val="56"/>
        <w:ind w:firstLine="420"/>
      </w:pPr>
      <w:r>
        <w:t>每1～3 hm</w:t>
      </w:r>
      <w:r>
        <w:rPr>
          <w:vertAlign w:val="superscript"/>
        </w:rPr>
        <w:t>2</w:t>
      </w:r>
      <w:r>
        <w:t>使用频振式杀虫灯1台进行灯光诱杀夜蛾、金龟子、卷叶蛾等；每hm</w:t>
      </w:r>
      <w:r>
        <w:rPr>
          <w:vertAlign w:val="superscript"/>
        </w:rPr>
        <w:t>2</w:t>
      </w:r>
      <w:r>
        <w:t>使用黄板750～900张诱杀蚜虫、粉虱等；使用性诱剂制成诱杀瓶诱杀实蝇、夜蛾等，每hm</w:t>
      </w:r>
      <w:r>
        <w:rPr>
          <w:vertAlign w:val="superscript"/>
        </w:rPr>
        <w:t>2</w:t>
      </w:r>
      <w:r>
        <w:t>挂150瓶～300瓶；人工捕杀天牛、蜗牛、蚱蝉、金龟子等。</w:t>
      </w:r>
    </w:p>
    <w:p>
      <w:pPr>
        <w:pStyle w:val="105"/>
        <w:spacing w:before="156" w:after="156"/>
      </w:pPr>
      <w:bookmarkStart w:id="94" w:name="_Toc3347"/>
      <w:bookmarkStart w:id="95" w:name="_Toc153439726"/>
      <w:r>
        <w:t>生物防治</w:t>
      </w:r>
      <w:bookmarkEnd w:id="94"/>
      <w:bookmarkEnd w:id="95"/>
    </w:p>
    <w:p>
      <w:pPr>
        <w:pStyle w:val="56"/>
        <w:ind w:firstLine="420"/>
      </w:pPr>
      <w:r>
        <w:rPr>
          <w:rFonts w:hint="eastAsia"/>
        </w:rPr>
        <w:t>生物防治按照GB/T 27614的规定执行。</w:t>
      </w:r>
      <w:r>
        <w:t>用胡瓜绥螨防治</w:t>
      </w:r>
      <w:r>
        <w:rPr>
          <w:rFonts w:hint="eastAsia"/>
        </w:rPr>
        <w:t>金桔</w:t>
      </w:r>
      <w:r>
        <w:t>害螨，日均温20℃以上，春季在4月中下旬或秋季9月10日前释放，每株每年释放1包（≥300头/包）。</w:t>
      </w:r>
    </w:p>
    <w:p>
      <w:pPr>
        <w:pStyle w:val="105"/>
        <w:spacing w:before="156" w:after="156"/>
      </w:pPr>
      <w:bookmarkStart w:id="96" w:name="_Toc29984"/>
      <w:bookmarkStart w:id="97" w:name="_Toc153439727"/>
      <w:r>
        <w:t>化学防治</w:t>
      </w:r>
      <w:bookmarkEnd w:id="96"/>
      <w:bookmarkEnd w:id="97"/>
    </w:p>
    <w:p>
      <w:pPr>
        <w:pStyle w:val="65"/>
        <w:spacing w:before="156" w:after="156"/>
        <w:rPr>
          <w:rFonts w:hint="eastAsia" w:hAnsi="黑体" w:cs="黑体"/>
        </w:rPr>
      </w:pPr>
      <w:bookmarkStart w:id="98" w:name="_Toc153439728"/>
      <w:r>
        <w:rPr>
          <w:rFonts w:hint="eastAsia"/>
        </w:rPr>
        <w:t>炭疽病</w:t>
      </w:r>
      <w:bookmarkEnd w:id="98"/>
    </w:p>
    <w:p>
      <w:pPr>
        <w:pStyle w:val="56"/>
        <w:ind w:firstLine="420"/>
      </w:pPr>
      <w:r>
        <w:rPr>
          <w:rFonts w:hint="eastAsia"/>
        </w:rPr>
        <w:t>农药使用严格按照GB/T 8321的规定执行。</w:t>
      </w:r>
      <w:r>
        <w:t>在新梢萌芽和生长期、幼果期重点防治，可选用50%多菌灵800倍液，或65%代森锌可湿性粉剂500倍液，或70%甲基托布津可湿性粉剂800～1000倍液，每隔7～10天树冠喷雾1次，连续2～3次。</w:t>
      </w:r>
    </w:p>
    <w:p>
      <w:pPr>
        <w:pStyle w:val="65"/>
        <w:spacing w:before="156" w:after="156"/>
      </w:pPr>
      <w:bookmarkStart w:id="99" w:name="_Toc153439729"/>
      <w:r>
        <w:t>灰霉病</w:t>
      </w:r>
      <w:bookmarkEnd w:id="99"/>
    </w:p>
    <w:p>
      <w:pPr>
        <w:pStyle w:val="56"/>
        <w:ind w:firstLine="420"/>
      </w:pPr>
      <w:r>
        <w:t>在花蕾期至幼果期重点防治，可选用50%异菌脲1000～1500倍液，或41%聚砹·嘧霉胺1000倍液，或40%腐霉利可湿性粉剂750～1000倍液，每隔3～5天树冠喷雾1次，连续2～3次。</w:t>
      </w:r>
    </w:p>
    <w:p>
      <w:pPr>
        <w:pStyle w:val="65"/>
        <w:spacing w:before="156" w:after="156"/>
        <w:rPr>
          <w:rFonts w:hint="eastAsia"/>
        </w:rPr>
      </w:pPr>
      <w:bookmarkStart w:id="100" w:name="_Toc153439730"/>
      <w:r>
        <w:rPr>
          <w:rFonts w:hint="eastAsia"/>
        </w:rPr>
        <w:t>黑星病</w:t>
      </w:r>
      <w:bookmarkEnd w:id="100"/>
    </w:p>
    <w:p>
      <w:pPr>
        <w:pStyle w:val="56"/>
        <w:ind w:firstLine="420"/>
      </w:pPr>
      <w:r>
        <w:t>在果实膨大期至成熟期重点防治，可选用50%多霉灵可湿性粉剂1500倍液，或50%甲基硫菌灵可湿性粉剂1500倍液，或50%苯菌灵可湿性粉剂1500倍液，每隔10～15天树冠喷雾1次，连续3～4次。</w:t>
      </w:r>
    </w:p>
    <w:p>
      <w:pPr>
        <w:pStyle w:val="65"/>
        <w:spacing w:before="156" w:after="156"/>
        <w:rPr>
          <w:rFonts w:hint="eastAsia"/>
        </w:rPr>
      </w:pPr>
      <w:bookmarkStart w:id="101" w:name="_Toc153439731"/>
      <w:r>
        <w:rPr>
          <w:rFonts w:hint="eastAsia"/>
        </w:rPr>
        <w:t>脚腐病</w:t>
      </w:r>
      <w:bookmarkEnd w:id="101"/>
    </w:p>
    <w:p>
      <w:pPr>
        <w:pStyle w:val="56"/>
        <w:ind w:firstLine="420"/>
      </w:pPr>
      <w:r>
        <w:t>雨季重点防治，在发病初期及时排水，避免积水；发现病斑，及时将腐烂的皮层、已变色的木质部刮除干净，涂药保护，使用药剂为25%甲霜灵可湿性粉剂200～300倍液，或1：1：100波尔多液（2%～3%硫酸铜液），或50%多菌灵可湿性粉剂100～200倍液。每隔5～7天涂病处1次，连续2～3次。</w:t>
      </w:r>
    </w:p>
    <w:p>
      <w:pPr>
        <w:pStyle w:val="65"/>
        <w:spacing w:before="156" w:after="156"/>
        <w:rPr>
          <w:rFonts w:hint="eastAsia"/>
        </w:rPr>
      </w:pPr>
      <w:bookmarkStart w:id="102" w:name="_Toc153439732"/>
      <w:r>
        <w:rPr>
          <w:rFonts w:hint="eastAsia"/>
        </w:rPr>
        <w:t>红蜘蛛</w:t>
      </w:r>
      <w:bookmarkEnd w:id="102"/>
    </w:p>
    <w:p>
      <w:pPr>
        <w:pStyle w:val="56"/>
        <w:ind w:firstLine="420"/>
      </w:pPr>
      <w:r>
        <w:t>新梢萌芽和生长期、幼果期重点防治，可选用73%克螨特乳油2000～3000倍液，或1.8%阿维菌素乳油3000～4000倍液，或25%三唑锡可湿性粉剂1500～2000倍液，或20%双甲脒乳油1000～1500倍液，每隔3～5天树冠喷雾1次，连续2～3次。</w:t>
      </w:r>
    </w:p>
    <w:p>
      <w:pPr>
        <w:pStyle w:val="65"/>
        <w:spacing w:before="156" w:after="156"/>
        <w:rPr>
          <w:rFonts w:hint="eastAsia"/>
        </w:rPr>
      </w:pPr>
      <w:bookmarkStart w:id="103" w:name="_Toc153439733"/>
      <w:r>
        <w:rPr>
          <w:rFonts w:hint="eastAsia"/>
        </w:rPr>
        <w:t>潜叶蛾</w:t>
      </w:r>
      <w:bookmarkEnd w:id="103"/>
    </w:p>
    <w:p>
      <w:pPr>
        <w:pStyle w:val="56"/>
        <w:ind w:firstLine="420"/>
      </w:pPr>
      <w:r>
        <w:t>新梢萌芽和生长期、幼果期重点防治，可选用4.5%联苯菊酯2000～3000倍液，或98%杀螟丹可溶性粉剂1500～2000倍液，或1.8%阿维菌素乳油2000～4000倍液。每隔7～10天树冠喷雾1次，连续3～4次。</w:t>
      </w:r>
    </w:p>
    <w:p>
      <w:pPr>
        <w:pStyle w:val="65"/>
        <w:spacing w:before="156" w:after="156"/>
        <w:rPr>
          <w:rFonts w:hint="eastAsia"/>
        </w:rPr>
      </w:pPr>
      <w:bookmarkStart w:id="104" w:name="_Toc153439734"/>
      <w:r>
        <w:rPr>
          <w:rFonts w:hint="eastAsia"/>
        </w:rPr>
        <w:t>蓟马</w:t>
      </w:r>
      <w:bookmarkEnd w:id="104"/>
    </w:p>
    <w:p>
      <w:pPr>
        <w:pStyle w:val="56"/>
        <w:ind w:firstLine="420"/>
      </w:pPr>
      <w:r>
        <w:t>防治蓟马可选用20%甲氰菊酯乳油或10%氯氰菊酯乳油3000～4000倍液、90%晶体敌百虫或50%马拉硫磷乳油或2.5%鱼藤酮乳油1000倍液，每隔5～7天树冠喷雾1次，连续2～3次。</w:t>
      </w:r>
    </w:p>
    <w:p>
      <w:pPr>
        <w:pStyle w:val="65"/>
        <w:spacing w:before="156" w:after="156"/>
        <w:rPr>
          <w:rFonts w:hint="eastAsia"/>
        </w:rPr>
      </w:pPr>
      <w:bookmarkStart w:id="105" w:name="_Toc153439735"/>
      <w:r>
        <w:rPr>
          <w:rFonts w:hint="eastAsia"/>
        </w:rPr>
        <w:t>锈壁虱</w:t>
      </w:r>
      <w:bookmarkEnd w:id="105"/>
    </w:p>
    <w:p>
      <w:pPr>
        <w:pStyle w:val="56"/>
        <w:ind w:firstLine="420"/>
      </w:pPr>
      <w:r>
        <w:t>防治锈壁虱可选用1.8%阿维菌素4000～5000倍液，或20%双甲脒2000～2500倍液，或20%哒螨灵2500～3000倍液，或50%苯丁锡2500～3000倍液，或73%克螨特3000～3500倍液，第一次树冠喷雾后，隔7天再喷1次，以后每隔15～20天喷1次，连续3次～4次。</w:t>
      </w:r>
    </w:p>
    <w:p>
      <w:pPr>
        <w:pStyle w:val="104"/>
        <w:spacing w:before="312" w:after="312"/>
      </w:pPr>
      <w:bookmarkStart w:id="106" w:name="_Toc5630"/>
      <w:bookmarkStart w:id="107" w:name="_Toc153439736"/>
      <w:bookmarkStart w:id="108" w:name="_Toc11129"/>
      <w:r>
        <w:t>适时采收</w:t>
      </w:r>
      <w:bookmarkEnd w:id="106"/>
      <w:bookmarkEnd w:id="107"/>
      <w:bookmarkEnd w:id="108"/>
    </w:p>
    <w:p>
      <w:pPr>
        <w:pStyle w:val="56"/>
        <w:ind w:firstLine="420"/>
      </w:pPr>
      <w:r>
        <w:t>当果实长至八成以上成熟度时便可进行采收。为了防止采下来的果实因含水量过高而保存期短、易腐烂，应当在采收7～14 d前停止浇水或灌水；为了保证采收果实的品质，应当在采收前1个月停止各种农药的施用</w:t>
      </w:r>
      <w:r>
        <w:rPr>
          <w:rFonts w:hint="eastAsia"/>
        </w:rPr>
        <w:t>，果品质量符合GB/T 33470规定</w:t>
      </w:r>
      <w:r>
        <w:t>。</w:t>
      </w:r>
    </w:p>
    <w:p>
      <w:pPr>
        <w:pStyle w:val="104"/>
        <w:spacing w:before="312" w:after="312"/>
      </w:pPr>
      <w:bookmarkStart w:id="109" w:name="_Toc153439737"/>
      <w:r>
        <w:t>生产档案</w:t>
      </w:r>
      <w:bookmarkEnd w:id="109"/>
    </w:p>
    <w:p>
      <w:pPr>
        <w:pStyle w:val="56"/>
        <w:ind w:firstLine="420"/>
      </w:pPr>
      <w:r>
        <w:t>参见附录</w:t>
      </w:r>
      <w:r>
        <w:rPr>
          <w:rFonts w:hint="eastAsia"/>
        </w:rPr>
        <w:t>A</w:t>
      </w:r>
      <w:r>
        <w:t>中表</w:t>
      </w:r>
      <w:r>
        <w:rPr>
          <w:rFonts w:hint="eastAsia"/>
        </w:rPr>
        <w:t>A</w:t>
      </w:r>
      <w:r>
        <w:t>.1，详细记录</w:t>
      </w:r>
      <w:r>
        <w:rPr>
          <w:rFonts w:hint="eastAsia"/>
        </w:rPr>
        <w:t>金桔</w:t>
      </w:r>
      <w:r>
        <w:t>果园土肥水管理、花果管理、病虫害防治及采收等各环</w:t>
      </w:r>
      <w:r>
        <w:rPr>
          <w:rFonts w:hint="eastAsia"/>
        </w:rPr>
        <w:t>节所</w:t>
      </w:r>
      <w:r>
        <w:t>采取的具体措施和时间。</w:t>
      </w:r>
    </w:p>
    <w:p>
      <w:pPr>
        <w:sectPr>
          <w:pgSz w:w="11906" w:h="16838"/>
          <w:pgMar w:top="1928" w:right="1134" w:bottom="1134" w:left="1134" w:header="1418" w:footer="1134" w:gutter="284"/>
          <w:pgNumType w:start="1"/>
          <w:cols w:space="425" w:num="1"/>
          <w:formProt w:val="0"/>
          <w:docGrid w:type="lines" w:linePitch="312" w:charSpace="0"/>
        </w:sectPr>
      </w:pPr>
    </w:p>
    <w:bookmarkEnd w:id="24"/>
    <w:p>
      <w:pPr>
        <w:pStyle w:val="198"/>
        <w:rPr>
          <w:rFonts w:hint="eastAsia"/>
          <w:vanish w:val="0"/>
        </w:rPr>
      </w:pPr>
      <w:bookmarkStart w:id="110" w:name="BookMark5"/>
    </w:p>
    <w:p>
      <w:pPr>
        <w:pStyle w:val="199"/>
        <w:rPr>
          <w:rFonts w:hint="eastAsia"/>
          <w:vanish w:val="0"/>
        </w:rPr>
      </w:pPr>
    </w:p>
    <w:p>
      <w:pPr>
        <w:pStyle w:val="76"/>
        <w:spacing w:after="156"/>
        <w:rPr>
          <w:rFonts w:hint="eastAsia"/>
        </w:rPr>
      </w:pPr>
      <w:r>
        <w:br w:type="textWrapping"/>
      </w:r>
      <w:bookmarkStart w:id="111" w:name="_Toc153439738"/>
      <w:r>
        <w:rPr>
          <w:rFonts w:hint="eastAsia"/>
        </w:rPr>
        <w:t>（资料性）</w:t>
      </w:r>
      <w:r>
        <w:br w:type="textWrapping"/>
      </w:r>
      <w:r>
        <w:rPr>
          <w:rFonts w:hint="eastAsia"/>
        </w:rPr>
        <w:t>金桔标栽培</w:t>
      </w:r>
      <w:r>
        <w:rPr>
          <w:rFonts w:hint="eastAsia"/>
          <w:lang w:eastAsia="zh-CN"/>
        </w:rPr>
        <w:t>管理</w:t>
      </w:r>
      <w:r>
        <w:rPr>
          <w:rFonts w:hint="eastAsia"/>
        </w:rPr>
        <w:t>记录档案</w:t>
      </w:r>
      <w:bookmarkEnd w:id="111"/>
    </w:p>
    <w:p>
      <w:pPr>
        <w:pStyle w:val="77"/>
        <w:spacing w:before="156" w:after="156"/>
        <w:rPr>
          <w:rFonts w:hint="eastAsia"/>
        </w:rPr>
      </w:pPr>
      <w:r>
        <w:rPr>
          <w:rFonts w:hint="eastAsia" w:hAnsi="黑体" w:cs="黑体"/>
          <w:szCs w:val="21"/>
        </w:rPr>
        <w:t>金桔标栽培</w:t>
      </w:r>
      <w:r>
        <w:rPr>
          <w:rFonts w:hint="eastAsia" w:hAnsi="黑体" w:cs="黑体"/>
          <w:szCs w:val="21"/>
          <w:lang w:eastAsia="zh-CN"/>
        </w:rPr>
        <w:t>管理</w:t>
      </w:r>
      <w:r>
        <w:rPr>
          <w:rFonts w:hint="eastAsia" w:hAnsi="黑体" w:cs="黑体"/>
          <w:szCs w:val="21"/>
        </w:rPr>
        <w:t>记录档案</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5"/>
        <w:gridCol w:w="2333"/>
        <w:gridCol w:w="2333"/>
        <w:gridCol w:w="23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gridSpan w:val="4"/>
            <w:tcBorders>
              <w:top w:val="single" w:color="auto" w:sz="8" w:space="0"/>
              <w:bottom w:val="single" w:color="auto" w:sz="8" w:space="0"/>
            </w:tcBorders>
            <w:shd w:val="clear" w:color="auto" w:fill="auto"/>
            <w:vAlign w:val="center"/>
          </w:tcPr>
          <w:p>
            <w:pPr>
              <w:pStyle w:val="178"/>
              <w:rPr>
                <w:rFonts w:hint="eastAsia"/>
              </w:rPr>
            </w:pPr>
            <w:r>
              <w:rPr>
                <w:rFonts w:hint="eastAsia" w:ascii="汉仪细圆B5" w:hAnsi="汉仪细圆B5" w:eastAsia="汉仪细圆B5" w:cs="汉仪细圆B5"/>
                <w:szCs w:val="21"/>
              </w:rPr>
              <w:t>××××</w:t>
            </w:r>
            <w:r>
              <w:rPr>
                <w:rFonts w:hint="eastAsia" w:ascii="Times New Roman"/>
                <w:szCs w:val="21"/>
              </w:rPr>
              <w:t>果园金桔栽培</w:t>
            </w:r>
            <w:r>
              <w:rPr>
                <w:rFonts w:hint="eastAsia" w:ascii="Times New Roman"/>
                <w:szCs w:val="21"/>
                <w:lang w:eastAsia="zh-CN"/>
              </w:rPr>
              <w:t>管理</w:t>
            </w:r>
            <w:r>
              <w:rPr>
                <w:rFonts w:hint="eastAsia" w:ascii="Times New Roman"/>
                <w:szCs w:val="21"/>
              </w:rPr>
              <w:t>记录档案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tcBorders>
              <w:top w:val="single" w:color="auto" w:sz="8" w:space="0"/>
            </w:tcBorders>
            <w:shd w:val="clear" w:color="auto" w:fill="auto"/>
            <w:vAlign w:val="center"/>
          </w:tcPr>
          <w:p>
            <w:pPr>
              <w:pStyle w:val="178"/>
              <w:rPr>
                <w:rFonts w:hint="eastAsia"/>
              </w:rPr>
            </w:pPr>
            <w:r>
              <w:rPr>
                <w:rFonts w:hint="eastAsia" w:ascii="Times New Roman"/>
                <w:szCs w:val="21"/>
              </w:rPr>
              <w:t>时间（-月-日）</w:t>
            </w:r>
          </w:p>
        </w:tc>
        <w:tc>
          <w:tcPr>
            <w:tcW w:w="2333" w:type="dxa"/>
            <w:tcBorders>
              <w:top w:val="single" w:color="auto" w:sz="8" w:space="0"/>
            </w:tcBorders>
            <w:shd w:val="clear" w:color="auto" w:fill="auto"/>
            <w:vAlign w:val="center"/>
          </w:tcPr>
          <w:p>
            <w:pPr>
              <w:pStyle w:val="178"/>
              <w:rPr>
                <w:rFonts w:hint="eastAsia"/>
              </w:rPr>
            </w:pPr>
            <w:r>
              <w:rPr>
                <w:rFonts w:hint="eastAsia" w:ascii="Times New Roman"/>
                <w:szCs w:val="21"/>
              </w:rPr>
              <w:t>工作内容</w:t>
            </w:r>
          </w:p>
        </w:tc>
        <w:tc>
          <w:tcPr>
            <w:tcW w:w="2333" w:type="dxa"/>
            <w:tcBorders>
              <w:top w:val="single" w:color="auto" w:sz="8" w:space="0"/>
            </w:tcBorders>
            <w:shd w:val="clear" w:color="auto" w:fill="auto"/>
            <w:vAlign w:val="center"/>
          </w:tcPr>
          <w:p>
            <w:pPr>
              <w:pStyle w:val="178"/>
              <w:rPr>
                <w:rFonts w:hint="eastAsia"/>
              </w:rPr>
            </w:pPr>
            <w:r>
              <w:rPr>
                <w:rFonts w:hint="eastAsia" w:ascii="Times New Roman"/>
                <w:szCs w:val="21"/>
              </w:rPr>
              <w:t>具体措施</w:t>
            </w:r>
          </w:p>
        </w:tc>
        <w:tc>
          <w:tcPr>
            <w:tcW w:w="2333" w:type="dxa"/>
            <w:tcBorders>
              <w:top w:val="single" w:color="auto" w:sz="8" w:space="0"/>
            </w:tcBorders>
            <w:shd w:val="clear" w:color="auto" w:fill="auto"/>
            <w:vAlign w:val="center"/>
          </w:tcPr>
          <w:p>
            <w:pPr>
              <w:pStyle w:val="178"/>
              <w:rPr>
                <w:rFonts w:hint="eastAsia"/>
              </w:rPr>
            </w:pPr>
            <w:r>
              <w:rPr>
                <w:rFonts w:hint="eastAsia" w:ascii="Times New Roman"/>
                <w:szCs w:val="21"/>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5"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c>
          <w:tcPr>
            <w:tcW w:w="2333" w:type="dxa"/>
            <w:shd w:val="clear" w:color="auto" w:fill="auto"/>
            <w:vAlign w:val="center"/>
          </w:tcPr>
          <w:p>
            <w:pPr>
              <w:pStyle w:val="178"/>
              <w:rPr>
                <w:rFonts w:hint="eastAsia"/>
              </w:rPr>
            </w:pPr>
          </w:p>
        </w:tc>
      </w:tr>
      <w:bookmarkEnd w:id="110"/>
    </w:tbl>
    <w:p>
      <w:pPr>
        <w:pStyle w:val="56"/>
        <w:ind w:firstLine="0" w:firstLineChars="0"/>
        <w:rPr>
          <w:rFonts w:hint="eastAsia"/>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圆B5"/>
    <w:panose1 w:val="02010600030101010101"/>
    <w:charset w:val="86"/>
    <w:family w:val="auto"/>
    <w:pitch w:val="default"/>
    <w:sig w:usb0="00000000" w:usb1="00000000" w:usb2="00000016" w:usb3="00000000" w:csb0="0004000F" w:csb1="00000000"/>
  </w:font>
  <w:font w:name="等线 Light">
    <w:altName w:val="汉仪中圆B5"/>
    <w:panose1 w:val="02010600030101010101"/>
    <w:charset w:val="86"/>
    <w:family w:val="auto"/>
    <w:pitch w:val="default"/>
    <w:sig w:usb0="00000000" w:usb1="00000000" w:usb2="00000016" w:usb3="00000000" w:csb0="0004000F" w:csb1="00000000"/>
  </w:font>
  <w:font w:name="汉仪细圆B5">
    <w:panose1 w:val="02010600000101010101"/>
    <w:charset w:val="88"/>
    <w:family w:val="auto"/>
    <w:pitch w:val="default"/>
    <w:sig w:usb0="00000001" w:usb1="080E0800" w:usb2="00000002" w:usb3="00000000" w:csb0="0010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汉仪中圆B5">
    <w:panose1 w:val="02010600000101010101"/>
    <w:charset w:val="88"/>
    <w:family w:val="auto"/>
    <w:pitch w:val="default"/>
    <w:sig w:usb0="00000001" w:usb1="080E0800" w:usb2="00000002"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dit="forms" w:enforcement="1" w:cryptProviderType="rsaAES" w:cryptAlgorithmClass="hash" w:cryptAlgorithmType="typeAny" w:cryptAlgorithmSid="14" w:cryptSpinCount="100000" w:hash="nXaWKlhUdAYyvP5GHMFQbQ1YfuEpHAKpI2yqyDtMzZ9NiauQaQFmfZvR9MxVynJTcs3dJsEcvTG+ODCYLE5bKA==" w:salt="Nv51Xha37G+7Yw9xwaHwn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F1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86"/>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B69"/>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DB5"/>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A73"/>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88E"/>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0F19"/>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E7E097C"/>
    <w:rsid w:val="5DFA6572"/>
    <w:rsid w:val="7F756A76"/>
    <w:rsid w:val="7FBCEA6D"/>
    <w:rsid w:val="7FFEB79F"/>
    <w:rsid w:val="CF97563E"/>
    <w:rsid w:val="DF572EFA"/>
    <w:rsid w:val="E4D91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4AD7AF496B844FCAEC56DD172C1A24D"/>
        <w:style w:val=""/>
        <w:category>
          <w:name w:val="常规"/>
          <w:gallery w:val="placeholder"/>
        </w:category>
        <w:types>
          <w:type w:val="bbPlcHdr"/>
        </w:types>
        <w:behaviors>
          <w:behavior w:val="content"/>
        </w:behaviors>
        <w:description w:val=""/>
        <w:guid w:val="{B3C69241-FBB7-4019-A0F2-95A79967F22D}"/>
      </w:docPartPr>
      <w:docPartBody>
        <w:p>
          <w:pPr>
            <w:pStyle w:val="5"/>
          </w:pPr>
          <w:r>
            <w:rPr>
              <w:rStyle w:val="4"/>
              <w:rFonts w:hint="eastAsia"/>
            </w:rPr>
            <w:t>单击或点击此处输入文字。</w:t>
          </w:r>
        </w:p>
      </w:docPartBody>
    </w:docPart>
    <w:docPart>
      <w:docPartPr>
        <w:name w:val="87BE33777E694C838C224A90DBD237D4"/>
        <w:style w:val=""/>
        <w:category>
          <w:name w:val="常规"/>
          <w:gallery w:val="placeholder"/>
        </w:category>
        <w:types>
          <w:type w:val="bbPlcHdr"/>
        </w:types>
        <w:behaviors>
          <w:behavior w:val="content"/>
        </w:behaviors>
        <w:description w:val=""/>
        <w:guid w:val="{FF9BBAC8-C6CB-4C70-BFB6-217545FC5CDB}"/>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圆B5"/>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圆B5">
    <w:panose1 w:val="02010600000101010101"/>
    <w:charset w:val="88"/>
    <w:family w:val="auto"/>
    <w:pitch w:val="default"/>
    <w:sig w:usb0="00000001" w:usb1="080E0800" w:usb2="00000002" w:usb3="00000000" w:csb0="00100000" w:csb1="00000000"/>
  </w:font>
  <w:font w:name="汉仪仿宋S">
    <w:panose1 w:val="00020600040101000101"/>
    <w:charset w:val="86"/>
    <w:family w:val="auto"/>
    <w:pitch w:val="default"/>
    <w:sig w:usb0="A00002BF" w:usb1="38CF7CFA" w:usb2="00000016"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4AD7AF496B844FCAEC56DD172C1A24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7BE33777E694C838C224A90DBD237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22CA51CE55E431F9A6331FB265541E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3556</Words>
  <Characters>4445</Characters>
  <Lines>740</Lines>
  <Paragraphs>666</Paragraphs>
  <TotalTime>5</TotalTime>
  <ScaleCrop>false</ScaleCrop>
  <LinksUpToDate>false</LinksUpToDate>
  <CharactersWithSpaces>7335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2023-12-15T01:54:00Z</dcterms:created>
  <dc:creator>Administrator</dc:creator>
  <dc:description>&lt;config cover="true" show_menu="true" version="1.0.0" doctype="SDKXY"&gt;_x000d_
&lt;/config&gt;</dc:description>
  <cp:lastModifiedBy>甘吉昌</cp:lastModifiedBy>
  <cp:lastPrinted>2020-08-31T10:00:00Z</cp:lastPrinted>
  <dcterms:modified xsi:type="dcterms:W3CDTF">2023-12-18T09:43:00Z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