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28"/>
          <w:szCs w:val="28"/>
          <w:lang w:eastAsia="zh-CN"/>
        </w:rPr>
        <w:t>附件</w:t>
      </w:r>
      <w:r>
        <w:rPr>
          <w:rFonts w:hint="eastAsia" w:ascii="CESI宋体-GB13000" w:hAnsi="CESI宋体-GB13000" w:eastAsia="CESI宋体-GB13000" w:cs="CESI宋体-GB13000"/>
          <w:sz w:val="28"/>
          <w:szCs w:val="28"/>
          <w:lang w:val="en-US" w:eastAsia="zh-CN"/>
        </w:rPr>
        <w:t>3</w:t>
      </w:r>
    </w:p>
    <w:tbl>
      <w:tblPr>
        <w:tblStyle w:val="5"/>
        <w:tblpPr w:leftFromText="180" w:rightFromText="180" w:vertAnchor="page" w:horzAnchor="page" w:tblpX="1431" w:tblpY="309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95"/>
        <w:gridCol w:w="2822"/>
        <w:gridCol w:w="2104"/>
        <w:gridCol w:w="2101"/>
        <w:gridCol w:w="2104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229" w:type="pct"/>
            <w:gridSpan w:val="3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综合实力（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Cs w:val="21"/>
              </w:rPr>
              <w:t>0分）</w:t>
            </w:r>
          </w:p>
        </w:tc>
        <w:tc>
          <w:tcPr>
            <w:tcW w:w="148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商务评分（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</w:rPr>
              <w:t>0分）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价格评分（10分）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92" w:type="pct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经营资质</w:t>
            </w:r>
          </w:p>
          <w:p>
            <w:pPr>
              <w:wordWrap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（10分）</w:t>
            </w:r>
          </w:p>
        </w:tc>
        <w:tc>
          <w:tcPr>
            <w:tcW w:w="995" w:type="pct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营业场所条件（10分）</w:t>
            </w:r>
          </w:p>
        </w:tc>
        <w:tc>
          <w:tcPr>
            <w:tcW w:w="741" w:type="pct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信用条件（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Cs w:val="21"/>
              </w:rPr>
              <w:t>分）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服务团队情况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（20分）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业绩情况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Cs w:val="21"/>
              </w:rPr>
              <w:t>0分）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代理费报价得分（10分）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评审因素</w:t>
            </w:r>
          </w:p>
        </w:tc>
        <w:tc>
          <w:tcPr>
            <w:tcW w:w="492" w:type="pct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具有正规经营资质</w:t>
            </w:r>
          </w:p>
        </w:tc>
        <w:tc>
          <w:tcPr>
            <w:tcW w:w="995" w:type="pct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具有正规的经营场所，并设置有评标室，开标室等相应评审功能室，具备有评审场地和录音录像等监控设施。</w:t>
            </w:r>
          </w:p>
        </w:tc>
        <w:tc>
          <w:tcPr>
            <w:tcW w:w="741" w:type="pct"/>
            <w:vAlign w:val="center"/>
          </w:tcPr>
          <w:p>
            <w:pPr>
              <w:numPr>
                <w:numId w:val="0"/>
              </w:numPr>
              <w:wordWrap w:val="0"/>
              <w:jc w:val="both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近2年( 20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-20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年度) 以来，无严重违法失信行为信息记录，以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“信用广东”导出报告为准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。</w:t>
            </w:r>
          </w:p>
          <w:p>
            <w:pPr>
              <w:numPr>
                <w:numId w:val="0"/>
              </w:numPr>
              <w:wordWrap w:val="0"/>
              <w:jc w:val="both"/>
              <w:rPr>
                <w:rFonts w:hint="eastAsia" w:ascii="宋体" w:hAnsi="宋体" w:eastAsia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纳入广东省政府采购平台代理机构名录的企业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纳入中介超市平台的企业。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拥有不少于5名熟悉政府采购法律法规、具备编制采购文件和组织采购活动等相应能力的专职从业人员，且能够提供人员具备政府采购业务培训合格人员证书。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近3年内服务采购代理项目，需提供合同复印件或相关证明材料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满足比选要求且合理报价，报价优惠进行下浮率报价，下浮率系指参照发改价格[2011]534号规定的招标代理服务收费标准向下浮动幅度，向下浮动幅度不超过50%（含50%），要求最多保留一位小数。报价同标段中最低费率为评标基准费率，统一按照下面公式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评审要求</w:t>
            </w:r>
          </w:p>
        </w:tc>
        <w:tc>
          <w:tcPr>
            <w:tcW w:w="492" w:type="pct"/>
            <w:vAlign w:val="center"/>
          </w:tcPr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1.有营业执照的10分；</w:t>
            </w:r>
          </w:p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2.无营业执照的0分。</w:t>
            </w:r>
          </w:p>
        </w:tc>
        <w:tc>
          <w:tcPr>
            <w:tcW w:w="995" w:type="pct"/>
            <w:vAlign w:val="center"/>
          </w:tcPr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1.经营场所为参与比选单位自有，并设置有相关评标室、开标室的得8-10分；</w:t>
            </w:r>
          </w:p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2.经营场所为租赁的，提供租赁合同复印件，并设置有相关评标室、开标室的得3-7分；</w:t>
            </w:r>
          </w:p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3.有经营场所未设置相关场所的得2分；</w:t>
            </w:r>
          </w:p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4.未提供场所证明得0分。</w:t>
            </w:r>
          </w:p>
        </w:tc>
        <w:tc>
          <w:tcPr>
            <w:tcW w:w="741" w:type="pct"/>
            <w:vAlign w:val="center"/>
          </w:tcPr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1.连续2年的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信用报告无违法违规情形的</w:t>
            </w:r>
            <w:r>
              <w:rPr>
                <w:rFonts w:hint="eastAsia" w:ascii="宋体" w:hAnsi="宋体" w:eastAsia="宋体"/>
                <w:szCs w:val="21"/>
              </w:rPr>
              <w:t>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，未提供或有违法违规记录不得分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wordWrap w:val="0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纳入广东省政府采购平台代理机构的企业得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3分，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未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纳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/>
                <w:szCs w:val="21"/>
              </w:rPr>
              <w:t>不得分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ordWrap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3.纳入中介超市平台的得2分，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未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纳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/>
                <w:szCs w:val="21"/>
              </w:rPr>
              <w:t>不得分。</w:t>
            </w:r>
          </w:p>
        </w:tc>
        <w:tc>
          <w:tcPr>
            <w:tcW w:w="741" w:type="pc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1.专职人数达到7人且能提供相关成员培训证书的13-20分；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2.专职人数达到5至7人且能提供相关成员培训证书的8-12分；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3.专职人数不达标且无法提供相关成员培训证书的0-7分。</w:t>
            </w:r>
          </w:p>
        </w:tc>
        <w:tc>
          <w:tcPr>
            <w:tcW w:w="741" w:type="pc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1.每具有1次服务采购代理项目且提供服务合同证明材料获得1分，满分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0分；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2.不具备或未提供证明材料不得分。</w:t>
            </w:r>
          </w:p>
        </w:tc>
        <w:tc>
          <w:tcPr>
            <w:tcW w:w="1024" w:type="pc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G=(F1+F2+…</w:t>
            </w:r>
            <w:r>
              <w:rPr>
                <w:rFonts w:hint="eastAsia" w:ascii="宋体" w:hAnsi="宋体" w:eastAsia="宋体"/>
                <w:szCs w:val="21"/>
              </w:rPr>
              <w:t>)</w:t>
            </w:r>
            <w: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÷</w:t>
            </w:r>
            <w:r>
              <w:rPr>
                <w:rFonts w:ascii="宋体" w:hAnsi="宋体" w:eastAsia="宋体"/>
                <w:szCs w:val="21"/>
              </w:rPr>
              <w:t>N*10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G-代理费报价得分；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F1=比选单位做中同标段中最低费率÷比选单位同标段报费率，F2、</w:t>
            </w:r>
            <w:r>
              <w:rPr>
                <w:rFonts w:ascii="宋体" w:hAnsi="宋体" w:eastAsia="宋体"/>
                <w:szCs w:val="21"/>
              </w:rPr>
              <w:t>F3…</w:t>
            </w:r>
            <w:r>
              <w:rPr>
                <w:rFonts w:hint="eastAsia" w:ascii="宋体" w:hAnsi="宋体" w:eastAsia="宋体"/>
                <w:szCs w:val="21"/>
              </w:rPr>
              <w:t>，以此类推；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N=F1、F2的个数，即求平均值。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比选评分表</w:t>
      </w:r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14"/>
    <w:rsid w:val="000519F8"/>
    <w:rsid w:val="0025043C"/>
    <w:rsid w:val="00265012"/>
    <w:rsid w:val="002A47AF"/>
    <w:rsid w:val="002D491F"/>
    <w:rsid w:val="00402AA2"/>
    <w:rsid w:val="00433669"/>
    <w:rsid w:val="004979B1"/>
    <w:rsid w:val="00595CF2"/>
    <w:rsid w:val="005E2876"/>
    <w:rsid w:val="006011A9"/>
    <w:rsid w:val="00733CB6"/>
    <w:rsid w:val="007A0B68"/>
    <w:rsid w:val="007E442A"/>
    <w:rsid w:val="007F20F9"/>
    <w:rsid w:val="00817D14"/>
    <w:rsid w:val="00841DD4"/>
    <w:rsid w:val="00844BAF"/>
    <w:rsid w:val="008A372B"/>
    <w:rsid w:val="00A2122D"/>
    <w:rsid w:val="00AB6419"/>
    <w:rsid w:val="00AE25DB"/>
    <w:rsid w:val="00B45A63"/>
    <w:rsid w:val="00B73107"/>
    <w:rsid w:val="00C245B1"/>
    <w:rsid w:val="00C3152A"/>
    <w:rsid w:val="00C40D76"/>
    <w:rsid w:val="00C54F88"/>
    <w:rsid w:val="00D70D98"/>
    <w:rsid w:val="00DF453E"/>
    <w:rsid w:val="00ED15DE"/>
    <w:rsid w:val="00F9404F"/>
    <w:rsid w:val="5B6D9639"/>
    <w:rsid w:val="7FBF7508"/>
    <w:rsid w:val="9EFFEFB2"/>
    <w:rsid w:val="AEBDB545"/>
    <w:rsid w:val="C77F3CA3"/>
    <w:rsid w:val="DFFB4FAB"/>
    <w:rsid w:val="EFF4A0B7"/>
    <w:rsid w:val="FAEF0245"/>
    <w:rsid w:val="FAFFB2E3"/>
    <w:rsid w:val="FECC2604"/>
    <w:rsid w:val="FFDFB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2023-03-24T18:35:00Z</dcterms:created>
  <dc:creator>Administrator</dc:creator>
  <cp:lastModifiedBy>tyjr</cp:lastModifiedBy>
  <cp:lastPrinted>2023-12-27T11:24:36Z</cp:lastPrinted>
  <dcterms:modified xsi:type="dcterms:W3CDTF">2023-12-27T11:47:17Z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