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wordWrap/>
        <w:overflowPunct/>
        <w:topLinePunct w:val="0"/>
        <w:bidi w:val="0"/>
        <w:snapToGrid/>
        <w:spacing w:before="0" w:beforeAutospacing="0" w:after="0" w:afterAutospacing="0" w:line="560" w:lineRule="exact"/>
        <w:ind w:left="0" w:leftChars="0" w:firstLine="0" w:firstLineChars="0"/>
        <w:jc w:val="both"/>
        <w:textAlignment w:val="auto"/>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8"/>
        <w:keepNext w:val="0"/>
        <w:keepLines w:val="0"/>
        <w:pageBreakBefore w:val="0"/>
        <w:kinsoku/>
        <w:wordWrap/>
        <w:overflowPunct/>
        <w:topLinePunct w:val="0"/>
        <w:bidi w:val="0"/>
        <w:snapToGrid/>
        <w:spacing w:before="0" w:beforeAutospacing="0" w:after="0" w:afterAutospacing="0" w:line="560" w:lineRule="exact"/>
        <w:ind w:left="0" w:leftChars="0" w:firstLine="0" w:firstLineChars="0"/>
        <w:jc w:val="both"/>
        <w:textAlignment w:val="auto"/>
        <w:rPr>
          <w:rFonts w:hint="default" w:ascii="黑体" w:hAnsi="黑体" w:eastAsia="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sz w:val="44"/>
          <w:szCs w:val="44"/>
        </w:rPr>
        <w:t>梅州市中心城区滨水临山</w:t>
      </w:r>
      <w:r>
        <w:rPr>
          <w:rFonts w:hint="eastAsia" w:ascii="方正小标宋简体" w:hAnsi="方正小标宋简体" w:eastAsia="方正小标宋简体" w:cs="方正小标宋简体"/>
          <w:sz w:val="44"/>
          <w:szCs w:val="44"/>
          <w:lang w:eastAsia="zh-CN"/>
        </w:rPr>
        <w:t>区域</w:t>
      </w:r>
      <w:r>
        <w:rPr>
          <w:rFonts w:hint="eastAsia" w:ascii="方正小标宋简体" w:hAnsi="方正小标宋简体" w:eastAsia="方正小标宋简体" w:cs="方正小标宋简体"/>
          <w:sz w:val="44"/>
          <w:szCs w:val="44"/>
        </w:rPr>
        <w:t>规划</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sz w:val="44"/>
          <w:szCs w:val="44"/>
        </w:rPr>
        <w:t>管理规定</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草案征求意</w:t>
      </w:r>
      <w:r>
        <w:rPr>
          <w:rFonts w:hint="eastAsia" w:ascii="方正小标宋简体" w:hAnsi="方正小标宋简体" w:eastAsia="方正小标宋简体" w:cs="方正小标宋简体"/>
          <w:sz w:val="44"/>
          <w:szCs w:val="44"/>
          <w:lang w:eastAsia="zh-CN"/>
        </w:rPr>
        <w:t>见</w:t>
      </w:r>
      <w:r>
        <w:rPr>
          <w:rFonts w:hint="eastAsia" w:ascii="方正小标宋简体" w:hAnsi="方正小标宋简体" w:eastAsia="方正小标宋简体" w:cs="方正小标宋简体"/>
          <w:sz w:val="44"/>
          <w:szCs w:val="44"/>
        </w:rPr>
        <w:t>一稿</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val="0"/>
          <w:sz w:val="44"/>
          <w:szCs w:val="44"/>
        </w:rPr>
        <w:t>》的起草说明</w:t>
      </w:r>
    </w:p>
    <w:bookmarkEnd w:id="0"/>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仿宋" w:hAnsi="仿宋" w:eastAsia="仿宋" w:cs="仿宋"/>
          <w:kern w:val="0"/>
          <w:sz w:val="32"/>
          <w:szCs w:val="32"/>
        </w:rPr>
      </w:pPr>
    </w:p>
    <w:p>
      <w:pPr>
        <w:keepNext w:val="0"/>
        <w:keepLines w:val="0"/>
        <w:pageBreakBefore w:val="0"/>
        <w:widowControl w:val="0"/>
        <w:kinsoku/>
        <w:wordWrap/>
        <w:overflowPunct/>
        <w:topLinePunct w:val="0"/>
        <w:autoSpaceDE/>
        <w:autoSpaceDN/>
        <w:bidi w:val="0"/>
        <w:spacing w:line="56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根据市府办于</w:t>
      </w:r>
      <w:r>
        <w:rPr>
          <w:rFonts w:hint="eastAsia" w:ascii="仿宋_GB2312" w:eastAsia="仿宋_GB2312"/>
          <w:color w:val="000000" w:themeColor="text1"/>
          <w:sz w:val="32"/>
          <w:szCs w:val="32"/>
          <w:lang w:val="en-US" w:eastAsia="zh-CN"/>
          <w14:textFill>
            <w14:solidFill>
              <w14:schemeClr w14:val="tx1"/>
            </w14:solidFill>
          </w14:textFill>
        </w:rPr>
        <w:t>2023年6</w:t>
      </w:r>
      <w:r>
        <w:rPr>
          <w:rFonts w:hint="eastAsia" w:ascii="仿宋_GB2312" w:eastAsia="仿宋_GB2312"/>
          <w:color w:val="000000" w:themeColor="text1"/>
          <w:sz w:val="32"/>
          <w:szCs w:val="32"/>
          <w14:textFill>
            <w14:solidFill>
              <w14:schemeClr w14:val="tx1"/>
            </w14:solidFill>
          </w14:textFill>
        </w:rPr>
        <w:t>月</w:t>
      </w:r>
      <w:r>
        <w:rPr>
          <w:rFonts w:hint="eastAsia" w:ascii="仿宋_GB2312" w:eastAsia="仿宋_GB2312"/>
          <w:color w:val="000000" w:themeColor="text1"/>
          <w:sz w:val="32"/>
          <w:szCs w:val="32"/>
          <w:lang w:val="en-US" w:eastAsia="zh-CN"/>
          <w14:textFill>
            <w14:solidFill>
              <w14:schemeClr w14:val="tx1"/>
            </w14:solidFill>
          </w14:textFill>
        </w:rPr>
        <w:t>7</w:t>
      </w:r>
      <w:r>
        <w:rPr>
          <w:rFonts w:hint="eastAsia" w:ascii="仿宋_GB2312" w:eastAsia="仿宋_GB2312"/>
          <w:color w:val="000000" w:themeColor="text1"/>
          <w:sz w:val="32"/>
          <w:szCs w:val="32"/>
          <w14:textFill>
            <w14:solidFill>
              <w14:schemeClr w14:val="tx1"/>
            </w14:solidFill>
          </w14:textFill>
        </w:rPr>
        <w:t>日印发的《梅州市人民政府202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年度规章制定计划》《梅州市中心城区滨水临山区域规划管理规定》列为市政府202</w:t>
      </w:r>
      <w:r>
        <w:rPr>
          <w:rFonts w:hint="eastAsia" w:ascii="仿宋_GB2312" w:eastAsia="仿宋_GB2312"/>
          <w:color w:val="000000" w:themeColor="text1"/>
          <w:sz w:val="32"/>
          <w:szCs w:val="32"/>
          <w:lang w:val="en-US" w:eastAsia="zh-CN"/>
          <w14:textFill>
            <w14:solidFill>
              <w14:schemeClr w14:val="tx1"/>
            </w14:solidFill>
          </w14:textFill>
        </w:rPr>
        <w:t>3</w:t>
      </w:r>
      <w:r>
        <w:rPr>
          <w:rFonts w:hint="eastAsia" w:ascii="仿宋_GB2312" w:eastAsia="仿宋_GB2312"/>
          <w:color w:val="000000" w:themeColor="text1"/>
          <w:sz w:val="32"/>
          <w:szCs w:val="32"/>
          <w14:textFill>
            <w14:solidFill>
              <w14:schemeClr w14:val="tx1"/>
            </w14:solidFill>
          </w14:textFill>
        </w:rPr>
        <w:t>年规章计划的制定项目，由市</w:t>
      </w:r>
      <w:r>
        <w:rPr>
          <w:rFonts w:hint="eastAsia" w:ascii="仿宋_GB2312" w:eastAsia="仿宋_GB2312"/>
          <w:color w:val="000000" w:themeColor="text1"/>
          <w:sz w:val="32"/>
          <w:szCs w:val="32"/>
          <w:lang w:eastAsia="zh-CN"/>
          <w14:textFill>
            <w14:solidFill>
              <w14:schemeClr w14:val="tx1"/>
            </w14:solidFill>
          </w14:textFill>
        </w:rPr>
        <w:t>自然资源</w:t>
      </w:r>
      <w:r>
        <w:rPr>
          <w:rFonts w:hint="eastAsia" w:ascii="仿宋_GB2312" w:eastAsia="仿宋_GB2312"/>
          <w:color w:val="000000" w:themeColor="text1"/>
          <w:sz w:val="32"/>
          <w:szCs w:val="32"/>
          <w14:textFill>
            <w14:solidFill>
              <w14:schemeClr w14:val="tx1"/>
            </w14:solidFill>
          </w14:textFill>
        </w:rPr>
        <w:t>局负责起草。起草单位根据有关法律法规，借鉴省内外立法实践经验，结合我市实际，起草了相关草案送审稿，并于</w:t>
      </w:r>
      <w:r>
        <w:rPr>
          <w:rFonts w:hint="eastAsia" w:ascii="仿宋_GB2312" w:eastAsia="仿宋_GB2312"/>
          <w:color w:val="000000" w:themeColor="text1"/>
          <w:sz w:val="32"/>
          <w:szCs w:val="32"/>
          <w:lang w:val="en-US" w:eastAsia="zh-CN"/>
          <w14:textFill>
            <w14:solidFill>
              <w14:schemeClr w14:val="tx1"/>
            </w14:solidFill>
          </w14:textFill>
        </w:rPr>
        <w:t>2023年11</w:t>
      </w:r>
      <w:r>
        <w:rPr>
          <w:rFonts w:hint="eastAsia" w:ascii="仿宋_GB2312" w:eastAsia="仿宋_GB2312"/>
          <w:color w:val="000000" w:themeColor="text1"/>
          <w:sz w:val="32"/>
          <w:szCs w:val="32"/>
          <w14:textFill>
            <w14:solidFill>
              <w14:schemeClr w14:val="tx1"/>
            </w14:solidFill>
          </w14:textFill>
        </w:rPr>
        <w:t>月2</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日报请市政府审议。审查过程中，我局按照立法程序要求，</w:t>
      </w:r>
      <w:r>
        <w:rPr>
          <w:rFonts w:hint="eastAsia" w:ascii="仿宋_GB2312" w:eastAsia="仿宋_GB2312"/>
          <w:color w:val="000000" w:themeColor="text1"/>
          <w:sz w:val="32"/>
          <w:szCs w:val="32"/>
          <w:lang w:eastAsia="zh-CN"/>
          <w14:textFill>
            <w14:solidFill>
              <w14:schemeClr w14:val="tx1"/>
            </w14:solidFill>
          </w14:textFill>
        </w:rPr>
        <w:t>联合市自然资源局开展了立法调研</w:t>
      </w:r>
      <w:r>
        <w:rPr>
          <w:rFonts w:hint="eastAsia" w:ascii="仿宋_GB2312" w:eastAsia="仿宋_GB2312"/>
          <w:color w:val="000000" w:themeColor="text1"/>
          <w:sz w:val="32"/>
          <w:szCs w:val="32"/>
          <w14:textFill>
            <w14:solidFill>
              <w14:schemeClr w14:val="tx1"/>
            </w14:solidFill>
          </w14:textFill>
        </w:rPr>
        <w:t>和</w:t>
      </w:r>
      <w:r>
        <w:rPr>
          <w:rFonts w:hint="eastAsia" w:ascii="仿宋_GB2312" w:eastAsia="仿宋_GB2312"/>
          <w:color w:val="000000" w:themeColor="text1"/>
          <w:sz w:val="32"/>
          <w:szCs w:val="32"/>
          <w:lang w:eastAsia="zh-CN"/>
          <w14:textFill>
            <w14:solidFill>
              <w14:schemeClr w14:val="tx1"/>
            </w14:solidFill>
          </w14:textFill>
        </w:rPr>
        <w:t>研究</w:t>
      </w:r>
      <w:r>
        <w:rPr>
          <w:rFonts w:hint="eastAsia" w:ascii="仿宋_GB2312" w:eastAsia="仿宋_GB2312"/>
          <w:color w:val="000000" w:themeColor="text1"/>
          <w:sz w:val="32"/>
          <w:szCs w:val="32"/>
          <w14:textFill>
            <w14:solidFill>
              <w14:schemeClr w14:val="tx1"/>
            </w14:solidFill>
          </w14:textFill>
        </w:rPr>
        <w:t>修改，形成现在的《梅州市中心城区滨水临山区域规划管理规定（草案征求意一稿）》（以下简称《规定》）。</w:t>
      </w:r>
    </w:p>
    <w:p>
      <w:pPr>
        <w:keepNext w:val="0"/>
        <w:keepLines w:val="0"/>
        <w:pageBreakBefore w:val="0"/>
        <w:widowControl w:val="0"/>
        <w:kinsoku/>
        <w:wordWrap/>
        <w:overflowPunct/>
        <w:topLinePunct w:val="0"/>
        <w:autoSpaceDE/>
        <w:autoSpaceDN/>
        <w:bidi w:val="0"/>
        <w:snapToGrid/>
        <w:spacing w:line="56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制定</w:t>
      </w:r>
      <w:r>
        <w:rPr>
          <w:rFonts w:hint="default" w:ascii="黑体" w:hAnsi="黑体" w:eastAsia="黑体" w:cs="黑体"/>
          <w:b w:val="0"/>
          <w:bCs w:val="0"/>
          <w:sz w:val="32"/>
          <w:szCs w:val="32"/>
          <w:lang w:eastAsia="zh-CN"/>
        </w:rPr>
        <w:t>《规定》</w:t>
      </w:r>
      <w:r>
        <w:rPr>
          <w:rFonts w:hint="eastAsia" w:ascii="黑体" w:hAnsi="黑体" w:eastAsia="黑体" w:cs="黑体"/>
          <w:b w:val="0"/>
          <w:bCs w:val="0"/>
          <w:sz w:val="32"/>
          <w:szCs w:val="32"/>
        </w:rPr>
        <w:t>的必要性</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华文仿宋" w:eastAsia="仿宋_GB2312" w:cs="华文仿宋"/>
          <w:color w:val="000000"/>
          <w:kern w:val="0"/>
          <w:sz w:val="32"/>
          <w:szCs w:val="32"/>
          <w:lang w:bidi="ar"/>
        </w:rPr>
      </w:pPr>
      <w:r>
        <w:rPr>
          <w:rFonts w:hint="eastAsia" w:ascii="仿宋_GB2312" w:hAnsi="华文仿宋" w:eastAsia="仿宋_GB2312" w:cs="华文仿宋"/>
          <w:color w:val="000000"/>
          <w:kern w:val="0"/>
          <w:sz w:val="32"/>
          <w:szCs w:val="32"/>
          <w:lang w:bidi="ar"/>
        </w:rPr>
        <w:t>习近平总书记指出，“建设生态文明是关系人民福祉、关系民族未来的大计。城市建设水平是城市生产力所在，要依托现有山水脉络等独特风光，让城市融入大自然中，让居民看得见山，望得见水，记得住乡愁”。山川河流是城市的宝贵资源，依托于得天独厚的山水格局，梅州具有很强的生态优势。为保护中心城区城市山水格局、提高城市的人居环境质量，加强城市空间形态与建筑风貌管控，指导城市建筑设计，进一步提升规划建设审批管理效能，填补我市相关</w:t>
      </w:r>
      <w:r>
        <w:rPr>
          <w:rFonts w:hint="eastAsia" w:ascii="仿宋_GB2312" w:hAnsi="华文仿宋" w:eastAsia="仿宋_GB2312" w:cs="华文仿宋"/>
          <w:color w:val="000000"/>
          <w:kern w:val="0"/>
          <w:sz w:val="32"/>
          <w:szCs w:val="32"/>
          <w:lang w:eastAsia="zh-CN" w:bidi="ar"/>
        </w:rPr>
        <w:t>管理空白</w:t>
      </w:r>
      <w:r>
        <w:rPr>
          <w:rFonts w:hint="eastAsia" w:ascii="仿宋_GB2312" w:hAnsi="华文仿宋" w:eastAsia="仿宋_GB2312" w:cs="华文仿宋"/>
          <w:color w:val="000000"/>
          <w:kern w:val="0"/>
          <w:sz w:val="32"/>
          <w:szCs w:val="32"/>
          <w:lang w:bidi="ar"/>
        </w:rPr>
        <w:t>，为我市在实现城市公共空间管理的精细化、标准化管控方面提供</w:t>
      </w:r>
      <w:r>
        <w:rPr>
          <w:rFonts w:hint="eastAsia" w:ascii="仿宋_GB2312" w:hAnsi="华文仿宋" w:eastAsia="仿宋_GB2312" w:cs="华文仿宋"/>
          <w:color w:val="000000"/>
          <w:kern w:val="0"/>
          <w:sz w:val="32"/>
          <w:szCs w:val="32"/>
          <w:lang w:eastAsia="zh-CN" w:bidi="ar"/>
        </w:rPr>
        <w:t>规章</w:t>
      </w:r>
      <w:r>
        <w:rPr>
          <w:rFonts w:hint="eastAsia" w:ascii="仿宋_GB2312" w:hAnsi="华文仿宋" w:eastAsia="仿宋_GB2312" w:cs="华文仿宋"/>
          <w:color w:val="000000"/>
          <w:kern w:val="0"/>
          <w:sz w:val="32"/>
          <w:szCs w:val="32"/>
          <w:lang w:bidi="ar"/>
        </w:rPr>
        <w:t>依据。因此，从</w:t>
      </w:r>
      <w:r>
        <w:rPr>
          <w:rFonts w:hint="eastAsia" w:ascii="仿宋_GB2312" w:hAnsi="华文仿宋" w:eastAsia="仿宋_GB2312" w:cs="华文仿宋"/>
          <w:color w:val="000000"/>
          <w:kern w:val="0"/>
          <w:sz w:val="32"/>
          <w:szCs w:val="32"/>
          <w:lang w:eastAsia="zh-CN" w:bidi="ar"/>
        </w:rPr>
        <w:t>规章</w:t>
      </w:r>
      <w:r>
        <w:rPr>
          <w:rFonts w:hint="eastAsia" w:ascii="仿宋_GB2312" w:hAnsi="华文仿宋" w:eastAsia="仿宋_GB2312" w:cs="华文仿宋"/>
          <w:color w:val="000000"/>
          <w:kern w:val="0"/>
          <w:sz w:val="32"/>
          <w:szCs w:val="32"/>
          <w:lang w:bidi="ar"/>
        </w:rPr>
        <w:t>层面加强对城市山水格局的保护和滨水临山地区的建筑管控，已成为现今生态修复的迫切需要。</w:t>
      </w:r>
    </w:p>
    <w:p>
      <w:pPr>
        <w:pStyle w:val="19"/>
        <w:keepNext w:val="0"/>
        <w:keepLines w:val="0"/>
        <w:pageBreakBefore w:val="0"/>
        <w:widowControl w:val="0"/>
        <w:numPr>
          <w:ilvl w:val="0"/>
          <w:numId w:val="1"/>
        </w:numPr>
        <w:kinsoku/>
        <w:wordWrap/>
        <w:overflowPunct/>
        <w:topLinePunct w:val="0"/>
        <w:autoSpaceDE/>
        <w:autoSpaceDN/>
        <w:bidi w:val="0"/>
        <w:spacing w:line="560" w:lineRule="exact"/>
        <w:ind w:firstLine="616" w:firstLineChars="200"/>
        <w:rPr>
          <w:rStyle w:val="12"/>
          <w:rFonts w:hint="eastAsia" w:ascii="黑体" w:hAnsi="黑体" w:eastAsia="黑体"/>
          <w:b w:val="0"/>
          <w:color w:val="000000" w:themeColor="text1"/>
          <w:lang w:eastAsia="zh-CN"/>
          <w14:textFill>
            <w14:solidFill>
              <w14:schemeClr w14:val="tx1"/>
            </w14:solidFill>
          </w14:textFill>
        </w:rPr>
      </w:pPr>
      <w:r>
        <w:rPr>
          <w:rStyle w:val="12"/>
          <w:rFonts w:hint="eastAsia" w:ascii="黑体" w:hAnsi="黑体" w:eastAsia="黑体"/>
          <w:b w:val="0"/>
          <w:color w:val="000000" w:themeColor="text1"/>
          <w14:textFill>
            <w14:solidFill>
              <w14:schemeClr w14:val="tx1"/>
            </w14:solidFill>
          </w14:textFill>
        </w:rPr>
        <w:t>制定《规定》的依据</w:t>
      </w:r>
      <w:r>
        <w:rPr>
          <w:rStyle w:val="12"/>
          <w:rFonts w:hint="eastAsia" w:ascii="黑体" w:hAnsi="黑体" w:eastAsia="黑体"/>
          <w:b w:val="0"/>
          <w:color w:val="000000" w:themeColor="text1"/>
          <w:lang w:eastAsia="zh-CN"/>
          <w14:textFill>
            <w14:solidFill>
              <w14:schemeClr w14:val="tx1"/>
            </w14:solidFill>
          </w14:textFill>
        </w:rPr>
        <w:t>和参考</w:t>
      </w:r>
    </w:p>
    <w:p>
      <w:pPr>
        <w:pStyle w:val="19"/>
        <w:keepNext w:val="0"/>
        <w:keepLines w:val="0"/>
        <w:pageBreakBefore w:val="0"/>
        <w:widowControl w:val="0"/>
        <w:numPr>
          <w:ilvl w:val="0"/>
          <w:numId w:val="0"/>
        </w:numPr>
        <w:kinsoku/>
        <w:wordWrap/>
        <w:overflowPunct/>
        <w:topLinePunct w:val="0"/>
        <w:autoSpaceDE/>
        <w:autoSpaceDN/>
        <w:bidi w:val="0"/>
        <w:spacing w:line="560" w:lineRule="exact"/>
        <w:ind w:firstLine="616" w:firstLineChars="200"/>
        <w:rPr>
          <w:rFonts w:hint="eastAsia" w:ascii="楷体_GB2312" w:hAnsi="楷体_GB2312" w:eastAsia="楷体_GB2312" w:cs="楷体_GB2312"/>
          <w:b w:val="0"/>
          <w:bCs w:val="0"/>
          <w:kern w:val="2"/>
          <w:sz w:val="32"/>
          <w:szCs w:val="32"/>
        </w:rPr>
      </w:pPr>
      <w:r>
        <w:rPr>
          <w:rFonts w:hint="default" w:ascii="楷体_GB2312" w:hAnsi="楷体_GB2312" w:eastAsia="楷体_GB2312" w:cs="楷体_GB2312"/>
          <w:b w:val="0"/>
          <w:bCs w:val="0"/>
          <w:kern w:val="2"/>
          <w:sz w:val="32"/>
          <w:szCs w:val="32"/>
        </w:rPr>
        <w:t>《规定》</w:t>
      </w:r>
      <w:r>
        <w:rPr>
          <w:rFonts w:hint="eastAsia" w:ascii="楷体_GB2312" w:hAnsi="楷体_GB2312" w:eastAsia="楷体_GB2312" w:cs="楷体_GB2312"/>
          <w:b w:val="0"/>
          <w:bCs w:val="0"/>
          <w:kern w:val="2"/>
          <w:sz w:val="32"/>
          <w:szCs w:val="32"/>
          <w:lang w:eastAsia="zh-CN"/>
        </w:rPr>
        <w:t>的</w:t>
      </w:r>
      <w:r>
        <w:rPr>
          <w:rFonts w:hint="eastAsia" w:ascii="楷体_GB2312" w:hAnsi="楷体_GB2312" w:eastAsia="楷体_GB2312" w:cs="楷体_GB2312"/>
          <w:b w:val="0"/>
          <w:bCs w:val="0"/>
          <w:kern w:val="2"/>
          <w:sz w:val="32"/>
          <w:szCs w:val="32"/>
        </w:rPr>
        <w:t>主要依据</w:t>
      </w:r>
      <w:r>
        <w:rPr>
          <w:rFonts w:hint="eastAsia" w:ascii="楷体_GB2312" w:hAnsi="楷体_GB2312" w:eastAsia="楷体_GB2312" w:cs="楷体_GB2312"/>
          <w:b w:val="0"/>
          <w:bCs w:val="0"/>
          <w:kern w:val="2"/>
          <w:sz w:val="32"/>
          <w:szCs w:val="32"/>
          <w:lang w:eastAsia="zh-CN"/>
        </w:rPr>
        <w:t>和参考如下</w:t>
      </w:r>
      <w:r>
        <w:rPr>
          <w:rFonts w:hint="eastAsia" w:ascii="楷体_GB2312" w:hAnsi="楷体_GB2312" w:eastAsia="楷体_GB2312" w:cs="楷体_GB2312"/>
          <w:b w:val="0"/>
          <w:bCs w:val="0"/>
          <w:kern w:val="2"/>
          <w:sz w:val="32"/>
          <w:szCs w:val="32"/>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1.</w:t>
      </w:r>
      <w:r>
        <w:rPr>
          <w:rFonts w:hint="eastAsia" w:ascii="仿宋_GB2312" w:hAnsi="仿宋_GB2312" w:eastAsia="仿宋_GB2312" w:cs="仿宋_GB2312"/>
          <w:kern w:val="2"/>
          <w:sz w:val="32"/>
          <w:szCs w:val="32"/>
        </w:rPr>
        <w:t>《中华人民共和国</w:t>
      </w:r>
      <w:r>
        <w:rPr>
          <w:rFonts w:hint="eastAsia" w:ascii="仿宋_GB2312" w:hAnsi="仿宋_GB2312" w:eastAsia="仿宋_GB2312" w:cs="仿宋_GB2312"/>
          <w:kern w:val="2"/>
          <w:sz w:val="32"/>
          <w:szCs w:val="32"/>
          <w:lang w:eastAsia="zh-CN"/>
        </w:rPr>
        <w:t>土地管理法</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2019年</w:t>
      </w:r>
      <w:r>
        <w:rPr>
          <w:rFonts w:hint="eastAsia" w:ascii="仿宋_GB2312" w:hAnsi="仿宋_GB2312" w:eastAsia="仿宋_GB2312" w:cs="仿宋_GB2312"/>
          <w:kern w:val="2"/>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中华人民共和国城乡规划法</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2019年</w:t>
      </w:r>
      <w:r>
        <w:rPr>
          <w:rFonts w:hint="eastAsia" w:ascii="仿宋_GB2312" w:hAnsi="仿宋_GB2312" w:eastAsia="仿宋_GB2312" w:cs="仿宋_GB2312"/>
          <w:kern w:val="2"/>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《中华人民共和国</w:t>
      </w:r>
      <w:r>
        <w:rPr>
          <w:rFonts w:hint="eastAsia" w:ascii="仿宋_GB2312" w:hAnsi="仿宋_GB2312" w:eastAsia="仿宋_GB2312" w:cs="仿宋_GB2312"/>
          <w:kern w:val="2"/>
          <w:sz w:val="32"/>
          <w:szCs w:val="32"/>
          <w:lang w:eastAsia="zh-CN"/>
        </w:rPr>
        <w:t>环境保护法</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2014年</w:t>
      </w:r>
      <w:r>
        <w:rPr>
          <w:rFonts w:hint="eastAsia" w:ascii="仿宋_GB2312" w:hAnsi="仿宋_GB2312" w:eastAsia="仿宋_GB2312" w:cs="仿宋_GB2312"/>
          <w:kern w:val="2"/>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中华人民共和国标准化法</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2017年</w:t>
      </w:r>
      <w:r>
        <w:rPr>
          <w:rFonts w:hint="eastAsia" w:ascii="仿宋_GB2312" w:hAnsi="仿宋_GB2312" w:eastAsia="仿宋_GB2312" w:cs="仿宋_GB2312"/>
          <w:kern w:val="2"/>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广东省</w:t>
      </w:r>
      <w:r>
        <w:rPr>
          <w:rFonts w:hint="eastAsia" w:ascii="仿宋_GB2312" w:hAnsi="仿宋_GB2312" w:eastAsia="仿宋_GB2312" w:cs="仿宋_GB2312"/>
          <w:kern w:val="2"/>
          <w:sz w:val="32"/>
          <w:szCs w:val="32"/>
          <w:lang w:eastAsia="zh-CN"/>
        </w:rPr>
        <w:t>城乡规划条例》（</w:t>
      </w:r>
      <w:r>
        <w:rPr>
          <w:rFonts w:hint="eastAsia" w:ascii="仿宋_GB2312" w:hAnsi="仿宋_GB2312" w:eastAsia="仿宋_GB2312" w:cs="仿宋_GB2312"/>
          <w:kern w:val="2"/>
          <w:sz w:val="32"/>
          <w:szCs w:val="32"/>
          <w:lang w:val="en-US" w:eastAsia="zh-CN"/>
        </w:rPr>
        <w:t>2012年</w:t>
      </w:r>
      <w:r>
        <w:rPr>
          <w:rFonts w:hint="eastAsia" w:ascii="仿宋_GB2312" w:hAnsi="仿宋_GB2312" w:eastAsia="仿宋_GB2312" w:cs="仿宋_GB2312"/>
          <w:kern w:val="2"/>
          <w:sz w:val="32"/>
          <w:szCs w:val="32"/>
          <w:lang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6.《广东省河道管理条例》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2019年</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w:t>
      </w:r>
    </w:p>
    <w:p>
      <w:pPr>
        <w:pStyle w:val="8"/>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lang w:val="en-US" w:eastAsia="zh-CN"/>
        </w:rPr>
        <w:t>7.</w:t>
      </w:r>
      <w:r>
        <w:rPr>
          <w:rFonts w:hint="eastAsia" w:ascii="仿宋_GB2312" w:hAnsi="仿宋_GB2312" w:eastAsia="仿宋_GB2312" w:cs="仿宋_GB2312"/>
          <w:kern w:val="2"/>
          <w:sz w:val="32"/>
          <w:szCs w:val="32"/>
        </w:rPr>
        <w:t>《广东省</w:t>
      </w:r>
      <w:r>
        <w:rPr>
          <w:rFonts w:hint="eastAsia" w:ascii="仿宋_GB2312" w:hAnsi="仿宋_GB2312" w:eastAsia="仿宋_GB2312" w:cs="仿宋_GB2312"/>
          <w:kern w:val="2"/>
          <w:sz w:val="32"/>
          <w:szCs w:val="32"/>
          <w:lang w:eastAsia="zh-CN"/>
        </w:rPr>
        <w:t>环境保护</w:t>
      </w:r>
      <w:r>
        <w:rPr>
          <w:rFonts w:hint="eastAsia" w:ascii="仿宋_GB2312" w:hAnsi="仿宋_GB2312" w:eastAsia="仿宋_GB2312" w:cs="仿宋_GB2312"/>
          <w:kern w:val="2"/>
          <w:sz w:val="32"/>
          <w:szCs w:val="32"/>
        </w:rPr>
        <w:t>条例》</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2022年</w:t>
      </w:r>
      <w:r>
        <w:rPr>
          <w:rFonts w:hint="eastAsia" w:ascii="仿宋_GB2312" w:hAnsi="仿宋_GB2312"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w:t>
      </w:r>
      <w:r>
        <w:rPr>
          <w:rFonts w:hint="eastAsia" w:ascii="仿宋_GB2312" w:hAnsi="仿宋_GB2312" w:eastAsia="仿宋_GB2312" w:cs="仿宋_GB2312"/>
          <w:kern w:val="2"/>
          <w:sz w:val="32"/>
          <w:szCs w:val="32"/>
          <w:lang w:val="en-US" w:eastAsia="zh-Hans" w:bidi="ar-SA"/>
        </w:rPr>
        <w:t>.</w:t>
      </w:r>
      <w:r>
        <w:rPr>
          <w:rFonts w:hint="default" w:ascii="仿宋_GB2312" w:hAnsi="仿宋_GB2312" w:eastAsia="仿宋_GB2312" w:cs="仿宋_GB2312"/>
          <w:kern w:val="2"/>
          <w:sz w:val="32"/>
          <w:szCs w:val="32"/>
          <w:lang w:val="en-US" w:eastAsia="zh-CN" w:bidi="ar-SA"/>
        </w:rPr>
        <w:t>《武汉市滨水临山地区规划</w:t>
      </w:r>
      <w:r>
        <w:rPr>
          <w:rFonts w:hint="eastAsia" w:ascii="仿宋_GB2312" w:hAnsi="仿宋_GB2312" w:eastAsia="仿宋_GB2312" w:cs="仿宋_GB2312"/>
          <w:kern w:val="2"/>
          <w:sz w:val="32"/>
          <w:szCs w:val="32"/>
          <w:lang w:val="en-US" w:eastAsia="zh-CN" w:bidi="ar-SA"/>
        </w:rPr>
        <w:t>管理规定</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（2021年）；</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10.</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长沙市城市和建筑景观风貌品质管控的有关规定</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（2020年）；</w:t>
      </w:r>
    </w:p>
    <w:p>
      <w:pPr>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11.</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梅州中心城区沿江沿湖城市设计控制</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w:t>
      </w:r>
    </w:p>
    <w:p>
      <w:pPr>
        <w:keepNext w:val="0"/>
        <w:keepLines w:val="0"/>
        <w:pageBreakBefore w:val="0"/>
        <w:widowControl w:val="0"/>
        <w:kinsoku/>
        <w:wordWrap/>
        <w:overflowPunct/>
        <w:topLinePunct w:val="0"/>
        <w:autoSpaceDE/>
        <w:autoSpaceDN/>
        <w:bidi w:val="0"/>
        <w:snapToGrid/>
        <w:spacing w:line="560" w:lineRule="exac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bidi="ar-SA"/>
        </w:rPr>
        <w:t>12.</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梅州市区建设用地规划管理技术规定（第三次修订版）</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（2021年）。</w:t>
      </w:r>
    </w:p>
    <w:p>
      <w:pPr>
        <w:pStyle w:val="8"/>
        <w:keepNext w:val="0"/>
        <w:keepLines w:val="0"/>
        <w:pageBreakBefore w:val="0"/>
        <w:widowControl w:val="0"/>
        <w:kinsoku/>
        <w:wordWrap/>
        <w:overflowPunct/>
        <w:topLinePunct w:val="0"/>
        <w:autoSpaceDE/>
        <w:autoSpaceDN/>
        <w:bidi w:val="0"/>
        <w:snapToGrid/>
        <w:spacing w:before="0" w:beforeAutospacing="0" w:after="0" w:afterAutospacing="0" w:line="560" w:lineRule="exact"/>
        <w:ind w:left="0" w:leftChars="0" w:right="0" w:rightChars="0" w:firstLine="640" w:firstLineChars="200"/>
        <w:jc w:val="both"/>
        <w:textAlignment w:val="auto"/>
        <w:outlineLvl w:val="9"/>
        <w:rPr>
          <w:rFonts w:hint="eastAsia" w:ascii="黑体" w:hAnsi="黑体" w:eastAsia="黑体" w:cs="黑体"/>
          <w:b w:val="0"/>
          <w:bCs/>
          <w:kern w:val="2"/>
          <w:sz w:val="32"/>
          <w:szCs w:val="32"/>
        </w:rPr>
      </w:pPr>
      <w:r>
        <w:rPr>
          <w:rFonts w:hint="eastAsia" w:ascii="黑体" w:hAnsi="黑体" w:eastAsia="黑体" w:cs="黑体"/>
          <w:b w:val="0"/>
          <w:bCs/>
          <w:kern w:val="2"/>
          <w:sz w:val="32"/>
          <w:szCs w:val="32"/>
          <w:lang w:val="en-US" w:eastAsia="zh-CN"/>
        </w:rPr>
        <w:t>三</w:t>
      </w:r>
      <w:r>
        <w:rPr>
          <w:rFonts w:hint="eastAsia" w:ascii="黑体" w:hAnsi="黑体" w:eastAsia="黑体" w:cs="黑体"/>
          <w:b w:val="0"/>
          <w:bCs/>
          <w:kern w:val="2"/>
          <w:sz w:val="32"/>
          <w:szCs w:val="32"/>
        </w:rPr>
        <w:t>、</w:t>
      </w:r>
      <w:r>
        <w:rPr>
          <w:rFonts w:hint="default" w:ascii="黑体" w:hAnsi="黑体" w:eastAsia="黑体" w:cs="黑体"/>
          <w:b w:val="0"/>
          <w:bCs/>
          <w:kern w:val="2"/>
          <w:sz w:val="32"/>
          <w:szCs w:val="32"/>
          <w:lang w:eastAsia="zh-CN"/>
        </w:rPr>
        <w:t>《规定》</w:t>
      </w:r>
      <w:r>
        <w:rPr>
          <w:rFonts w:hint="eastAsia" w:ascii="黑体" w:hAnsi="黑体" w:eastAsia="黑体" w:cs="黑体"/>
          <w:b w:val="0"/>
          <w:bCs/>
          <w:kern w:val="2"/>
          <w:sz w:val="32"/>
          <w:szCs w:val="32"/>
          <w:lang w:val="en-US" w:eastAsia="zh-CN"/>
        </w:rPr>
        <w:t>的</w:t>
      </w:r>
      <w:r>
        <w:rPr>
          <w:rFonts w:hint="eastAsia" w:ascii="黑体" w:hAnsi="黑体" w:eastAsia="黑体" w:cs="黑体"/>
          <w:b w:val="0"/>
          <w:bCs/>
          <w:kern w:val="2"/>
          <w:sz w:val="32"/>
          <w:szCs w:val="32"/>
        </w:rPr>
        <w:t>主要内容</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ascii="仿宋_GB2312" w:hAnsi="楷体" w:eastAsia="仿宋_GB2312" w:cs="楷体"/>
          <w:sz w:val="32"/>
          <w:szCs w:val="32"/>
        </w:rPr>
      </w:pPr>
      <w:r>
        <w:rPr>
          <w:rFonts w:hint="eastAsia" w:ascii="仿宋_GB2312" w:hAnsi="楷体" w:eastAsia="仿宋_GB2312" w:cs="楷体"/>
          <w:sz w:val="32"/>
          <w:szCs w:val="32"/>
        </w:rPr>
        <w:t>该《规定》条文共计1</w:t>
      </w:r>
      <w:r>
        <w:rPr>
          <w:rFonts w:hint="eastAsia" w:ascii="仿宋_GB2312" w:hAnsi="楷体" w:eastAsia="仿宋_GB2312" w:cs="楷体"/>
          <w:sz w:val="32"/>
          <w:szCs w:val="32"/>
          <w:lang w:val="en-US" w:eastAsia="zh-CN"/>
        </w:rPr>
        <w:t>9</w:t>
      </w:r>
      <w:r>
        <w:rPr>
          <w:rFonts w:hint="eastAsia" w:ascii="仿宋_GB2312" w:hAnsi="楷体" w:eastAsia="仿宋_GB2312" w:cs="楷体"/>
          <w:sz w:val="32"/>
          <w:szCs w:val="32"/>
        </w:rPr>
        <w:t>条，主要针对中心城区滨水（梅江、程江、黄塘河、周溪河、白宫河周边）、临山（清凉山、三丰山、梅花山、明阳寨、佛子高、天鹅山周边）地区进行空间要素管控。通过塑造以江为轴、以山为景的城市山水格局，明确了重点地区的建筑退距、高度、体量、色彩等要素管控要求，进一步加强了城市的空间立体性、平面协调性、风貌整体性和文脉延续性，切实保护好梅州中心城区特有的地域环境、文化特色和建筑风格等“基因”。</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hint="eastAsia" w:ascii="仿宋_GB2312" w:hAnsi="楷体" w:eastAsia="仿宋_GB2312" w:cs="楷体"/>
          <w:sz w:val="32"/>
          <w:szCs w:val="32"/>
          <w:lang w:val="en-US" w:eastAsia="zh-CN"/>
        </w:rPr>
      </w:pPr>
      <w:r>
        <w:rPr>
          <w:rFonts w:hint="eastAsia" w:ascii="仿宋_GB2312" w:hAnsi="楷体" w:eastAsia="仿宋_GB2312" w:cs="楷体"/>
          <w:sz w:val="32"/>
          <w:szCs w:val="32"/>
        </w:rPr>
        <w:t>第一条，</w:t>
      </w:r>
      <w:r>
        <w:rPr>
          <w:rFonts w:hint="eastAsia" w:ascii="仿宋_GB2312" w:hAnsi="楷体" w:eastAsia="仿宋_GB2312" w:cs="楷体"/>
          <w:sz w:val="32"/>
          <w:szCs w:val="32"/>
          <w:lang w:eastAsia="zh-CN"/>
        </w:rPr>
        <w:t>明确了</w:t>
      </w:r>
      <w:r>
        <w:rPr>
          <w:rFonts w:hint="eastAsia" w:ascii="仿宋_GB2312" w:hAnsi="楷体" w:eastAsia="仿宋_GB2312" w:cs="楷体"/>
          <w:sz w:val="32"/>
          <w:szCs w:val="32"/>
          <w:lang w:val="en-US" w:eastAsia="zh-CN"/>
        </w:rPr>
        <w:t>立法目的和依据。当前，我市建设主体的参差不齐、缺乏专门管控，导致城市建设占用了部分景观资源，影响了城市的望山、望江通廊，不利于城市景观和天际线的塑造。因此，我市当前迫切需要出台相关法律法规对滨水地区和临山地区建设进行管控。</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hint="eastAsia" w:ascii="仿宋_GB2312" w:hAnsi="楷体" w:eastAsia="仿宋_GB2312" w:cs="楷体"/>
          <w:sz w:val="32"/>
          <w:szCs w:val="32"/>
          <w:lang w:val="en-US" w:eastAsia="zh-CN"/>
        </w:rPr>
      </w:pPr>
      <w:r>
        <w:rPr>
          <w:rFonts w:hint="eastAsia" w:ascii="仿宋_GB2312" w:hAnsi="楷体" w:eastAsia="仿宋_GB2312" w:cs="楷体"/>
          <w:sz w:val="32"/>
          <w:szCs w:val="32"/>
          <w:lang w:val="en-US" w:eastAsia="zh-CN"/>
        </w:rPr>
        <w:t>第二条，明确了适用范围。主要为滨水地区的梅江、程江、黄塘河、周溪河、白宫河周边地区；以及临山地区的清凉山、三丰山、梅花山、明阳寨、佛子高、天峨山周边地区。</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hint="default" w:ascii="仿宋_GB2312" w:hAnsi="楷体" w:eastAsia="仿宋_GB2312" w:cs="楷体"/>
          <w:sz w:val="32"/>
          <w:szCs w:val="32"/>
          <w:lang w:val="en-US" w:eastAsia="zh-CN"/>
        </w:rPr>
      </w:pPr>
      <w:r>
        <w:rPr>
          <w:rFonts w:hint="eastAsia" w:ascii="仿宋_GB2312" w:hAnsi="楷体" w:eastAsia="仿宋_GB2312" w:cs="楷体"/>
          <w:sz w:val="32"/>
          <w:szCs w:val="32"/>
          <w:lang w:val="en-US" w:eastAsia="zh-CN"/>
        </w:rPr>
        <w:t>第三条，明确</w:t>
      </w:r>
      <w:r>
        <w:rPr>
          <w:rFonts w:hint="default" w:ascii="仿宋_GB2312" w:hAnsi="楷体" w:eastAsia="仿宋_GB2312" w:cs="楷体"/>
          <w:sz w:val="32"/>
          <w:szCs w:val="32"/>
          <w:lang w:val="en-US" w:eastAsia="zh-CN"/>
        </w:rPr>
        <w:t>了</w:t>
      </w:r>
      <w:r>
        <w:rPr>
          <w:rFonts w:hint="eastAsia" w:ascii="仿宋_GB2312" w:hAnsi="楷体" w:eastAsia="仿宋_GB2312" w:cs="楷体"/>
          <w:sz w:val="32"/>
          <w:szCs w:val="32"/>
          <w:lang w:val="en-US" w:eastAsia="zh-CN"/>
        </w:rPr>
        <w:t>各部门对于滨水临山地区规划和建设管理</w:t>
      </w:r>
      <w:r>
        <w:rPr>
          <w:rFonts w:hint="default" w:ascii="仿宋_GB2312" w:hAnsi="楷体" w:eastAsia="仿宋_GB2312" w:cs="楷体"/>
          <w:sz w:val="32"/>
          <w:szCs w:val="32"/>
          <w:lang w:val="en-US" w:eastAsia="zh-CN"/>
        </w:rPr>
        <w:t>工作应当</w:t>
      </w:r>
      <w:r>
        <w:rPr>
          <w:rFonts w:hint="eastAsia" w:ascii="仿宋_GB2312" w:hAnsi="楷体" w:eastAsia="仿宋_GB2312" w:cs="楷体"/>
          <w:sz w:val="32"/>
          <w:szCs w:val="32"/>
          <w:lang w:val="en-US" w:eastAsia="zh-CN"/>
        </w:rPr>
        <w:t>履行的法定职责</w:t>
      </w:r>
      <w:r>
        <w:rPr>
          <w:rFonts w:hint="default" w:ascii="仿宋_GB2312" w:hAnsi="楷体" w:eastAsia="仿宋_GB2312" w:cs="楷体"/>
          <w:sz w:val="32"/>
          <w:szCs w:val="32"/>
          <w:lang w:val="en-US" w:eastAsia="zh-CN"/>
        </w:rPr>
        <w:t>。</w:t>
      </w:r>
    </w:p>
    <w:p>
      <w:pPr>
        <w:keepNext w:val="0"/>
        <w:keepLines w:val="0"/>
        <w:pageBreakBefore w:val="0"/>
        <w:widowControl w:val="0"/>
        <w:kinsoku/>
        <w:wordWrap/>
        <w:overflowPunct/>
        <w:topLinePunct w:val="0"/>
        <w:autoSpaceDE/>
        <w:autoSpaceDN/>
        <w:bidi w:val="0"/>
        <w:adjustRightInd w:val="0"/>
        <w:spacing w:line="560" w:lineRule="exact"/>
        <w:ind w:firstLine="640" w:firstLineChars="200"/>
        <w:textAlignment w:val="baseline"/>
        <w:rPr>
          <w:rFonts w:hint="default" w:ascii="仿宋_GB2312" w:hAnsi="楷体" w:eastAsia="仿宋_GB2312" w:cs="楷体"/>
          <w:sz w:val="32"/>
          <w:szCs w:val="32"/>
          <w:lang w:val="en-US" w:eastAsia="zh-CN"/>
        </w:rPr>
      </w:pPr>
      <w:r>
        <w:rPr>
          <w:rFonts w:hint="eastAsia" w:ascii="仿宋_GB2312" w:hAnsi="楷体" w:eastAsia="仿宋_GB2312" w:cs="楷体"/>
          <w:sz w:val="32"/>
          <w:szCs w:val="32"/>
          <w:lang w:val="en-US" w:eastAsia="zh-CN"/>
        </w:rPr>
        <w:t>第四条，明确</w:t>
      </w:r>
      <w:r>
        <w:rPr>
          <w:rFonts w:hint="default" w:ascii="仿宋_GB2312" w:hAnsi="楷体" w:eastAsia="仿宋_GB2312" w:cs="楷体"/>
          <w:sz w:val="32"/>
          <w:szCs w:val="32"/>
          <w:lang w:val="en-US" w:eastAsia="zh-CN"/>
        </w:rPr>
        <w:t>了</w:t>
      </w:r>
      <w:r>
        <w:rPr>
          <w:rFonts w:hint="eastAsia" w:ascii="仿宋_GB2312" w:hAnsi="楷体" w:eastAsia="仿宋_GB2312" w:cs="楷体"/>
          <w:sz w:val="32"/>
          <w:szCs w:val="32"/>
          <w:lang w:val="en-US" w:eastAsia="zh-CN"/>
        </w:rPr>
        <w:t>滨水临山地区的管控原则，明确了保护自然山水的天然性，保障土地的可持续利用。</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楷体" w:eastAsia="仿宋_GB2312" w:cs="楷体"/>
          <w:kern w:val="2"/>
          <w:sz w:val="32"/>
          <w:szCs w:val="32"/>
          <w:lang w:val="en-US" w:eastAsia="zh-CN" w:bidi="ar-SA"/>
        </w:rPr>
      </w:pPr>
      <w:r>
        <w:rPr>
          <w:rFonts w:hint="eastAsia" w:ascii="仿宋_GB2312" w:hAnsi="楷体" w:eastAsia="仿宋_GB2312" w:cs="楷体"/>
          <w:kern w:val="2"/>
          <w:sz w:val="32"/>
          <w:szCs w:val="32"/>
          <w:lang w:val="en-US" w:eastAsia="zh-CN" w:bidi="ar-SA"/>
        </w:rPr>
        <w:t>第五条，明确了滨水临山地区内所有建设项目应符合城市规划管理的原则性要求，</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bCs/>
          <w:sz w:val="32"/>
          <w:szCs w:val="32"/>
          <w:lang w:eastAsia="zh-CN"/>
        </w:rPr>
      </w:pPr>
      <w:r>
        <w:rPr>
          <w:rFonts w:hint="eastAsia" w:ascii="仿宋_GB2312" w:hAnsi="楷体" w:eastAsia="仿宋_GB2312" w:cs="楷体"/>
          <w:kern w:val="2"/>
          <w:sz w:val="32"/>
          <w:szCs w:val="32"/>
          <w:lang w:val="en-US" w:eastAsia="zh-CN" w:bidi="ar-SA"/>
        </w:rPr>
        <w:t>第六条，倡导滨水地区地块开发模式，鼓励采</w:t>
      </w:r>
      <w:r>
        <w:rPr>
          <w:rFonts w:hint="eastAsia" w:ascii="仿宋_GB2312" w:eastAsia="仿宋_GB2312"/>
          <w:bCs/>
          <w:sz w:val="32"/>
          <w:szCs w:val="32"/>
        </w:rPr>
        <w:t>用“统一规划、统一出让、连片开发、合理布局、综合配套”的方式进行建设</w:t>
      </w:r>
      <w:r>
        <w:rPr>
          <w:rFonts w:hint="eastAsia" w:ascii="仿宋_GB2312" w:eastAsia="仿宋_GB2312"/>
          <w:bCs/>
          <w:sz w:val="32"/>
          <w:szCs w:val="32"/>
          <w:lang w:eastAsia="zh-CN"/>
        </w:rPr>
        <w:t>。</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eastAsia="zh-CN"/>
        </w:rPr>
        <w:t>第七条，划定了以水务部门的临水控制线对滨水地区进行管控。</w:t>
      </w:r>
      <w:r>
        <w:rPr>
          <w:rFonts w:hint="eastAsia" w:ascii="仿宋_GB2312" w:eastAsia="仿宋_GB2312" w:cs="Times New Roman"/>
          <w:bCs/>
          <w:sz w:val="32"/>
          <w:szCs w:val="32"/>
        </w:rPr>
        <w:t>临</w:t>
      </w:r>
      <w:r>
        <w:rPr>
          <w:rFonts w:hint="eastAsia" w:ascii="仿宋_GB2312" w:eastAsia="仿宋_GB2312"/>
          <w:bCs/>
          <w:sz w:val="32"/>
          <w:szCs w:val="32"/>
        </w:rPr>
        <w:t>水控制线范围以内为</w:t>
      </w:r>
      <w:r>
        <w:rPr>
          <w:rFonts w:hint="eastAsia" w:ascii="仿宋_GB2312" w:eastAsia="仿宋_GB2312"/>
          <w:sz w:val="32"/>
          <w:szCs w:val="18"/>
        </w:rPr>
        <w:t>禁止建设</w:t>
      </w:r>
      <w:r>
        <w:rPr>
          <w:rFonts w:hint="eastAsia" w:ascii="仿宋_GB2312" w:eastAsia="仿宋_GB2312"/>
          <w:bCs/>
          <w:sz w:val="32"/>
          <w:szCs w:val="32"/>
        </w:rPr>
        <w:t>区</w:t>
      </w:r>
      <w:r>
        <w:rPr>
          <w:rFonts w:hint="eastAsia" w:ascii="仿宋_GB2312" w:eastAsia="仿宋_GB2312"/>
          <w:bCs/>
          <w:sz w:val="32"/>
          <w:szCs w:val="32"/>
          <w:lang w:eastAsia="zh-CN"/>
        </w:rPr>
        <w:t>，</w:t>
      </w:r>
      <w:r>
        <w:rPr>
          <w:rFonts w:hint="eastAsia" w:ascii="仿宋_GB2312" w:eastAsia="仿宋_GB2312"/>
          <w:sz w:val="32"/>
          <w:szCs w:val="18"/>
        </w:rPr>
        <w:t>禁止建设区</w:t>
      </w:r>
      <w:r>
        <w:rPr>
          <w:rFonts w:hint="eastAsia" w:ascii="仿宋_GB2312" w:eastAsia="仿宋_GB2312"/>
          <w:bCs/>
          <w:sz w:val="32"/>
          <w:szCs w:val="32"/>
        </w:rPr>
        <w:t>以外30米（梅江为50米）范围内为限制建设区</w:t>
      </w:r>
    </w:p>
    <w:p>
      <w:pPr>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bCs/>
          <w:sz w:val="32"/>
          <w:szCs w:val="32"/>
        </w:rPr>
      </w:pPr>
      <w:r>
        <w:rPr>
          <w:rFonts w:hint="eastAsia" w:ascii="仿宋_GB2312" w:eastAsia="仿宋_GB2312"/>
          <w:bCs/>
          <w:sz w:val="32"/>
          <w:szCs w:val="32"/>
          <w:lang w:eastAsia="zh-CN"/>
        </w:rPr>
        <w:t>第八条，规定了滨水一线地区的视线通廊控制的具体要求，</w:t>
      </w:r>
      <w:r>
        <w:rPr>
          <w:rFonts w:hint="eastAsia" w:ascii="仿宋_GB2312" w:eastAsia="仿宋_GB2312"/>
          <w:bCs/>
          <w:sz w:val="32"/>
          <w:szCs w:val="32"/>
        </w:rPr>
        <w:t>确保视线开敞性。</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第九条，规定了滨水一线地区建筑高度管控要求，有助于形成富有韵律的城市天际轮廊线。</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lang w:val="en-US" w:eastAsia="zh-CN"/>
        </w:rPr>
        <w:t>第十条，禁止滨水地线地区主朝向采用</w:t>
      </w:r>
      <w:r>
        <w:rPr>
          <w:rFonts w:hint="eastAsia" w:ascii="仿宋_GB2312" w:eastAsia="仿宋_GB2312"/>
          <w:bCs/>
          <w:sz w:val="32"/>
          <w:szCs w:val="32"/>
        </w:rPr>
        <w:t>大面宽的高层板式建筑</w:t>
      </w:r>
      <w:r>
        <w:rPr>
          <w:rFonts w:hint="eastAsia" w:ascii="仿宋_GB2312" w:eastAsia="仿宋_GB2312"/>
          <w:bCs/>
          <w:sz w:val="32"/>
          <w:szCs w:val="32"/>
          <w:lang w:eastAsia="zh-CN"/>
        </w:rPr>
        <w:t>，确保城市达到显山露水效果。</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cs="Times New Roman"/>
          <w:bCs/>
          <w:sz w:val="32"/>
          <w:szCs w:val="32"/>
          <w:lang w:eastAsia="zh-CN"/>
        </w:rPr>
      </w:pPr>
      <w:r>
        <w:rPr>
          <w:rFonts w:hint="eastAsia" w:ascii="仿宋_GB2312" w:eastAsia="仿宋_GB2312"/>
          <w:bCs/>
          <w:sz w:val="32"/>
          <w:szCs w:val="32"/>
          <w:lang w:eastAsia="zh-CN"/>
        </w:rPr>
        <w:t>第十一条，明确了</w:t>
      </w:r>
      <w:r>
        <w:rPr>
          <w:rFonts w:hint="eastAsia" w:ascii="仿宋_GB2312" w:eastAsia="仿宋_GB2312"/>
          <w:bCs/>
          <w:sz w:val="32"/>
          <w:szCs w:val="32"/>
        </w:rPr>
        <w:t>临山地区的限制建设区以自然保护区生态保护红线为基础进</w:t>
      </w:r>
      <w:r>
        <w:rPr>
          <w:rFonts w:hint="eastAsia" w:ascii="仿宋_GB2312" w:eastAsia="仿宋_GB2312" w:cs="Times New Roman"/>
          <w:bCs/>
          <w:sz w:val="32"/>
          <w:szCs w:val="32"/>
        </w:rPr>
        <w:t>行控制</w:t>
      </w:r>
      <w:r>
        <w:rPr>
          <w:rFonts w:hint="eastAsia" w:ascii="仿宋_GB2312" w:eastAsia="仿宋_GB2312" w:cs="Times New Roman"/>
          <w:bCs/>
          <w:sz w:val="32"/>
          <w:szCs w:val="32"/>
          <w:lang w:eastAsia="zh-CN"/>
        </w:rPr>
        <w:t>。</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bCs/>
          <w:sz w:val="32"/>
          <w:szCs w:val="32"/>
          <w:lang w:eastAsia="zh-CN"/>
        </w:rPr>
      </w:pPr>
      <w:r>
        <w:rPr>
          <w:rFonts w:hint="eastAsia" w:ascii="仿宋_GB2312" w:eastAsia="仿宋_GB2312" w:cs="Times New Roman"/>
          <w:bCs/>
          <w:sz w:val="32"/>
          <w:szCs w:val="32"/>
          <w:lang w:eastAsia="zh-CN"/>
        </w:rPr>
        <w:t>第十二条，提出了临山周边建筑的城市设计要求，</w:t>
      </w:r>
      <w:r>
        <w:rPr>
          <w:rFonts w:hint="eastAsia" w:ascii="仿宋_GB2312" w:eastAsia="仿宋_GB2312"/>
          <w:bCs/>
          <w:sz w:val="32"/>
          <w:szCs w:val="32"/>
        </w:rPr>
        <w:t>确保项目建设与周边山体环境协调</w:t>
      </w:r>
      <w:r>
        <w:rPr>
          <w:rFonts w:hint="eastAsia" w:ascii="仿宋_GB2312" w:eastAsia="仿宋_GB2312"/>
          <w:bCs/>
          <w:sz w:val="32"/>
          <w:szCs w:val="32"/>
          <w:lang w:eastAsia="zh-CN"/>
        </w:rPr>
        <w:t>。</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eastAsia="仿宋_GB2312"/>
          <w:bCs/>
          <w:sz w:val="32"/>
          <w:szCs w:val="32"/>
          <w:lang w:eastAsia="zh-CN"/>
        </w:rPr>
      </w:pPr>
      <w:r>
        <w:rPr>
          <w:rFonts w:hint="eastAsia" w:ascii="仿宋_GB2312" w:eastAsia="仿宋_GB2312"/>
          <w:bCs/>
          <w:sz w:val="32"/>
          <w:szCs w:val="32"/>
          <w:lang w:eastAsia="zh-CN"/>
        </w:rPr>
        <w:t>第十三条，提出了山水区域应有良好的公共性和可进入性，让公众得以共享自然。</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方正小标宋简体" w:eastAsia="仿宋_GB2312" w:cs="方正小标宋简体"/>
          <w:sz w:val="32"/>
          <w:szCs w:val="32"/>
          <w:lang w:eastAsia="zh-CN"/>
        </w:rPr>
      </w:pPr>
      <w:r>
        <w:rPr>
          <w:rFonts w:hint="eastAsia" w:ascii="仿宋_GB2312" w:eastAsia="仿宋_GB2312"/>
          <w:bCs/>
          <w:sz w:val="32"/>
          <w:szCs w:val="32"/>
          <w:lang w:eastAsia="zh-CN"/>
        </w:rPr>
        <w:t>第十四条，原则上对</w:t>
      </w:r>
      <w:r>
        <w:rPr>
          <w:rFonts w:hint="eastAsia" w:ascii="仿宋_GB2312" w:hAnsi="方正小标宋简体" w:eastAsia="仿宋_GB2312" w:cs="方正小标宋简体"/>
          <w:sz w:val="32"/>
          <w:szCs w:val="32"/>
        </w:rPr>
        <w:t>滨水临山地区的禁止建设区和限制建设区内建设不符合本规定的各类建筑</w:t>
      </w:r>
      <w:r>
        <w:rPr>
          <w:rFonts w:hint="eastAsia" w:ascii="仿宋_GB2312" w:hAnsi="方正小标宋简体" w:eastAsia="仿宋_GB2312" w:cs="方正小标宋简体"/>
          <w:sz w:val="32"/>
          <w:szCs w:val="32"/>
          <w:lang w:eastAsia="zh-CN"/>
        </w:rPr>
        <w:t>可以予以保留。但如有必要，必须依法拆除。</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lang w:eastAsia="zh-CN"/>
        </w:rPr>
        <w:t>第十五条，明确了各部门对违法用地、违法建设行为要依照相关法律法规严肃处理。</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lang w:eastAsia="zh-CN"/>
        </w:rPr>
        <w:t>第十六条，本规定出台后，如有更新或更严格的国家法律、法规和有关技术标准，从严执行。</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lang w:eastAsia="zh-CN"/>
        </w:rPr>
        <w:t>第十七条，明确了规定的动态更新机制，确保及时修正，科学指导城市建设。</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_GB2312" w:hAnsi="方正小标宋简体" w:eastAsia="仿宋_GB2312" w:cs="方正小标宋简体"/>
          <w:sz w:val="32"/>
          <w:szCs w:val="32"/>
          <w:lang w:eastAsia="zh-CN"/>
        </w:rPr>
      </w:pPr>
      <w:r>
        <w:rPr>
          <w:rFonts w:hint="eastAsia" w:ascii="仿宋_GB2312" w:hAnsi="方正小标宋简体" w:eastAsia="仿宋_GB2312" w:cs="方正小标宋简体"/>
          <w:sz w:val="32"/>
          <w:szCs w:val="32"/>
          <w:lang w:eastAsia="zh-CN"/>
        </w:rPr>
        <w:t>第十八条，对台地式布局、临水控制线、大面宽等专有名词进行解释。</w:t>
      </w:r>
    </w:p>
    <w:p>
      <w:pPr>
        <w:pStyle w:val="9"/>
        <w:keepNext w:val="0"/>
        <w:keepLines w:val="0"/>
        <w:pageBreakBefore w:val="0"/>
        <w:widowControl w:val="0"/>
        <w:kinsoku/>
        <w:wordWrap/>
        <w:overflowPunct/>
        <w:topLinePunct w:val="0"/>
        <w:autoSpaceDE/>
        <w:autoSpaceDN/>
        <w:bidi w:val="0"/>
        <w:spacing w:line="560" w:lineRule="exact"/>
        <w:ind w:firstLine="640" w:firstLineChars="200"/>
        <w:rPr>
          <w:rFonts w:hint="eastAsia" w:ascii="仿宋" w:hAnsi="仿宋" w:eastAsia="仿宋" w:cs="仿宋"/>
          <w:sz w:val="32"/>
          <w:szCs w:val="32"/>
          <w:highlight w:val="none"/>
          <w:lang w:val="en-US" w:eastAsia="zh-CN"/>
        </w:rPr>
      </w:pPr>
      <w:r>
        <w:rPr>
          <w:rFonts w:hint="eastAsia" w:ascii="仿宋_GB2312" w:hAnsi="方正小标宋简体" w:eastAsia="仿宋_GB2312" w:cs="方正小标宋简体"/>
          <w:sz w:val="32"/>
          <w:szCs w:val="32"/>
          <w:lang w:eastAsia="zh-CN"/>
        </w:rPr>
        <w:t>第十九条</w:t>
      </w:r>
      <w:r>
        <w:rPr>
          <w:rFonts w:hint="eastAsia" w:ascii="仿宋_GB2312" w:hAnsi="方正小标宋简体" w:eastAsia="仿宋_GB2312" w:cs="方正小标宋简体"/>
          <w:sz w:val="32"/>
          <w:szCs w:val="32"/>
          <w:lang w:val="en-US" w:eastAsia="zh-CN"/>
        </w:rPr>
        <w:t xml:space="preserve"> </w:t>
      </w:r>
      <w:r>
        <w:rPr>
          <w:rFonts w:hint="eastAsia" w:ascii="仿宋_GB2312" w:hAnsi="方正小标宋简体" w:eastAsia="仿宋_GB2312" w:cs="方正小标宋简体"/>
          <w:sz w:val="32"/>
          <w:szCs w:val="32"/>
          <w:lang w:eastAsia="zh-CN"/>
        </w:rPr>
        <w:t>明确了</w:t>
      </w:r>
      <w:r>
        <w:rPr>
          <w:rFonts w:hint="eastAsia" w:ascii="仿宋_GB2312" w:hAnsi="方正小标宋简体" w:eastAsia="仿宋_GB2312" w:cs="方正小标宋简体"/>
          <w:sz w:val="32"/>
          <w:szCs w:val="32"/>
        </w:rPr>
        <w:t>本规定</w:t>
      </w:r>
      <w:r>
        <w:rPr>
          <w:rFonts w:hint="eastAsia" w:ascii="仿宋_GB2312" w:hAnsi="方正小标宋简体" w:eastAsia="仿宋_GB2312" w:cs="方正小标宋简体"/>
          <w:sz w:val="32"/>
          <w:szCs w:val="32"/>
          <w:lang w:eastAsia="zh-CN"/>
        </w:rPr>
        <w:t>的施行日期。</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汉仪中圆B5"/>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汉仪仿宋简"/>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汉仪中圆B5">
    <w:panose1 w:val="02010600000101010101"/>
    <w:charset w:val="88"/>
    <w:family w:val="auto"/>
    <w:pitch w:val="default"/>
    <w:sig w:usb0="00000001" w:usb1="080E0800" w:usb2="00000002" w:usb3="00000000" w:csb0="00100000"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A4666"/>
    <w:multiLevelType w:val="singleLevel"/>
    <w:tmpl w:val="D69A466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DljNGE2YTYzM2QyMWZkN2IxYzY4NzI0YjAzOTgifQ=="/>
  </w:docVars>
  <w:rsids>
    <w:rsidRoot w:val="FFFDB815"/>
    <w:rsid w:val="00EA0745"/>
    <w:rsid w:val="0158128D"/>
    <w:rsid w:val="03EF0698"/>
    <w:rsid w:val="06A04B8B"/>
    <w:rsid w:val="09806C85"/>
    <w:rsid w:val="09F04EC7"/>
    <w:rsid w:val="0F40208A"/>
    <w:rsid w:val="104A15A7"/>
    <w:rsid w:val="16F71B44"/>
    <w:rsid w:val="176B82EB"/>
    <w:rsid w:val="17CF8100"/>
    <w:rsid w:val="18B00494"/>
    <w:rsid w:val="1B2928A5"/>
    <w:rsid w:val="1C1222ED"/>
    <w:rsid w:val="200B777F"/>
    <w:rsid w:val="27077D27"/>
    <w:rsid w:val="28BF3FDA"/>
    <w:rsid w:val="2D301C53"/>
    <w:rsid w:val="2E7438E5"/>
    <w:rsid w:val="36FF8341"/>
    <w:rsid w:val="372D24E2"/>
    <w:rsid w:val="37B55F94"/>
    <w:rsid w:val="38FF83CD"/>
    <w:rsid w:val="3C492655"/>
    <w:rsid w:val="3CB20287"/>
    <w:rsid w:val="3F7B87EE"/>
    <w:rsid w:val="3F8FE4D3"/>
    <w:rsid w:val="445F2F8A"/>
    <w:rsid w:val="45F76099"/>
    <w:rsid w:val="465E6DA5"/>
    <w:rsid w:val="47F7196D"/>
    <w:rsid w:val="492B2BA2"/>
    <w:rsid w:val="4BB40B47"/>
    <w:rsid w:val="4C813536"/>
    <w:rsid w:val="4E3867C8"/>
    <w:rsid w:val="4EFACBE8"/>
    <w:rsid w:val="4FB92AE8"/>
    <w:rsid w:val="4FFE1111"/>
    <w:rsid w:val="50067498"/>
    <w:rsid w:val="5024046C"/>
    <w:rsid w:val="533FECD6"/>
    <w:rsid w:val="55AE2AAB"/>
    <w:rsid w:val="57FE9ED7"/>
    <w:rsid w:val="5DAB0499"/>
    <w:rsid w:val="5EB210E5"/>
    <w:rsid w:val="5F6B5FE6"/>
    <w:rsid w:val="5F7C0454"/>
    <w:rsid w:val="5FF21543"/>
    <w:rsid w:val="604510AD"/>
    <w:rsid w:val="63BF37A5"/>
    <w:rsid w:val="66BFBC4F"/>
    <w:rsid w:val="677F626F"/>
    <w:rsid w:val="6C5D71F1"/>
    <w:rsid w:val="6DFBCA8C"/>
    <w:rsid w:val="6FCA1E38"/>
    <w:rsid w:val="708F2D68"/>
    <w:rsid w:val="73440131"/>
    <w:rsid w:val="76FD4AD1"/>
    <w:rsid w:val="7736E129"/>
    <w:rsid w:val="777C5C81"/>
    <w:rsid w:val="77FE483E"/>
    <w:rsid w:val="797EF8E0"/>
    <w:rsid w:val="79F7593A"/>
    <w:rsid w:val="7CFD225B"/>
    <w:rsid w:val="7D5F9C54"/>
    <w:rsid w:val="7D7A26B8"/>
    <w:rsid w:val="7DBB3045"/>
    <w:rsid w:val="7E2048FB"/>
    <w:rsid w:val="7EDB4AFE"/>
    <w:rsid w:val="7EDCF5B5"/>
    <w:rsid w:val="7F271055"/>
    <w:rsid w:val="7F676610"/>
    <w:rsid w:val="7F8C6F61"/>
    <w:rsid w:val="7FAF9336"/>
    <w:rsid w:val="7FAFF810"/>
    <w:rsid w:val="7FEEA88E"/>
    <w:rsid w:val="7FEF7C35"/>
    <w:rsid w:val="7FFBC000"/>
    <w:rsid w:val="7FFF23B9"/>
    <w:rsid w:val="7FFF24EF"/>
    <w:rsid w:val="9DDFFEE2"/>
    <w:rsid w:val="ABDF6467"/>
    <w:rsid w:val="B7DEA085"/>
    <w:rsid w:val="BE7C320B"/>
    <w:rsid w:val="BF2B892A"/>
    <w:rsid w:val="C75FE7E1"/>
    <w:rsid w:val="CFB6FDA9"/>
    <w:rsid w:val="CFFDC88E"/>
    <w:rsid w:val="D9EF2472"/>
    <w:rsid w:val="DDB72D28"/>
    <w:rsid w:val="DF5B5591"/>
    <w:rsid w:val="DFFB373F"/>
    <w:rsid w:val="E5FF32D0"/>
    <w:rsid w:val="E6FCD8B2"/>
    <w:rsid w:val="E75F411A"/>
    <w:rsid w:val="E79D2F06"/>
    <w:rsid w:val="E7BD510E"/>
    <w:rsid w:val="E7CE8F6F"/>
    <w:rsid w:val="E9302C2D"/>
    <w:rsid w:val="E98F7254"/>
    <w:rsid w:val="EE5B847A"/>
    <w:rsid w:val="EFBD98E5"/>
    <w:rsid w:val="EFC7ABF1"/>
    <w:rsid w:val="F5DA500D"/>
    <w:rsid w:val="F7FC4A43"/>
    <w:rsid w:val="F7FD1567"/>
    <w:rsid w:val="F9DE653A"/>
    <w:rsid w:val="F9FF7C87"/>
    <w:rsid w:val="FBEFE899"/>
    <w:rsid w:val="FCA78EC3"/>
    <w:rsid w:val="FE5B23F0"/>
    <w:rsid w:val="FEEB65CB"/>
    <w:rsid w:val="FEFCECAE"/>
    <w:rsid w:val="FF57B3FD"/>
    <w:rsid w:val="FF771723"/>
    <w:rsid w:val="FF7D6B18"/>
    <w:rsid w:val="FFABF8BA"/>
    <w:rsid w:val="FFAF7D9D"/>
    <w:rsid w:val="FFBF50C9"/>
    <w:rsid w:val="FFEB24AD"/>
    <w:rsid w:val="FFFDB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3" w:firstLineChars="200"/>
      <w:jc w:val="both"/>
    </w:pPr>
    <w:rPr>
      <w:rFonts w:ascii="Calibri" w:hAnsi="Calibri" w:eastAsia="方正仿宋_GB2312" w:cs="Times New Roman"/>
      <w:kern w:val="2"/>
      <w:sz w:val="28"/>
      <w:szCs w:val="24"/>
      <w:lang w:val="en-US" w:eastAsia="zh-CN" w:bidi="ar-SA"/>
    </w:rPr>
  </w:style>
  <w:style w:type="paragraph" w:styleId="2">
    <w:name w:val="heading 1"/>
    <w:basedOn w:val="1"/>
    <w:next w:val="1"/>
    <w:qFormat/>
    <w:uiPriority w:val="0"/>
    <w:pPr>
      <w:keepNext/>
      <w:keepLines/>
      <w:spacing w:before="50" w:beforeLines="50" w:after="50" w:afterLines="50"/>
      <w:ind w:firstLine="0" w:firstLineChars="0"/>
      <w:jc w:val="center"/>
      <w:outlineLvl w:val="0"/>
    </w:pPr>
    <w:rPr>
      <w:rFonts w:ascii="Calibri" w:hAnsi="Calibri" w:eastAsia="黑体"/>
      <w:kern w:val="44"/>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Indent"/>
    <w:basedOn w:val="1"/>
    <w:next w:val="1"/>
    <w:unhideWhenUsed/>
    <w:qFormat/>
    <w:uiPriority w:val="99"/>
    <w:pPr>
      <w:ind w:firstLine="645"/>
    </w:pPr>
    <w:rPr>
      <w:rFonts w:ascii="黑体" w:eastAsia="黑体"/>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9">
    <w:name w:val="Body Text First Indent 2"/>
    <w:basedOn w:val="3"/>
    <w:unhideWhenUsed/>
    <w:qFormat/>
    <w:uiPriority w:val="99"/>
    <w:pPr>
      <w:ind w:firstLine="960"/>
    </w:p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Default"/>
    <w:unhideWhenUsed/>
    <w:qFormat/>
    <w:uiPriority w:val="0"/>
    <w:pPr>
      <w:widowControl w:val="0"/>
      <w:autoSpaceDE w:val="0"/>
      <w:autoSpaceDN w:val="0"/>
      <w:adjustRightInd w:val="0"/>
    </w:pPr>
    <w:rPr>
      <w:rFonts w:hint="eastAsia" w:ascii="仿宋_GB2312" w:hAnsi="仿宋_GB2312" w:eastAsia="仿宋_GB2312" w:cs="仿宋_GB2312"/>
      <w:color w:val="000000"/>
      <w:sz w:val="24"/>
      <w:szCs w:val="24"/>
      <w:lang w:val="en-US" w:eastAsia="zh-CN" w:bidi="ar-SA"/>
    </w:rPr>
  </w:style>
  <w:style w:type="paragraph" w:customStyle="1" w:styleId="15">
    <w:name w:val="Body Text First Indent 2"/>
    <w:basedOn w:val="16"/>
    <w:qFormat/>
    <w:uiPriority w:val="0"/>
    <w:pPr>
      <w:spacing w:line="360" w:lineRule="auto"/>
    </w:pPr>
    <w:rPr>
      <w:rFonts w:eastAsia="宋体"/>
      <w:sz w:val="24"/>
    </w:rPr>
  </w:style>
  <w:style w:type="paragraph" w:customStyle="1" w:styleId="16">
    <w:name w:val="Body Text Indent"/>
    <w:basedOn w:val="1"/>
    <w:qFormat/>
    <w:uiPriority w:val="0"/>
    <w:pPr>
      <w:spacing w:line="150" w:lineRule="atLeast"/>
      <w:ind w:firstLine="420" w:firstLineChars="200"/>
      <w:textAlignment w:val="baseline"/>
    </w:pPr>
    <w:rPr>
      <w:rFonts w:ascii="Times New Roman" w:hAnsi="Times New Roman" w:cs="Times New Roman"/>
      <w:szCs w:val="24"/>
      <w:lang w:bidi="ar-SA"/>
    </w:rPr>
  </w:style>
  <w:style w:type="paragraph" w:customStyle="1" w:styleId="17">
    <w:name w:val="TiaoYinV2"/>
    <w:qFormat/>
    <w:uiPriority w:val="0"/>
    <w:pPr>
      <w:widowControl w:val="0"/>
      <w:jc w:val="both"/>
    </w:pPr>
    <w:rPr>
      <w:rFonts w:asciiTheme="minorHAnsi" w:hAnsiTheme="minorHAnsi" w:eastAsiaTheme="minorEastAsia" w:cstheme="minorBidi"/>
      <w:color w:val="218FC4"/>
      <w:kern w:val="2"/>
      <w:sz w:val="28"/>
      <w:szCs w:val="24"/>
      <w:lang w:val="en-US" w:eastAsia="zh-CN" w:bidi="ar-SA"/>
    </w:rPr>
  </w:style>
  <w:style w:type="paragraph" w:customStyle="1" w:styleId="18">
    <w:name w:val="正文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 w:type="paragraph" w:customStyle="1" w:styleId="19">
    <w:name w:val="0"/>
    <w:basedOn w:val="1"/>
    <w:qFormat/>
    <w:uiPriority w:val="0"/>
    <w:pPr>
      <w:widowControl/>
      <w:snapToGrid w:val="0"/>
      <w:spacing w:line="240" w:lineRule="atLeast"/>
    </w:pPr>
    <w:rPr>
      <w:spacing w:val="-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5961</Words>
  <Characters>6101</Characters>
  <Lines>0</Lines>
  <Paragraphs>0</Paragraphs>
  <TotalTime>10</TotalTime>
  <ScaleCrop>false</ScaleCrop>
  <LinksUpToDate>false</LinksUpToDate>
  <CharactersWithSpaces>6101</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2022-07-19T00:50:00Z</dcterms:created>
  <dc:creator>立法基地</dc:creator>
  <cp:lastModifiedBy>greatwall</cp:lastModifiedBy>
  <dcterms:modified xsi:type="dcterms:W3CDTF">2024-02-06T16:37:20Z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DEB16217B886345D2021D662192F6D37</vt:lpwstr>
  </property>
</Properties>
</file>