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numPr>
          <w:ilvl w:val="0"/>
          <w:numId w:val="0"/>
        </w:numPr>
        <w:kinsoku/>
        <w:wordWrap/>
        <w:overflowPunct/>
        <w:topLinePunct w:val="0"/>
        <w:autoSpaceDE/>
        <w:autoSpaceDN/>
        <w:bidi w:val="0"/>
        <w:spacing w:before="0" w:beforeLines="0" w:beforeAutospacing="0" w:after="0" w:afterLines="0" w:afterAutospacing="0" w:line="540" w:lineRule="exact"/>
        <w:ind w:left="0" w:firstLine="0"/>
        <w:jc w:val="both"/>
        <w:textAlignment w:val="auto"/>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eastAsia="zh-CN"/>
        </w:rPr>
        <w:t>附件</w:t>
      </w:r>
      <w:r>
        <w:rPr>
          <w:rFonts w:hint="eastAsia" w:ascii="黑体" w:hAnsi="黑体" w:eastAsia="黑体" w:cs="黑体"/>
          <w:snapToGrid w:val="0"/>
          <w:kern w:val="0"/>
          <w:sz w:val="32"/>
          <w:szCs w:val="32"/>
          <w:lang w:val="en-US" w:eastAsia="zh-CN"/>
        </w:rPr>
        <w:t>1</w:t>
      </w:r>
    </w:p>
    <w:p>
      <w:pPr>
        <w:pStyle w:val="7"/>
        <w:pageBreakBefore w:val="0"/>
        <w:numPr>
          <w:ilvl w:val="0"/>
          <w:numId w:val="0"/>
        </w:numPr>
        <w:kinsoku/>
        <w:wordWrap/>
        <w:overflowPunct/>
        <w:topLinePunct w:val="0"/>
        <w:autoSpaceDE/>
        <w:autoSpaceDN/>
        <w:bidi w:val="0"/>
        <w:spacing w:before="0" w:beforeLines="0" w:beforeAutospacing="0" w:after="0" w:afterLines="0" w:afterAutospacing="0" w:line="540" w:lineRule="exact"/>
        <w:ind w:left="0" w:firstLine="0"/>
        <w:textAlignment w:val="auto"/>
        <w:rPr>
          <w:rFonts w:hint="eastAsia" w:ascii="方正小标宋简体" w:hAnsi="方正小标宋简体" w:eastAsia="方正小标宋简体" w:cs="方正小标宋简体"/>
          <w:snapToGrid w:val="0"/>
          <w:kern w:val="0"/>
          <w:sz w:val="44"/>
          <w:szCs w:val="44"/>
        </w:rPr>
      </w:pPr>
    </w:p>
    <w:p>
      <w:pPr>
        <w:pStyle w:val="7"/>
        <w:pageBreakBefore w:val="0"/>
        <w:numPr>
          <w:ilvl w:val="0"/>
          <w:numId w:val="0"/>
        </w:numPr>
        <w:kinsoku/>
        <w:wordWrap/>
        <w:overflowPunct/>
        <w:topLinePunct w:val="0"/>
        <w:autoSpaceDE/>
        <w:autoSpaceDN/>
        <w:bidi w:val="0"/>
        <w:spacing w:before="0" w:beforeLines="0" w:beforeAutospacing="0" w:after="0" w:afterLines="0" w:afterAutospacing="0" w:line="540" w:lineRule="exact"/>
        <w:ind w:left="0" w:firstLine="0"/>
        <w:textAlignment w:val="auto"/>
        <w:rPr>
          <w:rFonts w:hint="eastAsia" w:ascii="方正小标宋简体" w:hAnsi="方正小标宋简体" w:eastAsia="方正小标宋简体" w:cs="方正小标宋简体"/>
          <w:color w:val="auto"/>
          <w:kern w:val="44"/>
          <w:sz w:val="44"/>
          <w:szCs w:val="44"/>
          <w:shd w:val="clear" w:color="auto" w:fill="FFFFFF"/>
        </w:rPr>
      </w:pPr>
      <w:r>
        <w:rPr>
          <w:rFonts w:hint="eastAsia" w:ascii="方正小标宋简体" w:hAnsi="方正小标宋简体" w:eastAsia="方正小标宋简体" w:cs="方正小标宋简体"/>
          <w:snapToGrid w:val="0"/>
          <w:kern w:val="0"/>
          <w:sz w:val="44"/>
          <w:szCs w:val="44"/>
        </w:rPr>
        <w:t>知识产权纠纷行政裁决</w:t>
      </w:r>
      <w:r>
        <w:rPr>
          <w:rFonts w:hint="eastAsia" w:ascii="方正小标宋简体" w:hAnsi="方正小标宋简体" w:eastAsia="方正小标宋简体" w:cs="方正小标宋简体"/>
          <w:snapToGrid w:val="0"/>
          <w:kern w:val="0"/>
          <w:sz w:val="44"/>
          <w:szCs w:val="44"/>
          <w:lang w:eastAsia="zh-CN"/>
        </w:rPr>
        <w:t>效能</w:t>
      </w:r>
      <w:r>
        <w:rPr>
          <w:rFonts w:hint="eastAsia" w:ascii="方正小标宋简体" w:hAnsi="方正小标宋简体" w:eastAsia="方正小标宋简体" w:cs="方正小标宋简体"/>
          <w:snapToGrid w:val="0"/>
          <w:kern w:val="0"/>
          <w:sz w:val="44"/>
          <w:szCs w:val="44"/>
        </w:rPr>
        <w:t>提升</w:t>
      </w:r>
      <w:r>
        <w:rPr>
          <w:rFonts w:hint="eastAsia" w:ascii="方正小标宋简体" w:hAnsi="方正小标宋简体" w:eastAsia="方正小标宋简体" w:cs="方正小标宋简体"/>
          <w:color w:val="auto"/>
          <w:kern w:val="44"/>
          <w:sz w:val="44"/>
          <w:szCs w:val="44"/>
          <w:shd w:val="clear" w:color="auto" w:fill="FFFFFF"/>
        </w:rPr>
        <w:t>项目</w:t>
      </w:r>
    </w:p>
    <w:p>
      <w:pPr>
        <w:pStyle w:val="7"/>
        <w:pageBreakBefore w:val="0"/>
        <w:numPr>
          <w:ilvl w:val="0"/>
          <w:numId w:val="0"/>
        </w:numPr>
        <w:kinsoku/>
        <w:wordWrap/>
        <w:overflowPunct/>
        <w:topLinePunct w:val="0"/>
        <w:autoSpaceDE/>
        <w:autoSpaceDN/>
        <w:bidi w:val="0"/>
        <w:spacing w:before="0" w:beforeLines="0" w:beforeAutospacing="0" w:after="0" w:afterLines="0" w:afterAutospacing="0" w:line="540" w:lineRule="exact"/>
        <w:ind w:left="0" w:firstLine="0"/>
        <w:textAlignment w:val="auto"/>
        <w:rPr>
          <w:rFonts w:hint="eastAsia" w:ascii="方正小标宋简体" w:hAnsi="方正小标宋简体" w:eastAsia="方正小标宋简体" w:cs="方正小标宋简体"/>
          <w:color w:val="auto"/>
          <w:kern w:val="44"/>
          <w:sz w:val="44"/>
          <w:szCs w:val="44"/>
          <w:shd w:val="clear" w:color="auto" w:fill="FFFFFF"/>
        </w:rPr>
      </w:pPr>
      <w:r>
        <w:rPr>
          <w:rFonts w:hint="eastAsia" w:ascii="方正小标宋简体" w:hAnsi="方正小标宋简体" w:eastAsia="方正小标宋简体" w:cs="方正小标宋简体"/>
          <w:color w:val="auto"/>
          <w:kern w:val="44"/>
          <w:sz w:val="44"/>
          <w:szCs w:val="44"/>
          <w:shd w:val="clear" w:color="auto" w:fill="FFFFFF"/>
        </w:rPr>
        <w:t>申报指南</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left"/>
        <w:textAlignment w:val="auto"/>
        <w:rPr>
          <w:rFonts w:hint="eastAsia" w:ascii="方正小标宋简体" w:hAnsi="方正小标宋简体" w:eastAsia="方正小标宋简体" w:cs="方正小标宋简体"/>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知识产权纠纷行政裁决效能提升项目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二、项目目标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推动专利侵权纠纷行政裁决与市场监管综合行政执法融合，加强梅州市知识产权纠纷行政裁决队伍专业化、职业化建设，加大专利侵权纠纷行政裁决力度，提升行政裁决效能。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lang w:eastAsia="zh-CN"/>
        </w:rPr>
        <w:t>三、项目任务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（一）协助我市知识产权行政管理部门加强专利侵权纠纷行政裁决工作宣传，以印发专利侵权纠纷行政裁决工作宣传手册或举办宣传咨询活动等方式，提升创新主体利用行政裁决途径解决专利侵权纠纷的意识。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（二）根据我市知识产权行政管理部门工作需求，组织举办专利侵权纠纷行政裁决培训班不少于1场次，培训人数不少于</w:t>
      </w:r>
      <w:r>
        <w:rPr>
          <w:rFonts w:hint="eastAsia" w:ascii="仿宋_GB2312" w:hAnsi="仿宋_GB2312" w:eastAsia="仿宋_GB2312" w:cs="仿宋_GB2312"/>
          <w:sz w:val="32"/>
          <w:szCs w:val="32"/>
          <w:lang w:val="en-US" w:eastAsia="zh-CN"/>
        </w:rPr>
        <w:t>50人，</w:t>
      </w:r>
      <w:r>
        <w:rPr>
          <w:rFonts w:hint="eastAsia" w:ascii="仿宋_GB2312" w:hAnsi="仿宋_GB2312" w:eastAsia="仿宋_GB2312" w:cs="仿宋_GB2312"/>
          <w:sz w:val="32"/>
          <w:szCs w:val="32"/>
          <w:lang w:eastAsia="zh-CN"/>
        </w:rPr>
        <w:t>有效提升行政管理人员的行政裁决能力和水平。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（三）协助我市知识产权行政管理部门持续完善我市专利侵权纠纷行政裁决工作机制，在细化取证、固证等证据规则和技术调查、检验鉴定工作举措等方面提供专业意见。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（四）协助我市知识产权行政管理部门组织前往专利侵权纠纷行政裁决工作先进地区开展办案经验交流活动不少于</w:t>
      </w:r>
      <w:r>
        <w:rPr>
          <w:rFonts w:hint="eastAsia" w:ascii="仿宋_GB2312" w:hAnsi="仿宋_GB2312" w:eastAsia="仿宋_GB2312" w:cs="仿宋_GB2312"/>
          <w:sz w:val="32"/>
          <w:szCs w:val="32"/>
          <w:lang w:val="en-US" w:eastAsia="zh-CN"/>
        </w:rPr>
        <w:t>1次。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（五）根据我市知识产权行政管理部门工作需要，为专利侵权判定提供技术咨询服务。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（六）开展专利侵权纠纷专题调研，了解并收集企业关于专利侵权纠纷的相关诉求，形成专题调研分析报告，搭建知识产权行政管理部门与企业之间的法律咨询服务桥梁</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四、申报条件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sz w:val="32"/>
        </w:rPr>
        <w:t>具有独立法人资格的</w:t>
      </w:r>
      <w:r>
        <w:rPr>
          <w:rFonts w:hint="eastAsia" w:ascii="仿宋_GB2312" w:hAnsi="仿宋_GB2312" w:eastAsia="仿宋_GB2312"/>
          <w:sz w:val="32"/>
          <w:lang w:eastAsia="zh-CN"/>
        </w:rPr>
        <w:t>企事业单位</w:t>
      </w:r>
      <w:r>
        <w:rPr>
          <w:rFonts w:hint="eastAsia" w:ascii="仿宋_GB2312" w:hAnsi="仿宋_GB2312" w:eastAsia="仿宋_GB2312"/>
          <w:sz w:val="32"/>
        </w:rPr>
        <w:t>、</w:t>
      </w:r>
      <w:r>
        <w:rPr>
          <w:rFonts w:hint="eastAsia" w:ascii="仿宋_GB2312" w:hAnsi="仿宋_GB2312" w:eastAsia="仿宋_GB2312"/>
          <w:sz w:val="32"/>
          <w:lang w:eastAsia="zh-CN"/>
        </w:rPr>
        <w:t>社会组织</w:t>
      </w:r>
      <w:r>
        <w:rPr>
          <w:rFonts w:hint="eastAsia" w:ascii="仿宋_GB2312" w:hAnsi="仿宋_GB2312" w:eastAsia="仿宋_GB2312" w:cs="仿宋_GB2312"/>
          <w:sz w:val="32"/>
          <w:szCs w:val="32"/>
          <w:lang w:eastAsia="zh-CN"/>
        </w:rPr>
        <w:t>，具备提供专利侵权判定技术咨询服务以及邀请知名专利侵权纠纷行政裁决专家开展培训业务的能力。</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申报材料</w:t>
      </w:r>
    </w:p>
    <w:p>
      <w:pPr>
        <w:pStyle w:val="2"/>
        <w:keepNext/>
        <w:keepLines/>
        <w:pageBreakBefore w:val="0"/>
        <w:widowControl w:val="0"/>
        <w:numPr>
          <w:ilvl w:val="0"/>
          <w:numId w:val="0"/>
        </w:numPr>
        <w:kinsoku/>
        <w:wordWrap/>
        <w:overflowPunct/>
        <w:topLinePunct w:val="0"/>
        <w:autoSpaceDE/>
        <w:autoSpaceDN/>
        <w:bidi w:val="0"/>
        <w:adjustRightInd/>
        <w:snapToGrid/>
        <w:ind w:leftChars="0" w:firstLine="612" w:firstLineChars="200"/>
        <w:textAlignment w:val="auto"/>
        <w:rPr>
          <w:rFonts w:hint="eastAsia"/>
          <w:lang w:eastAsia="zh-CN"/>
        </w:rPr>
      </w:pPr>
      <w:r>
        <w:rPr>
          <w:rFonts w:hint="eastAsia" w:ascii="Times New Roman" w:hAnsi="Times New Roman" w:eastAsia="仿宋_GB2312" w:cs="Times New Roman"/>
          <w:b w:val="0"/>
          <w:bCs/>
          <w:color w:val="auto"/>
          <w:spacing w:val="-7"/>
          <w:kern w:val="0"/>
          <w:sz w:val="32"/>
          <w:szCs w:val="32"/>
          <w:lang w:val="en-US" w:eastAsia="zh-CN" w:bidi="ar-SA"/>
        </w:rPr>
        <w:t>申报单位通过“粤财扶助”梅州平台（网址：https://czbt.czt.gd.gov.cn/）申报。未注册的单位应参照登录界面的操作说明先行注册。</w:t>
      </w:r>
      <w:r>
        <w:rPr>
          <w:rFonts w:hint="eastAsia" w:eastAsia="仿宋_GB2312" w:cs="Times New Roman"/>
          <w:b w:val="0"/>
          <w:bCs/>
          <w:color w:val="auto"/>
          <w:spacing w:val="-7"/>
          <w:kern w:val="0"/>
          <w:sz w:val="32"/>
          <w:szCs w:val="32"/>
          <w:lang w:val="en-US" w:eastAsia="zh-CN" w:bidi="ar-SA"/>
        </w:rPr>
        <w:t>提交材料如下：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Theme="minorEastAsia"/>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）《梅州市202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年省下放市县知识产权专项资金知识产权保护类项目申报书》；（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）主体资格登记证书复印件、银行开户许可证复印件；（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）近两年的财务报表；（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）申报条件要求的资质和经验证明材料；</w:t>
      </w:r>
      <w:r>
        <w:rPr>
          <w:rFonts w:hint="eastAsia" w:eastAsia="仿宋_GB2312"/>
          <w:kern w:val="2"/>
          <w:sz w:val="32"/>
          <w:szCs w:val="32"/>
          <w:lang w:eastAsia="zh-CN"/>
        </w:rPr>
        <w:t>（</w:t>
      </w:r>
      <w:r>
        <w:rPr>
          <w:rFonts w:hint="eastAsia" w:eastAsia="仿宋_GB2312"/>
          <w:kern w:val="2"/>
          <w:sz w:val="32"/>
          <w:szCs w:val="32"/>
          <w:lang w:val="en-US" w:eastAsia="zh-CN"/>
        </w:rPr>
        <w:t>5</w:t>
      </w:r>
      <w:r>
        <w:rPr>
          <w:rFonts w:hint="eastAsia" w:ascii="仿宋_GB2312" w:hAnsi="仿宋_GB2312" w:eastAsia="仿宋_GB2312" w:cs="仿宋_GB2312"/>
          <w:kern w:val="2"/>
          <w:sz w:val="32"/>
          <w:szCs w:val="32"/>
          <w:lang w:val="en-US" w:eastAsia="zh-CN"/>
        </w:rPr>
        <w:t>）其他证明申报单位优势的佐证材料；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eastAsia="仿宋_GB2312"/>
          <w:kern w:val="2"/>
          <w:sz w:val="32"/>
          <w:szCs w:val="32"/>
        </w:rPr>
        <w:t>真实性承诺函</w:t>
      </w:r>
      <w:r>
        <w:rPr>
          <w:rFonts w:hint="eastAsia" w:eastAsia="仿宋_GB2312"/>
          <w:kern w:val="2"/>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上述材料均需加盖公章并在申报材料加盖骑缝章上传</w:t>
      </w:r>
      <w:r>
        <w:rPr>
          <w:rFonts w:hint="eastAsia" w:ascii="Times New Roman" w:hAnsi="Times New Roman" w:eastAsia="仿宋_GB2312" w:cs="Times New Roman"/>
          <w:b w:val="0"/>
          <w:bCs/>
          <w:color w:val="auto"/>
          <w:spacing w:val="-7"/>
          <w:kern w:val="0"/>
          <w:sz w:val="32"/>
          <w:szCs w:val="32"/>
          <w:lang w:val="en-US" w:eastAsia="zh-CN" w:bidi="ar-SA"/>
        </w:rPr>
        <w:t>“粤财扶助”梅州平台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提交材料包括打印纸质材料（一式伍份）和电子件（申报书的可编辑word版及所有申报材料的盖章扫描PDF版存储在1个光盘或优盘）。</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Times New Roman" w:hAnsi="Times New Roman" w:eastAsia="仿宋_GB2312" w:cs="仿宋_GB2312"/>
          <w:bCs w:val="0"/>
          <w:spacing w:val="0"/>
          <w:kern w:val="2"/>
          <w:sz w:val="32"/>
          <w:szCs w:val="32"/>
          <w:shd w:val="clear" w:color="auto" w:fill="FFFFFF"/>
          <w:lang w:val="en-US" w:eastAsia="zh-CN" w:bidi="ar-SA"/>
        </w:rPr>
        <w:t>项目申报办理联系人：</w:t>
      </w:r>
      <w:r>
        <w:rPr>
          <w:rFonts w:hint="eastAsia" w:eastAsia="仿宋_GB2312"/>
          <w:color w:val="auto"/>
          <w:sz w:val="32"/>
          <w:lang w:eastAsia="zh-CN"/>
        </w:rPr>
        <w:t>梅州市市场监督管理局知识产权保护科</w:t>
      </w:r>
      <w:r>
        <w:rPr>
          <w:rFonts w:hint="eastAsia" w:ascii="Times New Roman" w:hAnsi="Times New Roman" w:eastAsia="仿宋_GB2312" w:cs="仿宋_GB2312"/>
          <w:bCs w:val="0"/>
          <w:spacing w:val="0"/>
          <w:kern w:val="2"/>
          <w:sz w:val="32"/>
          <w:szCs w:val="32"/>
          <w:shd w:val="clear" w:color="auto" w:fill="FFFFFF"/>
          <w:lang w:val="en-US" w:eastAsia="zh-CN" w:bidi="ar-SA"/>
        </w:rPr>
        <w:t>陈曦</w:t>
      </w:r>
      <w:r>
        <w:rPr>
          <w:rFonts w:hint="eastAsia" w:eastAsia="仿宋_GB2312"/>
          <w:color w:val="auto"/>
          <w:sz w:val="32"/>
          <w:lang w:val="en-US" w:eastAsia="zh-CN"/>
        </w:rPr>
        <w:t>，</w:t>
      </w:r>
      <w:r>
        <w:rPr>
          <w:rFonts w:hint="eastAsia" w:eastAsia="仿宋_GB2312"/>
          <w:color w:val="auto"/>
          <w:sz w:val="32"/>
          <w:lang w:eastAsia="zh-CN"/>
        </w:rPr>
        <w:t>电话：0753-2</w:t>
      </w:r>
      <w:r>
        <w:rPr>
          <w:rFonts w:hint="eastAsia" w:eastAsia="仿宋_GB2312"/>
          <w:color w:val="auto"/>
          <w:sz w:val="32"/>
          <w:lang w:val="en-US" w:eastAsia="zh-CN"/>
        </w:rPr>
        <w:t>187192。</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项，支持额度预计</w:t>
      </w:r>
      <w:r>
        <w:rPr>
          <w:rFonts w:hint="eastAsia" w:ascii="仿宋_GB2312" w:hAnsi="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万元；所有项目任务原则上需在2024年完成。</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我局将组织专家对申报项目进行资格审查和评审，按照评审结果列入省下放市县知识产权专项资金项目库。</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s="仿宋_GB2312"/>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22B8B6-BFB5-4961-A2F4-91239DEF8B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37340F5-19E2-4BCA-98E3-AC6113865474}"/>
  </w:font>
  <w:font w:name="小标宋">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3F72340C-1A90-4CB7-A21B-D90A835706CF}"/>
  </w:font>
  <w:font w:name="仿宋_GB2312">
    <w:altName w:val="仿宋"/>
    <w:panose1 w:val="02010609030101010101"/>
    <w:charset w:val="86"/>
    <w:family w:val="auto"/>
    <w:pitch w:val="default"/>
    <w:sig w:usb0="00000000" w:usb1="00000000" w:usb2="00000000" w:usb3="00000000" w:csb0="00040000" w:csb1="00000000"/>
    <w:embedRegular r:id="rId4" w:fontKey="{06313F41-B10E-4537-A2C2-563A5F72A92B}"/>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2142A"/>
    <w:multiLevelType w:val="singleLevel"/>
    <w:tmpl w:val="AAA2142A"/>
    <w:lvl w:ilvl="0" w:tentative="0">
      <w:start w:val="5"/>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TRmMDcxMjE0ZmZkNzY5NTY4YzM4ZDg0MTBmNjAifQ=="/>
  </w:docVars>
  <w:rsids>
    <w:rsidRoot w:val="58964188"/>
    <w:rsid w:val="0588057C"/>
    <w:rsid w:val="08CA494F"/>
    <w:rsid w:val="0E4B3D25"/>
    <w:rsid w:val="0E5276D3"/>
    <w:rsid w:val="0FDF4A0C"/>
    <w:rsid w:val="11144883"/>
    <w:rsid w:val="147F3BAB"/>
    <w:rsid w:val="150B0C12"/>
    <w:rsid w:val="1A9E63EF"/>
    <w:rsid w:val="1B6A08B4"/>
    <w:rsid w:val="1D2708C4"/>
    <w:rsid w:val="297D0F5C"/>
    <w:rsid w:val="39F506A7"/>
    <w:rsid w:val="41A0123F"/>
    <w:rsid w:val="45BBE8E4"/>
    <w:rsid w:val="49214376"/>
    <w:rsid w:val="4DF23F83"/>
    <w:rsid w:val="4F900E60"/>
    <w:rsid w:val="55ED2F1E"/>
    <w:rsid w:val="58143782"/>
    <w:rsid w:val="58964188"/>
    <w:rsid w:val="610756F7"/>
    <w:rsid w:val="66C27CD0"/>
    <w:rsid w:val="6B71389E"/>
    <w:rsid w:val="6D7221B9"/>
    <w:rsid w:val="6E0826F0"/>
    <w:rsid w:val="70FFFEC5"/>
    <w:rsid w:val="74FBE75F"/>
    <w:rsid w:val="7A3E05ED"/>
    <w:rsid w:val="CBCF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7">
    <w:name w:val="样式1"/>
    <w:basedOn w:val="2"/>
    <w:autoRedefine/>
    <w:unhideWhenUsed/>
    <w:qFormat/>
    <w:uiPriority w:val="0"/>
    <w:pPr>
      <w:widowControl/>
      <w:adjustRightInd w:val="0"/>
      <w:snapToGrid w:val="0"/>
      <w:spacing w:before="100" w:beforeLines="0" w:beforeAutospacing="1" w:after="100" w:afterLines="0" w:afterAutospacing="1" w:line="640" w:lineRule="exact"/>
      <w:jc w:val="center"/>
    </w:pPr>
    <w:rPr>
      <w:rFonts w:hint="eastAsia" w:ascii="小标宋" w:eastAsia="小标宋"/>
      <w:color w:val="000000"/>
      <w:kern w:val="0"/>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河源市市场监管局</Company>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2023-10-28T08:32:00Z</dcterms:created>
  <dc:creator>陈明</dc:creator>
  <cp:lastModifiedBy>年年有余</cp:lastModifiedBy>
  <cp:lastPrinted>2024-02-23T15:34:00Z</cp:lastPrinted>
  <dcterms:modified xsi:type="dcterms:W3CDTF">2024-04-03T01:58:24Z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B0BBCD9248E64ED98CA5CDCD29702DA8</vt:lpwstr>
  </property>
</Properties>
</file>