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pPr>
    </w:p>
    <w:p>
      <w:pPr>
        <w:jc w:val="center"/>
      </w:pPr>
    </w:p>
    <w:p>
      <w:pPr>
        <w:jc w:val="center"/>
      </w:pPr>
    </w:p>
    <w:p>
      <w:pPr>
        <w:spacing w:line="360" w:lineRule="auto"/>
        <w:jc w:val="center"/>
        <w:outlineLvl w:val="0"/>
        <w:rPr>
          <w:rFonts w:ascii="黑体" w:hAnsi="黑体" w:eastAsia="黑体" w:cs="黑体"/>
          <w:sz w:val="52"/>
          <w:szCs w:val="52"/>
        </w:rPr>
      </w:pPr>
      <w:bookmarkStart w:id="0" w:name="_Toc9061"/>
      <w:bookmarkStart w:id="1" w:name="_Toc19047"/>
      <w:bookmarkStart w:id="2" w:name="_Toc22731"/>
      <w:bookmarkStart w:id="3" w:name="_Toc8315"/>
      <w:bookmarkStart w:id="4" w:name="_Toc16863"/>
      <w:bookmarkStart w:id="5" w:name="_Toc9090"/>
      <w:bookmarkStart w:id="6" w:name="_Toc27062"/>
      <w:bookmarkStart w:id="7" w:name="_Toc13595"/>
      <w:r>
        <w:rPr>
          <w:rFonts w:hint="eastAsia" w:ascii="黑体" w:hAnsi="黑体" w:eastAsia="黑体" w:cs="黑体"/>
          <w:sz w:val="52"/>
          <w:szCs w:val="52"/>
        </w:rPr>
        <w:t>梅州市生态环境分区管控成果</w:t>
      </w:r>
      <w:bookmarkEnd w:id="0"/>
      <w:bookmarkEnd w:id="1"/>
      <w:bookmarkEnd w:id="2"/>
      <w:bookmarkEnd w:id="3"/>
      <w:bookmarkEnd w:id="4"/>
      <w:bookmarkEnd w:id="5"/>
      <w:bookmarkEnd w:id="6"/>
      <w:bookmarkEnd w:id="7"/>
    </w:p>
    <w:p>
      <w:pPr>
        <w:spacing w:line="360" w:lineRule="auto"/>
        <w:jc w:val="center"/>
        <w:outlineLvl w:val="0"/>
        <w:rPr>
          <w:rFonts w:ascii="黑体" w:hAnsi="黑体" w:eastAsia="黑体" w:cs="黑体"/>
          <w:sz w:val="52"/>
          <w:szCs w:val="52"/>
        </w:rPr>
      </w:pPr>
      <w:bookmarkStart w:id="8" w:name="_Toc4819"/>
      <w:bookmarkStart w:id="9" w:name="_Toc26063"/>
      <w:bookmarkStart w:id="10" w:name="_Toc30474"/>
      <w:bookmarkStart w:id="11" w:name="_Toc11693"/>
      <w:bookmarkStart w:id="12" w:name="_Toc28834"/>
      <w:bookmarkStart w:id="13" w:name="_Toc20105"/>
      <w:bookmarkStart w:id="14" w:name="_Toc17346"/>
      <w:bookmarkStart w:id="15" w:name="_Toc21788"/>
      <w:r>
        <w:rPr>
          <w:rFonts w:hint="eastAsia" w:ascii="黑体" w:hAnsi="黑体" w:eastAsia="黑体" w:cs="黑体"/>
          <w:sz w:val="52"/>
          <w:szCs w:val="52"/>
        </w:rPr>
        <w:t>动态更新情况报告</w:t>
      </w:r>
      <w:bookmarkEnd w:id="8"/>
      <w:bookmarkEnd w:id="9"/>
      <w:bookmarkEnd w:id="10"/>
      <w:bookmarkEnd w:id="11"/>
      <w:bookmarkEnd w:id="12"/>
      <w:bookmarkEnd w:id="13"/>
      <w:bookmarkEnd w:id="14"/>
      <w:bookmarkEnd w:id="15"/>
    </w:p>
    <w:p>
      <w:pPr>
        <w:jc w:val="center"/>
        <w:rPr>
          <w:sz w:val="36"/>
          <w:szCs w:val="32"/>
        </w:rPr>
      </w:pPr>
    </w:p>
    <w:p>
      <w:pPr>
        <w:jc w:val="center"/>
      </w:pPr>
    </w:p>
    <w:p>
      <w:pPr>
        <w:jc w:val="center"/>
      </w:pPr>
    </w:p>
    <w:p>
      <w:pPr>
        <w:jc w:val="center"/>
      </w:pPr>
    </w:p>
    <w:p>
      <w:pPr>
        <w:jc w:val="center"/>
      </w:pPr>
    </w:p>
    <w:p>
      <w:pPr>
        <w:jc w:val="center"/>
        <w:rPr>
          <w:rFonts w:ascii="宋体" w:hAnsi="宋体" w:eastAsia="宋体"/>
          <w:b/>
          <w:bCs/>
          <w:sz w:val="21"/>
        </w:rPr>
        <w:sectPr>
          <w:footerReference r:id="rId3" w:type="default"/>
          <w:pgSz w:w="11906" w:h="16838"/>
          <w:pgMar w:top="2098" w:right="1474" w:bottom="1985" w:left="1588" w:header="851" w:footer="1588" w:gutter="0"/>
          <w:pgNumType w:fmt="decimal" w:start="1" w:chapStyle="1"/>
          <w:cols w:space="720" w:num="1"/>
          <w:docGrid w:type="linesAndChars" w:linePitch="569" w:charSpace="-849"/>
        </w:sectPr>
      </w:pPr>
    </w:p>
    <w:sdt>
      <w:sdtPr>
        <w:rPr>
          <w:rFonts w:ascii="宋体" w:hAnsi="宋体" w:eastAsia="宋体"/>
          <w:b/>
          <w:bCs/>
          <w:sz w:val="21"/>
        </w:rPr>
        <w:id w:val="147482179"/>
        <w:docPartObj>
          <w:docPartGallery w:val="Table of Contents"/>
          <w:docPartUnique/>
        </w:docPartObj>
      </w:sdtPr>
      <w:sdtEndPr>
        <w:rPr>
          <w:rFonts w:hint="eastAsia" w:ascii="仿宋" w:hAnsi="仿宋" w:eastAsia="仿宋" w:cs="仿宋"/>
          <w:b/>
          <w:bCs/>
          <w:sz w:val="30"/>
          <w:szCs w:val="30"/>
        </w:rPr>
      </w:sdtEndPr>
      <w:sdt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kern w:val="2"/>
              <w:sz w:val="32"/>
              <w:szCs w:val="30"/>
              <w:lang w:val="en-US" w:eastAsia="zh-CN" w:bidi="ar-SA"/>
            </w:rPr>
          </w:pPr>
          <w:r>
            <w:rPr>
              <w:rFonts w:hint="eastAsia" w:ascii="仿宋" w:hAnsi="仿宋" w:cs="仿宋"/>
              <w:b/>
              <w:bCs/>
              <w:szCs w:val="32"/>
            </w:rPr>
            <w:t>目</w:t>
          </w:r>
          <w:r>
            <w:rPr>
              <w:rFonts w:hint="eastAsia" w:ascii="仿宋" w:hAnsi="仿宋" w:cs="仿宋"/>
              <w:b/>
              <w:bCs/>
              <w:szCs w:val="32"/>
              <w:lang w:val="en-US" w:eastAsia="zh-CN"/>
            </w:rPr>
            <w:t xml:space="preserve">  </w:t>
          </w:r>
          <w:r>
            <w:rPr>
              <w:rFonts w:hint="eastAsia" w:ascii="仿宋" w:hAnsi="仿宋" w:cs="仿宋"/>
              <w:b/>
              <w:bCs/>
              <w:szCs w:val="32"/>
            </w:rPr>
            <w:t>录</w:t>
          </w:r>
          <w:r>
            <w:rPr>
              <w:rFonts w:hint="eastAsia" w:ascii="仿宋" w:hAnsi="仿宋" w:cs="仿宋"/>
              <w:sz w:val="30"/>
              <w:szCs w:val="30"/>
            </w:rPr>
            <w:fldChar w:fldCharType="begin"/>
          </w:r>
          <w:r>
            <w:rPr>
              <w:rFonts w:hint="eastAsia" w:ascii="仿宋" w:hAnsi="仿宋" w:cs="仿宋"/>
              <w:sz w:val="30"/>
              <w:szCs w:val="30"/>
            </w:rPr>
            <w:instrText xml:space="preserve">TOC \o "1-3" \h \u </w:instrText>
          </w:r>
          <w:r>
            <w:rPr>
              <w:rFonts w:hint="eastAsia" w:ascii="仿宋" w:hAnsi="仿宋" w:cs="仿宋"/>
              <w:sz w:val="30"/>
              <w:szCs w:val="30"/>
            </w:rPr>
            <w:fldChar w:fldCharType="separate"/>
          </w:r>
        </w:p>
        <w:p>
          <w:pPr>
            <w:pStyle w:val="18"/>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_Toc22526 </w:instrText>
          </w:r>
          <w:r>
            <w:rPr>
              <w:rFonts w:hint="eastAsia" w:ascii="仿宋" w:hAnsi="仿宋" w:cs="仿宋"/>
              <w:szCs w:val="30"/>
            </w:rPr>
            <w:fldChar w:fldCharType="separate"/>
          </w:r>
          <w:r>
            <w:rPr>
              <w:rFonts w:hint="eastAsia"/>
            </w:rPr>
            <w:t>1、基本情况</w:t>
          </w:r>
          <w:r>
            <w:tab/>
          </w:r>
          <w:r>
            <w:fldChar w:fldCharType="begin"/>
          </w:r>
          <w:r>
            <w:instrText xml:space="preserve"> PAGEREF _Toc22526 \h </w:instrText>
          </w:r>
          <w:r>
            <w:fldChar w:fldCharType="separate"/>
          </w:r>
          <w:r>
            <w:t>1</w:t>
          </w:r>
          <w:r>
            <w:fldChar w:fldCharType="end"/>
          </w:r>
          <w:r>
            <w:rPr>
              <w:rFonts w:hint="eastAsia" w:ascii="仿宋" w:hAnsi="仿宋" w:cs="仿宋"/>
              <w:szCs w:val="30"/>
            </w:rPr>
            <w:fldChar w:fldCharType="end"/>
          </w:r>
        </w:p>
        <w:p>
          <w:pPr>
            <w:pStyle w:val="18"/>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_Toc31386 </w:instrText>
          </w:r>
          <w:r>
            <w:rPr>
              <w:rFonts w:hint="eastAsia" w:ascii="仿宋" w:hAnsi="仿宋" w:cs="仿宋"/>
              <w:szCs w:val="30"/>
            </w:rPr>
            <w:fldChar w:fldCharType="separate"/>
          </w:r>
          <w:r>
            <w:rPr>
              <w:rFonts w:hint="eastAsia"/>
            </w:rPr>
            <w:t>2、主要任务和技术路线</w:t>
          </w:r>
          <w:r>
            <w:tab/>
          </w:r>
          <w:r>
            <w:fldChar w:fldCharType="begin"/>
          </w:r>
          <w:r>
            <w:instrText xml:space="preserve"> PAGEREF _Toc31386 \h </w:instrText>
          </w:r>
          <w:r>
            <w:fldChar w:fldCharType="separate"/>
          </w:r>
          <w:r>
            <w:t>3</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_Toc21805 </w:instrText>
          </w:r>
          <w:r>
            <w:rPr>
              <w:rFonts w:hint="eastAsia" w:ascii="仿宋" w:hAnsi="仿宋" w:cs="仿宋"/>
              <w:szCs w:val="30"/>
            </w:rPr>
            <w:fldChar w:fldCharType="separate"/>
          </w:r>
          <w:r>
            <w:rPr>
              <w:rFonts w:hint="eastAsia"/>
            </w:rPr>
            <w:t>2.1主要任务</w:t>
          </w:r>
          <w:r>
            <w:tab/>
          </w:r>
          <w:r>
            <w:fldChar w:fldCharType="begin"/>
          </w:r>
          <w:r>
            <w:instrText xml:space="preserve"> PAGEREF _Toc21805 \h </w:instrText>
          </w:r>
          <w:r>
            <w:fldChar w:fldCharType="separate"/>
          </w:r>
          <w:r>
            <w:t>3</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_Toc29106 </w:instrText>
          </w:r>
          <w:r>
            <w:rPr>
              <w:rFonts w:hint="eastAsia" w:ascii="仿宋" w:hAnsi="仿宋" w:cs="仿宋"/>
              <w:szCs w:val="30"/>
            </w:rPr>
            <w:fldChar w:fldCharType="separate"/>
          </w:r>
          <w:r>
            <w:rPr>
              <w:bCs/>
            </w:rPr>
            <w:t>（一）生态保护红线动态更新</w:t>
          </w:r>
          <w:r>
            <w:tab/>
          </w:r>
          <w:r>
            <w:fldChar w:fldCharType="begin"/>
          </w:r>
          <w:r>
            <w:instrText xml:space="preserve"> PAGEREF _Toc29106 \h </w:instrText>
          </w:r>
          <w:r>
            <w:fldChar w:fldCharType="separate"/>
          </w:r>
          <w:r>
            <w:t>3</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_Toc32025 </w:instrText>
          </w:r>
          <w:r>
            <w:rPr>
              <w:rFonts w:hint="eastAsia" w:ascii="仿宋" w:hAnsi="仿宋" w:cs="仿宋"/>
              <w:szCs w:val="30"/>
            </w:rPr>
            <w:fldChar w:fldCharType="separate"/>
          </w:r>
          <w:r>
            <w:rPr>
              <w:bCs/>
            </w:rPr>
            <w:t>（二）环境质量底线动态更新</w:t>
          </w:r>
          <w:r>
            <w:tab/>
          </w:r>
          <w:r>
            <w:fldChar w:fldCharType="begin"/>
          </w:r>
          <w:r>
            <w:instrText xml:space="preserve"> PAGEREF _Toc32025 \h </w:instrText>
          </w:r>
          <w:r>
            <w:fldChar w:fldCharType="separate"/>
          </w:r>
          <w:r>
            <w:t>3</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_Toc18160 </w:instrText>
          </w:r>
          <w:r>
            <w:rPr>
              <w:rFonts w:hint="eastAsia" w:ascii="仿宋" w:hAnsi="仿宋" w:cs="仿宋"/>
              <w:szCs w:val="30"/>
            </w:rPr>
            <w:fldChar w:fldCharType="separate"/>
          </w:r>
          <w:r>
            <w:rPr>
              <w:bCs/>
            </w:rPr>
            <w:t>（三）资源利用上线动态更新</w:t>
          </w:r>
          <w:r>
            <w:tab/>
          </w:r>
          <w:r>
            <w:fldChar w:fldCharType="begin"/>
          </w:r>
          <w:r>
            <w:instrText xml:space="preserve"> PAGEREF _Toc18160 \h </w:instrText>
          </w:r>
          <w:r>
            <w:fldChar w:fldCharType="separate"/>
          </w:r>
          <w:r>
            <w:t>3</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_Toc14457 </w:instrText>
          </w:r>
          <w:r>
            <w:rPr>
              <w:rFonts w:hint="eastAsia" w:ascii="仿宋" w:hAnsi="仿宋" w:cs="仿宋"/>
              <w:szCs w:val="30"/>
            </w:rPr>
            <w:fldChar w:fldCharType="separate"/>
          </w:r>
          <w:r>
            <w:rPr>
              <w:bCs/>
            </w:rPr>
            <w:t>（四）生态环境管控单元和准入清单动态更新</w:t>
          </w:r>
          <w:r>
            <w:tab/>
          </w:r>
          <w:r>
            <w:fldChar w:fldCharType="begin"/>
          </w:r>
          <w:r>
            <w:instrText xml:space="preserve"> PAGEREF _Toc14457 \h </w:instrText>
          </w:r>
          <w:r>
            <w:fldChar w:fldCharType="separate"/>
          </w:r>
          <w:r>
            <w:t>4</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_Toc32034 </w:instrText>
          </w:r>
          <w:r>
            <w:rPr>
              <w:rFonts w:hint="eastAsia" w:ascii="仿宋" w:hAnsi="仿宋" w:cs="仿宋"/>
              <w:szCs w:val="30"/>
            </w:rPr>
            <w:fldChar w:fldCharType="separate"/>
          </w:r>
          <w:r>
            <w:rPr>
              <w:rFonts w:hint="eastAsia"/>
            </w:rPr>
            <w:t>2.2技术路线</w:t>
          </w:r>
          <w:r>
            <w:tab/>
          </w:r>
          <w:r>
            <w:fldChar w:fldCharType="begin"/>
          </w:r>
          <w:r>
            <w:instrText xml:space="preserve"> PAGEREF _Toc32034 \h </w:instrText>
          </w:r>
          <w:r>
            <w:fldChar w:fldCharType="separate"/>
          </w:r>
          <w:r>
            <w:t>4</w:t>
          </w:r>
          <w:r>
            <w:fldChar w:fldCharType="end"/>
          </w:r>
          <w:r>
            <w:rPr>
              <w:rFonts w:hint="eastAsia" w:ascii="仿宋" w:hAnsi="仿宋" w:cs="仿宋"/>
              <w:szCs w:val="30"/>
            </w:rPr>
            <w:fldChar w:fldCharType="end"/>
          </w:r>
        </w:p>
        <w:p>
          <w:pPr>
            <w:pStyle w:val="18"/>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_Toc4108 </w:instrText>
          </w:r>
          <w:r>
            <w:rPr>
              <w:rFonts w:hint="eastAsia" w:ascii="仿宋" w:hAnsi="仿宋" w:cs="仿宋"/>
              <w:szCs w:val="30"/>
            </w:rPr>
            <w:fldChar w:fldCharType="separate"/>
          </w:r>
          <w:r>
            <w:rPr>
              <w:rFonts w:hint="eastAsia"/>
            </w:rPr>
            <w:t>3、生态保护红线和一般生态空间调整</w:t>
          </w:r>
          <w:r>
            <w:tab/>
          </w:r>
          <w:r>
            <w:fldChar w:fldCharType="begin"/>
          </w:r>
          <w:r>
            <w:instrText xml:space="preserve"> PAGEREF _Toc4108 \h </w:instrText>
          </w:r>
          <w:r>
            <w:fldChar w:fldCharType="separate"/>
          </w:r>
          <w:r>
            <w:t>6</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_Toc28300 </w:instrText>
          </w:r>
          <w:r>
            <w:rPr>
              <w:rFonts w:hint="eastAsia" w:ascii="仿宋" w:hAnsi="仿宋" w:cs="仿宋"/>
              <w:szCs w:val="30"/>
            </w:rPr>
            <w:fldChar w:fldCharType="separate"/>
          </w:r>
          <w:r>
            <w:rPr>
              <w:rFonts w:hint="eastAsia"/>
            </w:rPr>
            <w:t>3.1生态保护红线更新</w:t>
          </w:r>
          <w:r>
            <w:tab/>
          </w:r>
          <w:r>
            <w:fldChar w:fldCharType="begin"/>
          </w:r>
          <w:r>
            <w:instrText xml:space="preserve"> PAGEREF _Toc28300 \h </w:instrText>
          </w:r>
          <w:r>
            <w:fldChar w:fldCharType="separate"/>
          </w:r>
          <w:r>
            <w:t>6</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_Toc8064 </w:instrText>
          </w:r>
          <w:r>
            <w:rPr>
              <w:rFonts w:hint="eastAsia" w:ascii="仿宋" w:hAnsi="仿宋" w:cs="仿宋"/>
              <w:szCs w:val="30"/>
            </w:rPr>
            <w:fldChar w:fldCharType="separate"/>
          </w:r>
          <w:r>
            <w:rPr>
              <w:rFonts w:hint="eastAsia"/>
            </w:rPr>
            <w:t>3.1.1更新前的生态保护红线</w:t>
          </w:r>
          <w:r>
            <w:tab/>
          </w:r>
          <w:r>
            <w:fldChar w:fldCharType="begin"/>
          </w:r>
          <w:r>
            <w:instrText xml:space="preserve"> PAGEREF _Toc8064 \h </w:instrText>
          </w:r>
          <w:r>
            <w:fldChar w:fldCharType="separate"/>
          </w:r>
          <w:r>
            <w:t>6</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_Toc12474 </w:instrText>
          </w:r>
          <w:r>
            <w:rPr>
              <w:rFonts w:hint="eastAsia" w:ascii="仿宋" w:hAnsi="仿宋" w:cs="仿宋"/>
              <w:szCs w:val="30"/>
            </w:rPr>
            <w:fldChar w:fldCharType="separate"/>
          </w:r>
          <w:r>
            <w:rPr>
              <w:rFonts w:hint="eastAsia"/>
            </w:rPr>
            <w:t>3.1.2更新后的生态保护红线</w:t>
          </w:r>
          <w:r>
            <w:tab/>
          </w:r>
          <w:r>
            <w:fldChar w:fldCharType="begin"/>
          </w:r>
          <w:r>
            <w:instrText xml:space="preserve"> PAGEREF _Toc12474 \h </w:instrText>
          </w:r>
          <w:r>
            <w:fldChar w:fldCharType="separate"/>
          </w:r>
          <w:r>
            <w:t>7</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_Toc13437 </w:instrText>
          </w:r>
          <w:r>
            <w:rPr>
              <w:rFonts w:hint="eastAsia" w:ascii="仿宋" w:hAnsi="仿宋" w:cs="仿宋"/>
              <w:szCs w:val="30"/>
            </w:rPr>
            <w:fldChar w:fldCharType="separate"/>
          </w:r>
          <w:r>
            <w:rPr>
              <w:rFonts w:hint="eastAsia"/>
            </w:rPr>
            <w:t>3.2一般生态空间更新</w:t>
          </w:r>
          <w:r>
            <w:tab/>
          </w:r>
          <w:r>
            <w:fldChar w:fldCharType="begin"/>
          </w:r>
          <w:r>
            <w:instrText xml:space="preserve"> PAGEREF _Toc13437 \h </w:instrText>
          </w:r>
          <w:r>
            <w:fldChar w:fldCharType="separate"/>
          </w:r>
          <w:r>
            <w:t>10</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_Toc22482 </w:instrText>
          </w:r>
          <w:r>
            <w:rPr>
              <w:rFonts w:hint="eastAsia" w:ascii="仿宋" w:hAnsi="仿宋" w:cs="仿宋"/>
              <w:szCs w:val="30"/>
            </w:rPr>
            <w:fldChar w:fldCharType="separate"/>
          </w:r>
          <w:r>
            <w:rPr>
              <w:rFonts w:hint="eastAsia"/>
            </w:rPr>
            <w:t>3.2.1更新前一般生态空间</w:t>
          </w:r>
          <w:r>
            <w:tab/>
          </w:r>
          <w:r>
            <w:fldChar w:fldCharType="begin"/>
          </w:r>
          <w:r>
            <w:instrText xml:space="preserve"> PAGEREF _Toc22482 \h </w:instrText>
          </w:r>
          <w:r>
            <w:fldChar w:fldCharType="separate"/>
          </w:r>
          <w:r>
            <w:t>10</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_Toc8999 </w:instrText>
          </w:r>
          <w:r>
            <w:rPr>
              <w:rFonts w:hint="eastAsia" w:ascii="仿宋" w:hAnsi="仿宋" w:cs="仿宋"/>
              <w:szCs w:val="30"/>
            </w:rPr>
            <w:fldChar w:fldCharType="separate"/>
          </w:r>
          <w:r>
            <w:rPr>
              <w:rFonts w:hint="eastAsia"/>
            </w:rPr>
            <w:t>3.2.2调出一般生态空间的区域</w:t>
          </w:r>
          <w:r>
            <w:tab/>
          </w:r>
          <w:r>
            <w:fldChar w:fldCharType="begin"/>
          </w:r>
          <w:r>
            <w:instrText xml:space="preserve"> PAGEREF _Toc8999 \h </w:instrText>
          </w:r>
          <w:r>
            <w:fldChar w:fldCharType="separate"/>
          </w:r>
          <w:r>
            <w:t>11</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_Toc7579 </w:instrText>
          </w:r>
          <w:r>
            <w:rPr>
              <w:rFonts w:hint="eastAsia" w:ascii="仿宋" w:hAnsi="仿宋" w:cs="仿宋"/>
              <w:szCs w:val="30"/>
            </w:rPr>
            <w:fldChar w:fldCharType="separate"/>
          </w:r>
          <w:r>
            <w:rPr>
              <w:rFonts w:hint="eastAsia"/>
            </w:rPr>
            <w:t>3.2.3调入一般生态空间区域</w:t>
          </w:r>
          <w:r>
            <w:tab/>
          </w:r>
          <w:r>
            <w:fldChar w:fldCharType="begin"/>
          </w:r>
          <w:r>
            <w:instrText xml:space="preserve"> PAGEREF _Toc7579 \h </w:instrText>
          </w:r>
          <w:r>
            <w:fldChar w:fldCharType="separate"/>
          </w:r>
          <w:r>
            <w:t>25</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_Toc25493 </w:instrText>
          </w:r>
          <w:r>
            <w:rPr>
              <w:rFonts w:hint="eastAsia" w:ascii="仿宋" w:hAnsi="仿宋" w:cs="仿宋"/>
              <w:szCs w:val="30"/>
            </w:rPr>
            <w:fldChar w:fldCharType="separate"/>
          </w:r>
          <w:r>
            <w:rPr>
              <w:rFonts w:hint="eastAsia"/>
            </w:rPr>
            <w:t>3.2.</w:t>
          </w:r>
          <w:r>
            <w:rPr>
              <w:rFonts w:hint="eastAsia"/>
              <w:lang w:val="en-US" w:eastAsia="zh-CN"/>
            </w:rPr>
            <w:t>4</w:t>
          </w:r>
          <w:r>
            <w:rPr>
              <w:rFonts w:hint="eastAsia"/>
            </w:rPr>
            <w:t>更新后一般生态空间</w:t>
          </w:r>
          <w:r>
            <w:tab/>
          </w:r>
          <w:r>
            <w:fldChar w:fldCharType="begin"/>
          </w:r>
          <w:r>
            <w:instrText xml:space="preserve"> PAGEREF _Toc25493 \h </w:instrText>
          </w:r>
          <w:r>
            <w:fldChar w:fldCharType="separate"/>
          </w:r>
          <w:r>
            <w:t>31</w:t>
          </w:r>
          <w:r>
            <w:fldChar w:fldCharType="end"/>
          </w:r>
          <w:r>
            <w:rPr>
              <w:rFonts w:hint="eastAsia" w:ascii="仿宋" w:hAnsi="仿宋" w:cs="仿宋"/>
              <w:szCs w:val="30"/>
            </w:rPr>
            <w:fldChar w:fldCharType="end"/>
          </w:r>
        </w:p>
        <w:p>
          <w:pPr>
            <w:pStyle w:val="18"/>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_Toc20883 </w:instrText>
          </w:r>
          <w:r>
            <w:rPr>
              <w:rFonts w:hint="eastAsia" w:ascii="仿宋" w:hAnsi="仿宋" w:cs="仿宋"/>
              <w:szCs w:val="30"/>
            </w:rPr>
            <w:fldChar w:fldCharType="separate"/>
          </w:r>
          <w:r>
            <w:rPr>
              <w:rFonts w:hint="eastAsia"/>
            </w:rPr>
            <w:t>4、环境质量底线更新</w:t>
          </w:r>
          <w:r>
            <w:tab/>
          </w:r>
          <w:r>
            <w:fldChar w:fldCharType="begin"/>
          </w:r>
          <w:r>
            <w:instrText xml:space="preserve"> PAGEREF _Toc20883 \h </w:instrText>
          </w:r>
          <w:r>
            <w:fldChar w:fldCharType="separate"/>
          </w:r>
          <w:r>
            <w:t>33</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_Toc26634 </w:instrText>
          </w:r>
          <w:r>
            <w:rPr>
              <w:rFonts w:hint="eastAsia" w:ascii="仿宋" w:hAnsi="仿宋" w:cs="仿宋"/>
              <w:szCs w:val="30"/>
            </w:rPr>
            <w:fldChar w:fldCharType="separate"/>
          </w:r>
          <w:r>
            <w:rPr>
              <w:rFonts w:hint="eastAsia"/>
            </w:rPr>
            <w:t>4</w:t>
          </w:r>
          <w:r>
            <w:t>.1水环境质量底线更新</w:t>
          </w:r>
          <w:r>
            <w:tab/>
          </w:r>
          <w:r>
            <w:fldChar w:fldCharType="begin"/>
          </w:r>
          <w:r>
            <w:instrText xml:space="preserve"> PAGEREF _Toc26634 \h </w:instrText>
          </w:r>
          <w:r>
            <w:fldChar w:fldCharType="separate"/>
          </w:r>
          <w:r>
            <w:t>33</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_Toc25280 </w:instrText>
          </w:r>
          <w:r>
            <w:rPr>
              <w:rFonts w:hint="eastAsia" w:ascii="仿宋" w:hAnsi="仿宋" w:cs="仿宋"/>
              <w:szCs w:val="30"/>
            </w:rPr>
            <w:fldChar w:fldCharType="separate"/>
          </w:r>
          <w:r>
            <w:rPr>
              <w:rFonts w:hint="eastAsia"/>
            </w:rPr>
            <w:t>4.1.1目标更新</w:t>
          </w:r>
          <w:r>
            <w:tab/>
          </w:r>
          <w:r>
            <w:fldChar w:fldCharType="begin"/>
          </w:r>
          <w:r>
            <w:instrText xml:space="preserve"> PAGEREF _Toc25280 \h </w:instrText>
          </w:r>
          <w:r>
            <w:fldChar w:fldCharType="separate"/>
          </w:r>
          <w:r>
            <w:t>33</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_Toc23033 </w:instrText>
          </w:r>
          <w:r>
            <w:rPr>
              <w:rFonts w:hint="eastAsia" w:ascii="仿宋" w:hAnsi="仿宋" w:cs="仿宋"/>
              <w:szCs w:val="30"/>
            </w:rPr>
            <w:fldChar w:fldCharType="separate"/>
          </w:r>
          <w:r>
            <w:rPr>
              <w:rFonts w:hint="eastAsia"/>
            </w:rPr>
            <w:t>4.1.2分区更新</w:t>
          </w:r>
          <w:r>
            <w:tab/>
          </w:r>
          <w:r>
            <w:fldChar w:fldCharType="begin"/>
          </w:r>
          <w:r>
            <w:instrText xml:space="preserve"> PAGEREF _Toc23033 \h </w:instrText>
          </w:r>
          <w:r>
            <w:fldChar w:fldCharType="separate"/>
          </w:r>
          <w:r>
            <w:t>35</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_Toc6448 </w:instrText>
          </w:r>
          <w:r>
            <w:rPr>
              <w:rFonts w:hint="eastAsia" w:ascii="仿宋" w:hAnsi="仿宋" w:cs="仿宋"/>
              <w:szCs w:val="30"/>
            </w:rPr>
            <w:fldChar w:fldCharType="separate"/>
          </w:r>
          <w:r>
            <w:rPr>
              <w:rFonts w:hint="eastAsia"/>
            </w:rPr>
            <w:t>4</w:t>
          </w:r>
          <w:r>
            <w:t>.1</w:t>
          </w:r>
          <w:r>
            <w:rPr>
              <w:rFonts w:hint="eastAsia"/>
            </w:rPr>
            <w:t>大气</w:t>
          </w:r>
          <w:r>
            <w:t>环境质量底线更新</w:t>
          </w:r>
          <w:r>
            <w:tab/>
          </w:r>
          <w:r>
            <w:fldChar w:fldCharType="begin"/>
          </w:r>
          <w:r>
            <w:instrText xml:space="preserve"> PAGEREF _Toc6448 \h </w:instrText>
          </w:r>
          <w:r>
            <w:fldChar w:fldCharType="separate"/>
          </w:r>
          <w:r>
            <w:t>45</w:t>
          </w:r>
          <w:r>
            <w:fldChar w:fldCharType="end"/>
          </w:r>
          <w:r>
            <w:rPr>
              <w:rFonts w:hint="eastAsia" w:ascii="仿宋" w:hAnsi="仿宋" w:cs="仿宋"/>
              <w:szCs w:val="30"/>
            </w:rPr>
            <w:fldChar w:fldCharType="end"/>
          </w:r>
        </w:p>
        <w:p>
          <w:pPr>
            <w:pStyle w:val="14"/>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_Toc7188 </w:instrText>
          </w:r>
          <w:r>
            <w:rPr>
              <w:rFonts w:hint="eastAsia" w:ascii="仿宋" w:hAnsi="仿宋" w:cs="仿宋"/>
              <w:szCs w:val="30"/>
            </w:rPr>
            <w:fldChar w:fldCharType="separate"/>
          </w:r>
          <w:r>
            <w:rPr>
              <w:rFonts w:hint="eastAsia"/>
            </w:rPr>
            <w:t>4.1.1分区更新</w:t>
          </w:r>
          <w:r>
            <w:tab/>
          </w:r>
          <w:r>
            <w:fldChar w:fldCharType="begin"/>
          </w:r>
          <w:r>
            <w:instrText xml:space="preserve"> PAGEREF _Toc7188 \h </w:instrText>
          </w:r>
          <w:r>
            <w:fldChar w:fldCharType="separate"/>
          </w:r>
          <w:r>
            <w:t>45</w:t>
          </w:r>
          <w:r>
            <w:fldChar w:fldCharType="end"/>
          </w:r>
          <w:r>
            <w:rPr>
              <w:rFonts w:hint="eastAsia" w:ascii="仿宋" w:hAnsi="仿宋" w:cs="仿宋"/>
              <w:szCs w:val="30"/>
            </w:rPr>
            <w:fldChar w:fldCharType="end"/>
          </w:r>
        </w:p>
        <w:p>
          <w:pPr>
            <w:pStyle w:val="18"/>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_Toc1084 </w:instrText>
          </w:r>
          <w:r>
            <w:rPr>
              <w:rFonts w:hint="eastAsia" w:ascii="仿宋" w:hAnsi="仿宋" w:cs="仿宋"/>
              <w:szCs w:val="30"/>
            </w:rPr>
            <w:fldChar w:fldCharType="separate"/>
          </w:r>
          <w:r>
            <w:rPr>
              <w:rFonts w:hint="eastAsia"/>
            </w:rPr>
            <w:t>5、</w:t>
          </w:r>
          <w:r>
            <w:t>资源利用上线更新</w:t>
          </w:r>
          <w:r>
            <w:tab/>
          </w:r>
          <w:r>
            <w:fldChar w:fldCharType="begin"/>
          </w:r>
          <w:r>
            <w:instrText xml:space="preserve"> PAGEREF _Toc1084 \h </w:instrText>
          </w:r>
          <w:r>
            <w:fldChar w:fldCharType="separate"/>
          </w:r>
          <w:r>
            <w:t>50</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_Toc8700 </w:instrText>
          </w:r>
          <w:r>
            <w:rPr>
              <w:rFonts w:hint="eastAsia" w:ascii="仿宋" w:hAnsi="仿宋" w:cs="仿宋"/>
              <w:szCs w:val="30"/>
            </w:rPr>
            <w:fldChar w:fldCharType="separate"/>
          </w:r>
          <w:r>
            <w:rPr>
              <w:rFonts w:hint="eastAsia"/>
            </w:rPr>
            <w:t>5.1高污染燃料禁燃区更新</w:t>
          </w:r>
          <w:r>
            <w:tab/>
          </w:r>
          <w:r>
            <w:fldChar w:fldCharType="begin"/>
          </w:r>
          <w:r>
            <w:instrText xml:space="preserve"> PAGEREF _Toc8700 \h </w:instrText>
          </w:r>
          <w:r>
            <w:fldChar w:fldCharType="separate"/>
          </w:r>
          <w:r>
            <w:t>50</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_Toc3075 </w:instrText>
          </w:r>
          <w:r>
            <w:rPr>
              <w:rFonts w:hint="eastAsia" w:ascii="仿宋" w:hAnsi="仿宋" w:cs="仿宋"/>
              <w:szCs w:val="30"/>
            </w:rPr>
            <w:fldChar w:fldCharType="separate"/>
          </w:r>
          <w:r>
            <w:rPr>
              <w:rFonts w:hint="eastAsia"/>
            </w:rPr>
            <w:t>5.</w:t>
          </w:r>
          <w:r>
            <w:rPr>
              <w:rFonts w:hint="eastAsia"/>
              <w:lang w:val="en-US" w:eastAsia="zh-CN"/>
            </w:rPr>
            <w:t>2土地资源优先保护区</w:t>
          </w:r>
          <w:r>
            <w:rPr>
              <w:rFonts w:hint="eastAsia"/>
            </w:rPr>
            <w:t>更新</w:t>
          </w:r>
          <w:r>
            <w:tab/>
          </w:r>
          <w:r>
            <w:fldChar w:fldCharType="begin"/>
          </w:r>
          <w:r>
            <w:instrText xml:space="preserve"> PAGEREF _Toc3075 \h </w:instrText>
          </w:r>
          <w:r>
            <w:fldChar w:fldCharType="separate"/>
          </w:r>
          <w:r>
            <w:t>52</w:t>
          </w:r>
          <w:r>
            <w:fldChar w:fldCharType="end"/>
          </w:r>
          <w:r>
            <w:rPr>
              <w:rFonts w:hint="eastAsia" w:ascii="仿宋" w:hAnsi="仿宋" w:cs="仿宋"/>
              <w:szCs w:val="30"/>
            </w:rPr>
            <w:fldChar w:fldCharType="end"/>
          </w:r>
        </w:p>
        <w:p>
          <w:pPr>
            <w:pStyle w:val="18"/>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_Toc29261 </w:instrText>
          </w:r>
          <w:r>
            <w:rPr>
              <w:rFonts w:hint="eastAsia" w:ascii="仿宋" w:hAnsi="仿宋" w:cs="仿宋"/>
              <w:szCs w:val="30"/>
            </w:rPr>
            <w:fldChar w:fldCharType="separate"/>
          </w:r>
          <w:r>
            <w:rPr>
              <w:rFonts w:hint="eastAsia"/>
            </w:rPr>
            <w:t>6、</w:t>
          </w:r>
          <w:r>
            <w:t>生态环境管控单元更新</w:t>
          </w:r>
          <w:r>
            <w:tab/>
          </w:r>
          <w:r>
            <w:fldChar w:fldCharType="begin"/>
          </w:r>
          <w:r>
            <w:instrText xml:space="preserve"> PAGEREF _Toc29261 \h </w:instrText>
          </w:r>
          <w:r>
            <w:fldChar w:fldCharType="separate"/>
          </w:r>
          <w:r>
            <w:t>53</w:t>
          </w:r>
          <w:r>
            <w:fldChar w:fldCharType="end"/>
          </w:r>
          <w:r>
            <w:rPr>
              <w:rFonts w:hint="eastAsia" w:ascii="仿宋" w:hAnsi="仿宋" w:cs="仿宋"/>
              <w:szCs w:val="30"/>
            </w:rPr>
            <w:fldChar w:fldCharType="end"/>
          </w:r>
        </w:p>
        <w:p>
          <w:pPr>
            <w:pStyle w:val="18"/>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_Toc18371 </w:instrText>
          </w:r>
          <w:r>
            <w:rPr>
              <w:rFonts w:hint="eastAsia" w:ascii="仿宋" w:hAnsi="仿宋" w:cs="仿宋"/>
              <w:szCs w:val="30"/>
            </w:rPr>
            <w:fldChar w:fldCharType="separate"/>
          </w:r>
          <w:r>
            <w:t>7、生态环境准入清单更新</w:t>
          </w:r>
          <w:r>
            <w:tab/>
          </w:r>
          <w:r>
            <w:fldChar w:fldCharType="begin"/>
          </w:r>
          <w:r>
            <w:instrText xml:space="preserve"> PAGEREF _Toc18371 \h </w:instrText>
          </w:r>
          <w:r>
            <w:fldChar w:fldCharType="separate"/>
          </w:r>
          <w:r>
            <w:t>59</w:t>
          </w:r>
          <w:r>
            <w:fldChar w:fldCharType="end"/>
          </w:r>
          <w:r>
            <w:rPr>
              <w:rFonts w:hint="eastAsia" w:ascii="仿宋" w:hAnsi="仿宋" w:cs="仿宋"/>
              <w:szCs w:val="30"/>
            </w:rPr>
            <w:fldChar w:fldCharType="end"/>
          </w:r>
        </w:p>
        <w:p>
          <w:pPr>
            <w:pStyle w:val="18"/>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_Toc3603 </w:instrText>
          </w:r>
          <w:r>
            <w:rPr>
              <w:rFonts w:hint="eastAsia" w:ascii="仿宋" w:hAnsi="仿宋" w:cs="仿宋"/>
              <w:szCs w:val="30"/>
            </w:rPr>
            <w:fldChar w:fldCharType="separate"/>
          </w:r>
          <w:r>
            <w:rPr>
              <w:rFonts w:hint="eastAsia"/>
              <w:lang w:val="en-US" w:eastAsia="zh-CN"/>
            </w:rPr>
            <w:t>附件1</w:t>
          </w:r>
          <w:r>
            <w:rPr>
              <w:rFonts w:hint="default"/>
              <w:lang w:val="en-US" w:eastAsia="zh-CN"/>
            </w:rPr>
            <w:t xml:space="preserve"> 动态更新情况表</w:t>
          </w:r>
          <w:r>
            <w:tab/>
          </w:r>
          <w:r>
            <w:fldChar w:fldCharType="begin"/>
          </w:r>
          <w:r>
            <w:instrText xml:space="preserve"> PAGEREF _Toc3603 \h </w:instrText>
          </w:r>
          <w:r>
            <w:fldChar w:fldCharType="separate"/>
          </w:r>
          <w:r>
            <w:t>60</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_Toc2042 </w:instrText>
          </w:r>
          <w:r>
            <w:rPr>
              <w:rFonts w:hint="eastAsia" w:ascii="仿宋" w:hAnsi="仿宋" w:cs="仿宋"/>
              <w:szCs w:val="30"/>
            </w:rPr>
            <w:fldChar w:fldCharType="separate"/>
          </w:r>
          <w:r>
            <w:rPr>
              <w:rFonts w:hint="default"/>
            </w:rPr>
            <w:t>表1 2025年主要目标更新调整情况</w:t>
          </w:r>
          <w:r>
            <w:tab/>
          </w:r>
          <w:r>
            <w:fldChar w:fldCharType="begin"/>
          </w:r>
          <w:r>
            <w:instrText xml:space="preserve"> PAGEREF _Toc2042 \h </w:instrText>
          </w:r>
          <w:r>
            <w:fldChar w:fldCharType="separate"/>
          </w:r>
          <w:r>
            <w:t>60</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_Toc4338 </w:instrText>
          </w:r>
          <w:r>
            <w:rPr>
              <w:rFonts w:hint="eastAsia" w:ascii="仿宋" w:hAnsi="仿宋" w:cs="仿宋"/>
              <w:szCs w:val="30"/>
            </w:rPr>
            <w:fldChar w:fldCharType="separate"/>
          </w:r>
          <w:r>
            <w:rPr>
              <w:rFonts w:hint="default"/>
            </w:rPr>
            <w:t xml:space="preserve">表2 </w:t>
          </w:r>
          <w:r>
            <w:rPr>
              <w:rFonts w:hint="eastAsia"/>
              <w:lang w:eastAsia="zh-CN"/>
            </w:rPr>
            <w:t>生态保护红线和一般生态空间动态更新情况</w:t>
          </w:r>
          <w:r>
            <w:tab/>
          </w:r>
          <w:r>
            <w:fldChar w:fldCharType="begin"/>
          </w:r>
          <w:r>
            <w:instrText xml:space="preserve"> PAGEREF _Toc4338 \h </w:instrText>
          </w:r>
          <w:r>
            <w:fldChar w:fldCharType="separate"/>
          </w:r>
          <w:r>
            <w:t>61</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_Toc14956 </w:instrText>
          </w:r>
          <w:r>
            <w:rPr>
              <w:rFonts w:hint="eastAsia" w:ascii="仿宋" w:hAnsi="仿宋" w:cs="仿宋"/>
              <w:szCs w:val="30"/>
            </w:rPr>
            <w:fldChar w:fldCharType="separate"/>
          </w:r>
          <w:r>
            <w:rPr>
              <w:rFonts w:hint="default"/>
            </w:rPr>
            <w:t>表</w:t>
          </w:r>
          <w:r>
            <w:rPr>
              <w:rFonts w:hint="eastAsia"/>
              <w:lang w:val="en-US" w:eastAsia="zh-CN"/>
            </w:rPr>
            <w:t>3</w:t>
          </w:r>
          <w:r>
            <w:rPr>
              <w:rFonts w:hint="default"/>
            </w:rPr>
            <w:t xml:space="preserve"> </w:t>
          </w:r>
          <w:r>
            <w:rPr>
              <w:rFonts w:hint="eastAsia"/>
              <w:lang w:eastAsia="zh-CN"/>
            </w:rPr>
            <w:t>一般生态空间调出情况</w:t>
          </w:r>
          <w:r>
            <w:tab/>
          </w:r>
          <w:r>
            <w:fldChar w:fldCharType="begin"/>
          </w:r>
          <w:r>
            <w:instrText xml:space="preserve"> PAGEREF _Toc14956 \h </w:instrText>
          </w:r>
          <w:r>
            <w:fldChar w:fldCharType="separate"/>
          </w:r>
          <w:r>
            <w:t>63</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_Toc14217 </w:instrText>
          </w:r>
          <w:r>
            <w:rPr>
              <w:rFonts w:hint="eastAsia" w:ascii="仿宋" w:hAnsi="仿宋" w:cs="仿宋"/>
              <w:szCs w:val="30"/>
            </w:rPr>
            <w:fldChar w:fldCharType="separate"/>
          </w:r>
          <w:r>
            <w:rPr>
              <w:rFonts w:hint="default"/>
            </w:rPr>
            <w:t>表</w:t>
          </w:r>
          <w:r>
            <w:rPr>
              <w:rFonts w:hint="eastAsia"/>
              <w:lang w:val="en-US" w:eastAsia="zh-CN"/>
            </w:rPr>
            <w:t>4</w:t>
          </w:r>
          <w:r>
            <w:rPr>
              <w:rFonts w:hint="default"/>
            </w:rPr>
            <w:t xml:space="preserve"> </w:t>
          </w:r>
          <w:r>
            <w:rPr>
              <w:rFonts w:hint="eastAsia"/>
              <w:lang w:eastAsia="zh-CN"/>
            </w:rPr>
            <w:t>一般生态空间调入情况</w:t>
          </w:r>
          <w:r>
            <w:tab/>
          </w:r>
          <w:r>
            <w:fldChar w:fldCharType="begin"/>
          </w:r>
          <w:r>
            <w:instrText xml:space="preserve"> PAGEREF _Toc14217 \h </w:instrText>
          </w:r>
          <w:r>
            <w:fldChar w:fldCharType="separate"/>
          </w:r>
          <w:r>
            <w:t>75</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_Toc16261 </w:instrText>
          </w:r>
          <w:r>
            <w:rPr>
              <w:rFonts w:hint="eastAsia" w:ascii="仿宋" w:hAnsi="仿宋" w:cs="仿宋"/>
              <w:szCs w:val="30"/>
            </w:rPr>
            <w:fldChar w:fldCharType="separate"/>
          </w:r>
          <w:r>
            <w:rPr>
              <w:rFonts w:hint="eastAsia"/>
            </w:rPr>
            <w:t>表</w:t>
          </w:r>
          <w:r>
            <w:rPr>
              <w:rFonts w:hint="eastAsia"/>
              <w:lang w:val="en-US" w:eastAsia="zh-CN"/>
            </w:rPr>
            <w:t>5</w:t>
          </w:r>
          <w:r>
            <w:t xml:space="preserve"> 2025</w:t>
          </w:r>
          <w:r>
            <w:rPr>
              <w:rFonts w:hint="eastAsia"/>
            </w:rPr>
            <w:t>年水环境管控分区水质目标更新调整情况</w:t>
          </w:r>
          <w:r>
            <w:tab/>
          </w:r>
          <w:r>
            <w:fldChar w:fldCharType="begin"/>
          </w:r>
          <w:r>
            <w:instrText xml:space="preserve"> PAGEREF _Toc16261 \h </w:instrText>
          </w:r>
          <w:r>
            <w:fldChar w:fldCharType="separate"/>
          </w:r>
          <w:r>
            <w:t>76</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_Toc9675 </w:instrText>
          </w:r>
          <w:r>
            <w:rPr>
              <w:rFonts w:hint="eastAsia" w:ascii="仿宋" w:hAnsi="仿宋" w:cs="仿宋"/>
              <w:szCs w:val="30"/>
            </w:rPr>
            <w:fldChar w:fldCharType="separate"/>
          </w:r>
          <w:r>
            <w:rPr>
              <w:rFonts w:hint="default"/>
            </w:rPr>
            <w:t>表6 水环境管控分区动态更新情况</w:t>
          </w:r>
          <w:r>
            <w:tab/>
          </w:r>
          <w:r>
            <w:fldChar w:fldCharType="begin"/>
          </w:r>
          <w:r>
            <w:instrText xml:space="preserve"> PAGEREF _Toc9675 \h </w:instrText>
          </w:r>
          <w:r>
            <w:fldChar w:fldCharType="separate"/>
          </w:r>
          <w:r>
            <w:t>77</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_Toc17333 </w:instrText>
          </w:r>
          <w:r>
            <w:rPr>
              <w:rFonts w:hint="eastAsia" w:ascii="仿宋" w:hAnsi="仿宋" w:cs="仿宋"/>
              <w:szCs w:val="30"/>
            </w:rPr>
            <w:fldChar w:fldCharType="separate"/>
          </w:r>
          <w:r>
            <w:rPr>
              <w:rFonts w:hint="default"/>
            </w:rPr>
            <w:t>表7 大气环境管控分区动态更新情况</w:t>
          </w:r>
          <w:r>
            <w:tab/>
          </w:r>
          <w:r>
            <w:fldChar w:fldCharType="begin"/>
          </w:r>
          <w:r>
            <w:instrText xml:space="preserve"> PAGEREF _Toc17333 \h </w:instrText>
          </w:r>
          <w:r>
            <w:fldChar w:fldCharType="separate"/>
          </w:r>
          <w:r>
            <w:t>78</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_Toc21875 </w:instrText>
          </w:r>
          <w:r>
            <w:rPr>
              <w:rFonts w:hint="eastAsia" w:ascii="仿宋" w:hAnsi="仿宋" w:cs="仿宋"/>
              <w:szCs w:val="30"/>
            </w:rPr>
            <w:fldChar w:fldCharType="separate"/>
          </w:r>
          <w:r>
            <w:rPr>
              <w:rFonts w:hint="default"/>
            </w:rPr>
            <w:t>表8 土壤环境管控分区动态更新情况</w:t>
          </w:r>
          <w:r>
            <w:tab/>
          </w:r>
          <w:r>
            <w:fldChar w:fldCharType="begin"/>
          </w:r>
          <w:r>
            <w:instrText xml:space="preserve"> PAGEREF _Toc21875 \h </w:instrText>
          </w:r>
          <w:r>
            <w:fldChar w:fldCharType="separate"/>
          </w:r>
          <w:r>
            <w:t>79</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_Toc1203 </w:instrText>
          </w:r>
          <w:r>
            <w:rPr>
              <w:rFonts w:hint="eastAsia" w:ascii="仿宋" w:hAnsi="仿宋" w:cs="仿宋"/>
              <w:szCs w:val="30"/>
            </w:rPr>
            <w:fldChar w:fldCharType="separate"/>
          </w:r>
          <w:r>
            <w:rPr>
              <w:rFonts w:hint="default"/>
            </w:rPr>
            <w:t>表9 近岸海域环境管控分区动态更新情况</w:t>
          </w:r>
          <w:r>
            <w:tab/>
          </w:r>
          <w:r>
            <w:fldChar w:fldCharType="begin"/>
          </w:r>
          <w:r>
            <w:instrText xml:space="preserve"> PAGEREF _Toc1203 \h </w:instrText>
          </w:r>
          <w:r>
            <w:fldChar w:fldCharType="separate"/>
          </w:r>
          <w:r>
            <w:t>80</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_Toc5305 </w:instrText>
          </w:r>
          <w:r>
            <w:rPr>
              <w:rFonts w:hint="eastAsia" w:ascii="仿宋" w:hAnsi="仿宋" w:cs="仿宋"/>
              <w:szCs w:val="30"/>
            </w:rPr>
            <w:fldChar w:fldCharType="separate"/>
          </w:r>
          <w:r>
            <w:rPr>
              <w:rFonts w:hint="eastAsia"/>
            </w:rPr>
            <w:t>表</w:t>
          </w:r>
          <w:r>
            <w:rPr>
              <w:rFonts w:hint="eastAsia"/>
              <w:lang w:val="en-US" w:eastAsia="zh-CN"/>
            </w:rPr>
            <w:t>10</w:t>
          </w:r>
          <w:r>
            <w:rPr>
              <w:rFonts w:hint="default"/>
            </w:rPr>
            <w:t xml:space="preserve"> 资源要素管控分区动态更新情况</w:t>
          </w:r>
          <w:r>
            <w:tab/>
          </w:r>
          <w:r>
            <w:fldChar w:fldCharType="begin"/>
          </w:r>
          <w:r>
            <w:instrText xml:space="preserve"> PAGEREF _Toc5305 \h </w:instrText>
          </w:r>
          <w:r>
            <w:fldChar w:fldCharType="separate"/>
          </w:r>
          <w:r>
            <w:t>81</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_Toc27080 </w:instrText>
          </w:r>
          <w:r>
            <w:rPr>
              <w:rFonts w:hint="eastAsia" w:ascii="仿宋" w:hAnsi="仿宋" w:cs="仿宋"/>
              <w:szCs w:val="30"/>
            </w:rPr>
            <w:fldChar w:fldCharType="separate"/>
          </w:r>
          <w:r>
            <w:rPr>
              <w:rFonts w:hint="default"/>
            </w:rPr>
            <w:t>表1</w:t>
          </w:r>
          <w:r>
            <w:rPr>
              <w:rFonts w:hint="eastAsia"/>
              <w:lang w:val="en-US" w:eastAsia="zh-CN"/>
            </w:rPr>
            <w:t>1</w:t>
          </w:r>
          <w:r>
            <w:rPr>
              <w:rFonts w:hint="default"/>
            </w:rPr>
            <w:t xml:space="preserve"> </w:t>
          </w:r>
          <w:r>
            <w:rPr>
              <w:rFonts w:hint="eastAsia"/>
              <w:lang w:eastAsia="zh-CN"/>
            </w:rPr>
            <w:t>市级生态环境</w:t>
          </w:r>
          <w:r>
            <w:rPr>
              <w:rFonts w:hint="default"/>
            </w:rPr>
            <w:t>准入清单更新调整情况</w:t>
          </w:r>
          <w:r>
            <w:tab/>
          </w:r>
          <w:r>
            <w:fldChar w:fldCharType="begin"/>
          </w:r>
          <w:r>
            <w:instrText xml:space="preserve"> PAGEREF _Toc27080 \h </w:instrText>
          </w:r>
          <w:r>
            <w:fldChar w:fldCharType="separate"/>
          </w:r>
          <w:r>
            <w:t>83</w:t>
          </w:r>
          <w:r>
            <w:fldChar w:fldCharType="end"/>
          </w:r>
          <w:r>
            <w:rPr>
              <w:rFonts w:hint="eastAsia" w:ascii="仿宋" w:hAnsi="仿宋" w:cs="仿宋"/>
              <w:szCs w:val="30"/>
            </w:rPr>
            <w:fldChar w:fldCharType="end"/>
          </w:r>
        </w:p>
        <w:p>
          <w:pPr>
            <w:pStyle w:val="19"/>
            <w:tabs>
              <w:tab w:val="right" w:leader="dot" w:pos="8844"/>
            </w:tabs>
          </w:pPr>
          <w:r>
            <w:rPr>
              <w:rFonts w:hint="eastAsia" w:ascii="仿宋" w:hAnsi="仿宋" w:cs="仿宋"/>
              <w:szCs w:val="30"/>
            </w:rPr>
            <w:fldChar w:fldCharType="begin"/>
          </w:r>
          <w:r>
            <w:rPr>
              <w:rFonts w:hint="eastAsia" w:ascii="仿宋" w:hAnsi="仿宋" w:cs="仿宋"/>
              <w:szCs w:val="30"/>
            </w:rPr>
            <w:instrText xml:space="preserve"> HYPERLINK \l _Toc32743 </w:instrText>
          </w:r>
          <w:r>
            <w:rPr>
              <w:rFonts w:hint="eastAsia" w:ascii="仿宋" w:hAnsi="仿宋" w:cs="仿宋"/>
              <w:szCs w:val="30"/>
            </w:rPr>
            <w:fldChar w:fldCharType="separate"/>
          </w:r>
          <w:r>
            <w:rPr>
              <w:rFonts w:hint="default"/>
            </w:rPr>
            <w:t>表1</w:t>
          </w:r>
          <w:r>
            <w:rPr>
              <w:rFonts w:hint="eastAsia"/>
              <w:lang w:val="en-US" w:eastAsia="zh-CN"/>
            </w:rPr>
            <w:t>2</w:t>
          </w:r>
          <w:r>
            <w:rPr>
              <w:rFonts w:hint="default"/>
            </w:rPr>
            <w:t xml:space="preserve"> 生态环境准入清单更新调整情况</w:t>
          </w:r>
          <w:r>
            <w:tab/>
          </w:r>
          <w:r>
            <w:fldChar w:fldCharType="begin"/>
          </w:r>
          <w:r>
            <w:instrText xml:space="preserve"> PAGEREF _Toc32743 \h </w:instrText>
          </w:r>
          <w:r>
            <w:fldChar w:fldCharType="separate"/>
          </w:r>
          <w:r>
            <w:t>84</w:t>
          </w:r>
          <w:r>
            <w:fldChar w:fldCharType="end"/>
          </w:r>
          <w:r>
            <w:rPr>
              <w:rFonts w:hint="eastAsia" w:ascii="仿宋" w:hAnsi="仿宋" w:cs="仿宋"/>
              <w:szCs w:val="30"/>
            </w:rPr>
            <w:fldChar w:fldCharType="end"/>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cs="仿宋"/>
              <w:sz w:val="30"/>
              <w:szCs w:val="30"/>
            </w:rPr>
          </w:pPr>
          <w:r>
            <w:rPr>
              <w:rFonts w:hint="eastAsia" w:ascii="仿宋" w:hAnsi="仿宋" w:cs="仿宋"/>
              <w:szCs w:val="30"/>
            </w:rPr>
            <w:fldChar w:fldCharType="end"/>
          </w:r>
        </w:p>
      </w:sdtContent>
    </w:sdt>
    <w:p>
      <w:pPr>
        <w:pStyle w:val="4"/>
        <w:ind w:left="316" w:right="316"/>
        <w:rPr>
          <w:rFonts w:ascii="仿宋" w:hAnsi="仿宋" w:eastAsia="仿宋" w:cs="仿宋"/>
          <w:sz w:val="30"/>
          <w:szCs w:val="30"/>
        </w:rPr>
        <w:sectPr>
          <w:footerReference r:id="rId4" w:type="default"/>
          <w:pgSz w:w="11906" w:h="16838"/>
          <w:pgMar w:top="2098" w:right="1474" w:bottom="1985" w:left="1588" w:header="851" w:footer="1588" w:gutter="0"/>
          <w:pgNumType w:fmt="decimal" w:start="1" w:chapStyle="1"/>
          <w:cols w:space="720" w:num="1"/>
          <w:docGrid w:type="linesAndChars" w:linePitch="569" w:charSpace="-849"/>
        </w:sectPr>
      </w:pPr>
    </w:p>
    <w:p>
      <w:pPr>
        <w:pStyle w:val="4"/>
        <w:ind w:left="316" w:right="316"/>
      </w:pPr>
      <w:bookmarkStart w:id="16" w:name="_Toc22526"/>
      <w:r>
        <w:rPr>
          <w:rFonts w:hint="eastAsia"/>
        </w:rPr>
        <w:t>1、基本情况</w:t>
      </w:r>
      <w:bookmarkEnd w:id="16"/>
    </w:p>
    <w:p>
      <w:pPr>
        <w:bidi w:val="0"/>
        <w:ind w:firstLine="632" w:firstLineChars="200"/>
      </w:pPr>
      <w:r>
        <w:rPr>
          <w:rFonts w:hint="eastAsia"/>
        </w:rPr>
        <w:t>2023年3月6日，生态环境部印发《2023年生态环境分区管控成果动态更新工作方案》（环办环评函〔2023〕81号），要求各地组织开展2023年生态环境分区管控成果动态更新工作。3月22日，广东省生态环境厅印发《关于印发广东省2023年生态环境分区管控成果动态更新实施方案的通知》（粤环办〔2023〕12号），进一步明确了我省2023年生态环境分区管控成果动态更新组织实施和技术要求。</w:t>
      </w:r>
    </w:p>
    <w:p>
      <w:pPr>
        <w:bidi w:val="0"/>
        <w:ind w:firstLine="632" w:firstLineChars="200"/>
      </w:pPr>
      <w:r>
        <w:rPr>
          <w:rFonts w:hint="eastAsia"/>
        </w:rPr>
        <w:t>梅州市委、市政府高度重视“三线一单”工作，2021年6月，市政府印发《梅州市“三线一单”生态环境分区管控方案》，明确了梅州市生态保护红线及一般生态空间、环境质量底线、资源利用上线和生态环境准入清单要求。“三线一单”编制时间较早，市生态保护红线采用的是2020年广东省人民政府报送自然资源部、生态环境部的版本，即全市生态保护红线面积占全市国土面积的27.13％；环境质量底线尚未明确“十四五”期间的具体目标指标要求。2022年10月，自然资源部办公厅印发《自然资源部办公厅关于北京等省（区、市）启用“三区三线”划定成果作为报批建设项目用地用海依据的函》（自然资办函〔2022〕2207号），正式启用我省永久基本农田、生态保护红线、城镇开发边界等三条控制线划定成果数据，该成果确定的生态保护红线范围与“三线一单”方案中存在差异。同时，省市“十四五”生态环境保护相关规划已经出台，环境质量底线目标已经确定，现有生态环境分区管控成果亟需动态更新，以保障成果的时效性和针对性。</w:t>
      </w:r>
    </w:p>
    <w:p>
      <w:pPr>
        <w:bidi w:val="0"/>
        <w:ind w:firstLine="632" w:firstLineChars="200"/>
        <w:rPr>
          <w:rFonts w:hint="eastAsia"/>
        </w:rPr>
      </w:pPr>
      <w:r>
        <w:rPr>
          <w:rFonts w:hint="eastAsia"/>
        </w:rPr>
        <w:t>2023年4月，技术组成员单位广东省环境科学院和梅州市环境科学研究所开展了前期的资料收集和数据分析工作，于2023年5月9日至2023年6月28日前往各县（市）区开展多次调研和对接，充分了解了当地更新调整的需求，对接了全市各类重点项目，形成了2023年梅州市“三线一单”生态环境分区管控成果动态更新的初步成果。</w:t>
      </w:r>
    </w:p>
    <w:p>
      <w:pPr>
        <w:ind w:firstLine="640"/>
      </w:pPr>
      <w:r>
        <w:rPr>
          <w:rFonts w:hint="eastAsia"/>
        </w:rPr>
        <w:t>2023年6月21日，梅州市生态环境局对《2023年梅州市“三线一单”生态环境分区管控成果动态更新成果(征求意见稿)》进行第一轮全市范围征求意见，共征求15个市直相关单位、8个县市区及高新区共24个单位的意见，共计收集到20条反馈意见，其中采纳15条、部分采纳3</w:t>
      </w:r>
      <w:r>
        <w:rPr>
          <w:rFonts w:hint="eastAsia"/>
          <w:lang w:eastAsia="zh-CN"/>
        </w:rPr>
        <w:t>条</w:t>
      </w:r>
      <w:r>
        <w:rPr>
          <w:rFonts w:hint="eastAsia"/>
        </w:rPr>
        <w:t>、未采纳2条</w:t>
      </w:r>
      <w:r>
        <w:rPr>
          <w:rFonts w:hint="eastAsia"/>
          <w:lang w:eastAsia="zh-CN"/>
        </w:rPr>
        <w:t>。成果</w:t>
      </w:r>
      <w:r>
        <w:rPr>
          <w:rFonts w:hint="eastAsia"/>
        </w:rPr>
        <w:t>修改</w:t>
      </w:r>
      <w:r>
        <w:rPr>
          <w:rFonts w:hint="eastAsia"/>
          <w:lang w:eastAsia="zh-CN"/>
        </w:rPr>
        <w:t>后报送省生态环境厅进行技术审核，基于省厅反馈的意见修改后再次于</w:t>
      </w:r>
      <w:r>
        <w:rPr>
          <w:rFonts w:hint="eastAsia"/>
        </w:rPr>
        <w:t>2023年</w:t>
      </w:r>
      <w:r>
        <w:rPr>
          <w:rFonts w:hint="eastAsia"/>
          <w:lang w:val="en-US" w:eastAsia="zh-CN"/>
        </w:rPr>
        <w:t>8</w:t>
      </w:r>
      <w:r>
        <w:rPr>
          <w:rFonts w:hint="eastAsia"/>
        </w:rPr>
        <w:t>月</w:t>
      </w:r>
      <w:r>
        <w:rPr>
          <w:rFonts w:hint="eastAsia"/>
          <w:lang w:val="en-US" w:eastAsia="zh-CN"/>
        </w:rPr>
        <w:t>23</w:t>
      </w:r>
      <w:r>
        <w:rPr>
          <w:rFonts w:hint="eastAsia"/>
        </w:rPr>
        <w:t>日对动态更新成果进行第</w:t>
      </w:r>
      <w:r>
        <w:rPr>
          <w:rFonts w:hint="eastAsia"/>
          <w:lang w:eastAsia="zh-CN"/>
        </w:rPr>
        <w:t>二</w:t>
      </w:r>
      <w:r>
        <w:rPr>
          <w:rFonts w:hint="eastAsia"/>
        </w:rPr>
        <w:t>轮全市范围征求意见，共计收集到</w:t>
      </w:r>
      <w:r>
        <w:rPr>
          <w:rFonts w:hint="eastAsia"/>
          <w:lang w:val="en-US" w:eastAsia="zh-CN"/>
        </w:rPr>
        <w:t>7</w:t>
      </w:r>
      <w:r>
        <w:rPr>
          <w:rFonts w:hint="eastAsia"/>
        </w:rPr>
        <w:t>条反馈意见，其中采纳</w:t>
      </w:r>
      <w:r>
        <w:rPr>
          <w:rFonts w:hint="eastAsia"/>
          <w:lang w:val="en-US" w:eastAsia="zh-CN"/>
        </w:rPr>
        <w:t>6</w:t>
      </w:r>
      <w:r>
        <w:rPr>
          <w:rFonts w:hint="eastAsia"/>
        </w:rPr>
        <w:t>条、部分采纳</w:t>
      </w:r>
      <w:r>
        <w:rPr>
          <w:rFonts w:hint="eastAsia"/>
          <w:lang w:val="en-US" w:eastAsia="zh-CN"/>
        </w:rPr>
        <w:t>1</w:t>
      </w:r>
      <w:r>
        <w:rPr>
          <w:rFonts w:hint="eastAsia"/>
        </w:rPr>
        <w:t>条</w:t>
      </w:r>
      <w:r>
        <w:rPr>
          <w:rFonts w:hint="eastAsia"/>
          <w:lang w:eastAsia="zh-CN"/>
        </w:rPr>
        <w:t>，最终</w:t>
      </w:r>
      <w:r>
        <w:rPr>
          <w:rFonts w:hint="eastAsia"/>
        </w:rPr>
        <w:t>形成了2023年梅州市“三线一单”生态环境分区管控成果动态更新</w:t>
      </w:r>
      <w:bookmarkStart w:id="86" w:name="_GoBack"/>
      <w:bookmarkEnd w:id="86"/>
      <w:r>
        <w:rPr>
          <w:rFonts w:hint="eastAsia"/>
        </w:rPr>
        <w:t>成果。</w:t>
      </w:r>
    </w:p>
    <w:p>
      <w:pPr>
        <w:jc w:val="center"/>
        <w:rPr>
          <w:rFonts w:eastAsia="宋体"/>
        </w:rPr>
      </w:pPr>
      <w:r>
        <w:rPr>
          <w:rFonts w:hint="eastAsia"/>
        </w:rPr>
        <w:drawing>
          <wp:inline distT="0" distB="0" distL="114300" distR="114300">
            <wp:extent cx="1367790" cy="1367790"/>
            <wp:effectExtent l="0" t="0" r="3810" b="3810"/>
            <wp:docPr id="52" name="图片 52" descr="0f67ca6194d53b0504e8cd62f4cf5d1"/>
            <wp:cNvGraphicFramePr/>
            <a:graphic xmlns:a="http://schemas.openxmlformats.org/drawingml/2006/main">
              <a:graphicData uri="http://schemas.openxmlformats.org/drawingml/2006/picture">
                <pic:pic xmlns:pic="http://schemas.openxmlformats.org/drawingml/2006/picture">
                  <pic:nvPicPr>
                    <pic:cNvPr id="52" name="图片 52" descr="0f67ca6194d53b0504e8cd62f4cf5d1"/>
                    <pic:cNvPicPr preferRelativeResize="0"/>
                  </pic:nvPicPr>
                  <pic:blipFill>
                    <a:blip r:embed="rId7"/>
                    <a:stretch>
                      <a:fillRect/>
                    </a:stretch>
                  </pic:blipFill>
                  <pic:spPr>
                    <a:xfrm>
                      <a:off x="0" y="0"/>
                      <a:ext cx="1367790" cy="1367790"/>
                    </a:xfrm>
                    <a:prstGeom prst="rect">
                      <a:avLst/>
                    </a:prstGeom>
                  </pic:spPr>
                </pic:pic>
              </a:graphicData>
            </a:graphic>
          </wp:inline>
        </w:drawing>
      </w:r>
      <w:r>
        <w:rPr>
          <w:rFonts w:hint="eastAsia"/>
        </w:rPr>
        <w:drawing>
          <wp:inline distT="0" distB="0" distL="114300" distR="114300">
            <wp:extent cx="1367790" cy="1367790"/>
            <wp:effectExtent l="0" t="0" r="3810" b="3810"/>
            <wp:docPr id="51" name="图片 51" descr="微信图片_20230616145055"/>
            <wp:cNvGraphicFramePr/>
            <a:graphic xmlns:a="http://schemas.openxmlformats.org/drawingml/2006/main">
              <a:graphicData uri="http://schemas.openxmlformats.org/drawingml/2006/picture">
                <pic:pic xmlns:pic="http://schemas.openxmlformats.org/drawingml/2006/picture">
                  <pic:nvPicPr>
                    <pic:cNvPr id="51" name="图片 51" descr="微信图片_20230616145055"/>
                    <pic:cNvPicPr preferRelativeResize="0"/>
                  </pic:nvPicPr>
                  <pic:blipFill>
                    <a:blip r:embed="rId8"/>
                    <a:stretch>
                      <a:fillRect/>
                    </a:stretch>
                  </pic:blipFill>
                  <pic:spPr>
                    <a:xfrm>
                      <a:off x="0" y="0"/>
                      <a:ext cx="1367790" cy="1367790"/>
                    </a:xfrm>
                    <a:prstGeom prst="rect">
                      <a:avLst/>
                    </a:prstGeom>
                  </pic:spPr>
                </pic:pic>
              </a:graphicData>
            </a:graphic>
          </wp:inline>
        </w:drawing>
      </w:r>
      <w:r>
        <w:rPr>
          <w:rFonts w:hint="eastAsia"/>
        </w:rPr>
        <w:drawing>
          <wp:inline distT="0" distB="0" distL="114300" distR="114300">
            <wp:extent cx="1367790" cy="1367790"/>
            <wp:effectExtent l="0" t="0" r="3810" b="3810"/>
            <wp:docPr id="50" name="图片 50" descr="563e3a66a45341982554542a8b564ed"/>
            <wp:cNvGraphicFramePr/>
            <a:graphic xmlns:a="http://schemas.openxmlformats.org/drawingml/2006/main">
              <a:graphicData uri="http://schemas.openxmlformats.org/drawingml/2006/picture">
                <pic:pic xmlns:pic="http://schemas.openxmlformats.org/drawingml/2006/picture">
                  <pic:nvPicPr>
                    <pic:cNvPr id="50" name="图片 50" descr="563e3a66a45341982554542a8b564ed"/>
                    <pic:cNvPicPr preferRelativeResize="0"/>
                  </pic:nvPicPr>
                  <pic:blipFill>
                    <a:blip r:embed="rId9"/>
                    <a:stretch>
                      <a:fillRect/>
                    </a:stretch>
                  </pic:blipFill>
                  <pic:spPr>
                    <a:xfrm>
                      <a:off x="0" y="0"/>
                      <a:ext cx="1367790" cy="1367790"/>
                    </a:xfrm>
                    <a:prstGeom prst="rect">
                      <a:avLst/>
                    </a:prstGeom>
                  </pic:spPr>
                </pic:pic>
              </a:graphicData>
            </a:graphic>
          </wp:inline>
        </w:drawing>
      </w:r>
      <w:r>
        <w:rPr>
          <w:rFonts w:hint="eastAsia" w:eastAsia="宋体"/>
        </w:rPr>
        <w:drawing>
          <wp:inline distT="0" distB="0" distL="114300" distR="114300">
            <wp:extent cx="1367790" cy="1367790"/>
            <wp:effectExtent l="0" t="0" r="3810" b="3810"/>
            <wp:docPr id="54" name="图片 54" descr="97a2be189f222ba2b1c1f68fdf98c85"/>
            <wp:cNvGraphicFramePr/>
            <a:graphic xmlns:a="http://schemas.openxmlformats.org/drawingml/2006/main">
              <a:graphicData uri="http://schemas.openxmlformats.org/drawingml/2006/picture">
                <pic:pic xmlns:pic="http://schemas.openxmlformats.org/drawingml/2006/picture">
                  <pic:nvPicPr>
                    <pic:cNvPr id="54" name="图片 54" descr="97a2be189f222ba2b1c1f68fdf98c85"/>
                    <pic:cNvPicPr preferRelativeResize="0"/>
                  </pic:nvPicPr>
                  <pic:blipFill>
                    <a:blip r:embed="rId10"/>
                    <a:stretch>
                      <a:fillRect/>
                    </a:stretch>
                  </pic:blipFill>
                  <pic:spPr>
                    <a:xfrm>
                      <a:off x="0" y="0"/>
                      <a:ext cx="1367790" cy="1367790"/>
                    </a:xfrm>
                    <a:prstGeom prst="rect">
                      <a:avLst/>
                    </a:prstGeom>
                  </pic:spPr>
                </pic:pic>
              </a:graphicData>
            </a:graphic>
          </wp:inline>
        </w:drawing>
      </w:r>
    </w:p>
    <w:p>
      <w:pPr>
        <w:pStyle w:val="10"/>
        <w:jc w:val="center"/>
      </w:pPr>
      <w:r>
        <w:t>图</w:t>
      </w:r>
      <w:r>
        <w:rPr>
          <w:rFonts w:hint="eastAsia"/>
        </w:rPr>
        <w:t>1-1梅州市“三线一单”更新调整现场对接</w:t>
      </w:r>
    </w:p>
    <w:p>
      <w:pPr>
        <w:jc w:val="center"/>
      </w:pPr>
      <w:r>
        <w:rPr>
          <w:rFonts w:hint="eastAsia"/>
        </w:rPr>
        <w:br w:type="page"/>
      </w:r>
    </w:p>
    <w:p>
      <w:pPr>
        <w:pStyle w:val="4"/>
        <w:ind w:left="316" w:right="316"/>
      </w:pPr>
      <w:bookmarkStart w:id="17" w:name="_Toc31386"/>
      <w:r>
        <w:rPr>
          <w:rFonts w:hint="eastAsia"/>
        </w:rPr>
        <w:t>2、主要任务和技术路线</w:t>
      </w:r>
      <w:bookmarkEnd w:id="17"/>
    </w:p>
    <w:p>
      <w:pPr>
        <w:pStyle w:val="5"/>
      </w:pPr>
      <w:bookmarkStart w:id="18" w:name="_Toc21805"/>
      <w:r>
        <w:rPr>
          <w:rFonts w:hint="eastAsia"/>
        </w:rPr>
        <w:t>2.1主要任务</w:t>
      </w:r>
      <w:bookmarkEnd w:id="18"/>
    </w:p>
    <w:p>
      <w:pPr>
        <w:ind w:firstLine="632" w:firstLineChars="200"/>
      </w:pPr>
      <w:r>
        <w:t>重点衔接国土空间规划，依据最新法律法规和相关政策、规划，梳理生态空间、环境质量底线、资源利用上线、各要素环境管控分区、环境管控单元、生态环境准入清单以及信息数据等，按照《广东省2023年生态环境分区管控动态更新技术要点》</w:t>
      </w:r>
      <w:r>
        <w:rPr>
          <w:rFonts w:hint="eastAsia"/>
        </w:rPr>
        <w:t>，</w:t>
      </w:r>
      <w:r>
        <w:t>对生态环境分区管控成果相关内容进行动态更新。</w:t>
      </w:r>
    </w:p>
    <w:p>
      <w:pPr>
        <w:outlineLvl w:val="2"/>
        <w:rPr>
          <w:b/>
          <w:bCs/>
        </w:rPr>
      </w:pPr>
      <w:bookmarkStart w:id="19" w:name="_Toc32612"/>
      <w:bookmarkStart w:id="20" w:name="_Toc29106"/>
      <w:r>
        <w:rPr>
          <w:b/>
          <w:bCs/>
        </w:rPr>
        <w:t>（一）生态保护红线动态更新</w:t>
      </w:r>
      <w:bookmarkEnd w:id="19"/>
      <w:bookmarkEnd w:id="20"/>
    </w:p>
    <w:p>
      <w:pPr>
        <w:ind w:firstLine="632" w:firstLineChars="200"/>
      </w:pPr>
      <w:r>
        <w:t>依据国土空间规划，更新陆域和海域生态保护红线，优化生态保护红线调整关联区域的环境管控分区和管控要求。同时相应优化一般生态空间，原则上生态空间比例保持基本稳定。</w:t>
      </w:r>
    </w:p>
    <w:p>
      <w:pPr>
        <w:outlineLvl w:val="2"/>
        <w:rPr>
          <w:b/>
          <w:bCs/>
        </w:rPr>
      </w:pPr>
      <w:bookmarkStart w:id="21" w:name="_Toc29862"/>
      <w:bookmarkStart w:id="22" w:name="_Toc32025"/>
      <w:r>
        <w:rPr>
          <w:b/>
          <w:bCs/>
        </w:rPr>
        <w:t>（二）环境质量底线动态更新</w:t>
      </w:r>
      <w:bookmarkEnd w:id="21"/>
      <w:bookmarkEnd w:id="22"/>
    </w:p>
    <w:p>
      <w:pPr>
        <w:ind w:firstLine="632" w:firstLineChars="200"/>
      </w:pPr>
      <w:r>
        <w:t>依据国家、省、区域、流域及本地区“十四五”环境质量目标和管理要求，衔接国土空间开发格局，更新环境质量底线目标。依据国土空间规划、环境功能区划、区域开发格局和强度、产业园区边界、</w:t>
      </w:r>
      <w:r>
        <w:rPr>
          <w:rFonts w:hint="eastAsia"/>
        </w:rPr>
        <w:t>“十四五”</w:t>
      </w:r>
      <w:r>
        <w:t>考核点位等变化情况或环境质量改善需要，对各要素环境管控分区及管控要求进行更新。</w:t>
      </w:r>
    </w:p>
    <w:p>
      <w:pPr>
        <w:outlineLvl w:val="2"/>
        <w:rPr>
          <w:b/>
          <w:bCs/>
        </w:rPr>
      </w:pPr>
      <w:bookmarkStart w:id="23" w:name="_Toc27084"/>
      <w:bookmarkStart w:id="24" w:name="_Toc18160"/>
      <w:r>
        <w:rPr>
          <w:b/>
          <w:bCs/>
        </w:rPr>
        <w:t>（三）资源利用上线动态更新</w:t>
      </w:r>
      <w:bookmarkEnd w:id="23"/>
      <w:bookmarkEnd w:id="24"/>
    </w:p>
    <w:p>
      <w:pPr>
        <w:ind w:firstLine="632" w:firstLineChars="200"/>
      </w:pPr>
      <w:r>
        <w:t>衔接国家、省、市</w:t>
      </w:r>
      <w:r>
        <w:rPr>
          <w:rFonts w:hint="eastAsia"/>
        </w:rPr>
        <w:t>“十四五”</w:t>
      </w:r>
      <w:r>
        <w:t>能源资源管理目标和要求，对生态环境分区管控中涉及的资源利用上线目标及管控要求进行联动更新。依据区域资源开发利用结构、效率水平和空间布局等重大调整变化，更新资源利用管控分区和相关管控要求。</w:t>
      </w:r>
    </w:p>
    <w:p>
      <w:pPr>
        <w:outlineLvl w:val="2"/>
        <w:rPr>
          <w:b/>
          <w:bCs/>
        </w:rPr>
      </w:pPr>
      <w:bookmarkStart w:id="25" w:name="_Toc12555"/>
      <w:bookmarkStart w:id="26" w:name="_Toc14457"/>
      <w:r>
        <w:rPr>
          <w:b/>
          <w:bCs/>
        </w:rPr>
        <w:t>（四）生态环境管控单元和准入清单动态更新</w:t>
      </w:r>
      <w:bookmarkEnd w:id="25"/>
      <w:bookmarkEnd w:id="26"/>
    </w:p>
    <w:p>
      <w:pPr>
        <w:ind w:firstLine="632" w:firstLineChars="200"/>
      </w:pPr>
      <w:r>
        <w:t>综合生态保护红线、环境质量底线、资源利用上线更新成果，对生态环境管控单元和准入清单进行相应的更新。优先保护单元的空间格局应保持基本稳定，重点管控单元的空间格局应与环境治理格局相匹配。</w:t>
      </w:r>
    </w:p>
    <w:p>
      <w:pPr>
        <w:pStyle w:val="5"/>
      </w:pPr>
      <w:bookmarkStart w:id="27" w:name="_Toc32034"/>
      <w:r>
        <w:rPr>
          <w:rFonts w:hint="eastAsia"/>
        </w:rPr>
        <w:t>2.2技术路线</w:t>
      </w:r>
      <w:bookmarkEnd w:id="27"/>
    </w:p>
    <w:p>
      <w:pPr>
        <w:ind w:firstLine="632" w:firstLineChars="200"/>
      </w:pPr>
      <w:r>
        <w:t>因生态保护红线、饮用水水源保护区、自然保护地等法定保护区域依法依规设立、调整或撤并以及法律法规有新规定的，产业园区边界调整的，从其规定开展联动更新。因重大发展战略、国土空间规划、生态环境质量状况和保护目标、自然条件等发生变化而更新的，应结合实施应用中发现的问题和需求，开展动态更新的评估分析，合理更新环境质量底线和资源利用上线目标，优化一般生态空间及要素管控分区，相应更新生态环境管控单元、准入清单和信息平台数据，具体技术路线如图所示。</w:t>
      </w:r>
    </w:p>
    <w:p>
      <w:pPr>
        <w:rPr>
          <w:sz w:val="21"/>
        </w:rPr>
      </w:pPr>
      <w:r>
        <w:rPr>
          <w:sz w:val="21"/>
        </w:rPr>
        <w:drawing>
          <wp:inline distT="0" distB="0" distL="114300" distR="114300">
            <wp:extent cx="5822315" cy="3228340"/>
            <wp:effectExtent l="0" t="0" r="6985" b="1016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1"/>
                    <a:stretch>
                      <a:fillRect/>
                    </a:stretch>
                  </pic:blipFill>
                  <pic:spPr>
                    <a:xfrm>
                      <a:off x="0" y="0"/>
                      <a:ext cx="5822315" cy="3228340"/>
                    </a:xfrm>
                    <a:prstGeom prst="rect">
                      <a:avLst/>
                    </a:prstGeom>
                    <a:noFill/>
                    <a:ln>
                      <a:noFill/>
                    </a:ln>
                  </pic:spPr>
                </pic:pic>
              </a:graphicData>
            </a:graphic>
          </wp:inline>
        </w:drawing>
      </w:r>
    </w:p>
    <w:p>
      <w:pPr>
        <w:pStyle w:val="10"/>
        <w:jc w:val="center"/>
      </w:pPr>
      <w:r>
        <w:t>图</w:t>
      </w:r>
      <w:r>
        <w:rPr>
          <w:rFonts w:hint="eastAsia"/>
        </w:rPr>
        <w:t>2-1</w:t>
      </w:r>
      <w:r>
        <w:t>生态环境分区管控动态更新技术路线</w:t>
      </w:r>
    </w:p>
    <w:p>
      <w:r>
        <w:rPr>
          <w:rFonts w:hint="eastAsia"/>
        </w:rPr>
        <w:br w:type="page"/>
      </w:r>
    </w:p>
    <w:p>
      <w:pPr>
        <w:pStyle w:val="4"/>
        <w:ind w:left="316" w:right="316"/>
      </w:pPr>
      <w:bookmarkStart w:id="28" w:name="_Toc4108"/>
      <w:r>
        <w:rPr>
          <w:rFonts w:hint="eastAsia"/>
        </w:rPr>
        <w:t>3、生态保护红线和一般生态空间调整</w:t>
      </w:r>
      <w:bookmarkEnd w:id="28"/>
    </w:p>
    <w:p>
      <w:pPr>
        <w:pStyle w:val="5"/>
      </w:pPr>
      <w:bookmarkStart w:id="29" w:name="_Toc28300"/>
      <w:r>
        <w:rPr>
          <w:rFonts w:hint="eastAsia"/>
        </w:rPr>
        <w:t>3.1生态保护红线更新</w:t>
      </w:r>
      <w:bookmarkEnd w:id="29"/>
    </w:p>
    <w:p>
      <w:pPr>
        <w:pStyle w:val="6"/>
      </w:pPr>
      <w:bookmarkStart w:id="30" w:name="_Toc26461"/>
      <w:bookmarkStart w:id="31" w:name="_Toc8064"/>
      <w:r>
        <w:rPr>
          <w:rFonts w:hint="eastAsia"/>
        </w:rPr>
        <w:t>3.1.1更新前的生态保护红线</w:t>
      </w:r>
      <w:bookmarkEnd w:id="30"/>
      <w:bookmarkEnd w:id="31"/>
    </w:p>
    <w:p>
      <w:pPr>
        <w:ind w:firstLine="632" w:firstLineChars="200"/>
      </w:pPr>
      <w:r>
        <w:rPr>
          <w:rFonts w:hint="eastAsia"/>
        </w:rPr>
        <w:t>《梅州市“三线一单”生态环境分区管控方案》中梅州市生态保护红线面积为4305.28km</w:t>
      </w:r>
      <w:r>
        <w:rPr>
          <w:rFonts w:hint="eastAsia"/>
          <w:vertAlign w:val="superscript"/>
        </w:rPr>
        <w:t>2</w:t>
      </w:r>
      <w:r>
        <w:rPr>
          <w:rFonts w:hint="eastAsia"/>
        </w:rPr>
        <w:t>，占市域面积的27.13%。梅州市自然资源部门的“三区三线”成果中梅州市最新生态保护红线的面积为3926.90km</w:t>
      </w:r>
      <w:r>
        <w:rPr>
          <w:rFonts w:hint="eastAsia"/>
          <w:vertAlign w:val="superscript"/>
        </w:rPr>
        <w:t>2</w:t>
      </w:r>
      <w:r>
        <w:rPr>
          <w:rFonts w:hint="eastAsia"/>
        </w:rPr>
        <w:t>，占市域面积的</w:t>
      </w:r>
      <w:r>
        <w:t>24.75</w:t>
      </w:r>
      <w:r>
        <w:rPr>
          <w:rFonts w:hint="eastAsia"/>
        </w:rPr>
        <w:t>%。</w:t>
      </w:r>
    </w:p>
    <w:p>
      <w:r>
        <w:drawing>
          <wp:inline distT="0" distB="0" distL="114300" distR="114300">
            <wp:extent cx="2649855" cy="2771775"/>
            <wp:effectExtent l="0" t="0" r="17145" b="9525"/>
            <wp:docPr id="44" name="图片 44" descr="红线更新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红线更新前"/>
                    <pic:cNvPicPr>
                      <a:picLocks noChangeAspect="1"/>
                    </pic:cNvPicPr>
                  </pic:nvPicPr>
                  <pic:blipFill>
                    <a:blip r:embed="rId12"/>
                    <a:stretch>
                      <a:fillRect/>
                    </a:stretch>
                  </pic:blipFill>
                  <pic:spPr>
                    <a:xfrm>
                      <a:off x="0" y="0"/>
                      <a:ext cx="2649855" cy="2771775"/>
                    </a:xfrm>
                    <a:prstGeom prst="rect">
                      <a:avLst/>
                    </a:prstGeom>
                  </pic:spPr>
                </pic:pic>
              </a:graphicData>
            </a:graphic>
          </wp:inline>
        </w:drawing>
      </w:r>
      <w:r>
        <w:rPr>
          <w:rFonts w:hint="eastAsia" w:eastAsia="黑体"/>
        </w:rPr>
        <w:drawing>
          <wp:inline distT="0" distB="0" distL="114300" distR="114300">
            <wp:extent cx="2649855" cy="2771775"/>
            <wp:effectExtent l="0" t="0" r="17145" b="9525"/>
            <wp:docPr id="45" name="图片 45" descr="红线更新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红线更新后"/>
                    <pic:cNvPicPr>
                      <a:picLocks noChangeAspect="1"/>
                    </pic:cNvPicPr>
                  </pic:nvPicPr>
                  <pic:blipFill>
                    <a:blip r:embed="rId13"/>
                    <a:stretch>
                      <a:fillRect/>
                    </a:stretch>
                  </pic:blipFill>
                  <pic:spPr>
                    <a:xfrm>
                      <a:off x="0" y="0"/>
                      <a:ext cx="2649855" cy="2771775"/>
                    </a:xfrm>
                    <a:prstGeom prst="rect">
                      <a:avLst/>
                    </a:prstGeom>
                  </pic:spPr>
                </pic:pic>
              </a:graphicData>
            </a:graphic>
          </wp:inline>
        </w:drawing>
      </w:r>
    </w:p>
    <w:p>
      <w:pPr>
        <w:pStyle w:val="10"/>
        <w:jc w:val="center"/>
        <w:rPr>
          <w:rFonts w:hint="eastAsia" w:eastAsia="黑体"/>
          <w:lang w:eastAsia="zh-CN"/>
        </w:rPr>
      </w:pPr>
      <w:r>
        <w:t>图</w:t>
      </w:r>
      <w:r>
        <w:rPr>
          <w:rFonts w:hint="eastAsia"/>
        </w:rPr>
        <w:t>3-</w:t>
      </w:r>
      <w:r>
        <w:rPr>
          <w:rFonts w:hint="eastAsia"/>
          <w:lang w:val="en-US" w:eastAsia="zh-CN"/>
        </w:rPr>
        <w:t>1 梅州市</w:t>
      </w:r>
      <w:r>
        <w:rPr>
          <w:rFonts w:hint="eastAsia"/>
        </w:rPr>
        <w:t>"三线一单"和“三区三线”生态保护红线</w:t>
      </w:r>
      <w:r>
        <w:rPr>
          <w:rFonts w:hint="eastAsia"/>
          <w:lang w:eastAsia="zh-CN"/>
        </w:rPr>
        <w:t>对比</w:t>
      </w:r>
    </w:p>
    <w:p>
      <w:r>
        <w:rPr>
          <w:rFonts w:hint="eastAsia"/>
        </w:rPr>
        <w:br w:type="page"/>
      </w:r>
    </w:p>
    <w:p>
      <w:pPr>
        <w:pStyle w:val="6"/>
      </w:pPr>
      <w:bookmarkStart w:id="32" w:name="_Toc23734"/>
      <w:bookmarkStart w:id="33" w:name="_Toc12474"/>
      <w:r>
        <w:rPr>
          <w:rFonts w:hint="eastAsia"/>
        </w:rPr>
        <w:t>3.1.2更新后的生态保护红线</w:t>
      </w:r>
      <w:bookmarkEnd w:id="32"/>
      <w:bookmarkEnd w:id="33"/>
    </w:p>
    <w:p>
      <w:pPr>
        <w:ind w:firstLine="632" w:firstLineChars="200"/>
      </w:pPr>
      <w:r>
        <w:rPr>
          <w:rFonts w:hint="eastAsia"/>
        </w:rPr>
        <w:t>完全采用梅州市自然资源部门最新的“三区三线”成果对三线一单中的生态保护红线进行更新，更新后的梅州市生态保护红线面积即为3926.90km</w:t>
      </w:r>
      <w:r>
        <w:rPr>
          <w:rFonts w:hint="eastAsia"/>
          <w:vertAlign w:val="superscript"/>
        </w:rPr>
        <w:t>2</w:t>
      </w:r>
      <w:r>
        <w:rPr>
          <w:rFonts w:hint="eastAsia"/>
        </w:rPr>
        <w:t>（相较旧版面积减少了37</w:t>
      </w:r>
      <w:r>
        <w:rPr>
          <w:rFonts w:hint="eastAsia"/>
          <w:lang w:val="en-US" w:eastAsia="zh-CN"/>
        </w:rPr>
        <w:t>8</w:t>
      </w:r>
      <w:r>
        <w:rPr>
          <w:rFonts w:hint="eastAsia"/>
        </w:rPr>
        <w:t>.</w:t>
      </w:r>
      <w:r>
        <w:rPr>
          <w:rFonts w:hint="eastAsia"/>
          <w:lang w:val="en-US" w:eastAsia="zh-CN"/>
        </w:rPr>
        <w:t>38</w:t>
      </w:r>
      <w:r>
        <w:rPr>
          <w:rFonts w:hint="eastAsia"/>
        </w:rPr>
        <w:t>km</w:t>
      </w:r>
      <w:r>
        <w:rPr>
          <w:rFonts w:hint="eastAsia"/>
          <w:vertAlign w:val="superscript"/>
        </w:rPr>
        <w:t>2</w:t>
      </w:r>
      <w:r>
        <w:rPr>
          <w:rFonts w:hint="eastAsia"/>
        </w:rPr>
        <w:t>），占市域面积的比例也从27.13%下降到24.75%。</w:t>
      </w:r>
    </w:p>
    <w:p>
      <w:pPr>
        <w:jc w:val="center"/>
      </w:pPr>
      <w:r>
        <w:rPr>
          <w:rFonts w:hint="eastAsia"/>
        </w:rPr>
        <w:drawing>
          <wp:inline distT="0" distB="0" distL="114300" distR="114300">
            <wp:extent cx="4535805" cy="4748530"/>
            <wp:effectExtent l="0" t="0" r="17145" b="13970"/>
            <wp:docPr id="15" name="图片 15" descr="红线变化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红线变化情况"/>
                    <pic:cNvPicPr>
                      <a:picLocks noChangeAspect="1"/>
                    </pic:cNvPicPr>
                  </pic:nvPicPr>
                  <pic:blipFill>
                    <a:blip r:embed="rId14"/>
                    <a:stretch>
                      <a:fillRect/>
                    </a:stretch>
                  </pic:blipFill>
                  <pic:spPr>
                    <a:xfrm>
                      <a:off x="0" y="0"/>
                      <a:ext cx="4535805" cy="4748530"/>
                    </a:xfrm>
                    <a:prstGeom prst="rect">
                      <a:avLst/>
                    </a:prstGeom>
                  </pic:spPr>
                </pic:pic>
              </a:graphicData>
            </a:graphic>
          </wp:inline>
        </w:drawing>
      </w:r>
    </w:p>
    <w:p>
      <w:pPr>
        <w:pStyle w:val="10"/>
        <w:jc w:val="center"/>
      </w:pPr>
      <w:r>
        <w:t>图</w:t>
      </w:r>
      <w:r>
        <w:rPr>
          <w:rFonts w:hint="eastAsia"/>
        </w:rPr>
        <w:t>3-2</w:t>
      </w:r>
      <w:r>
        <w:rPr>
          <w:rFonts w:hint="eastAsia"/>
          <w:lang w:eastAsia="zh-CN"/>
        </w:rPr>
        <w:t>梅州市</w:t>
      </w:r>
      <w:r>
        <w:rPr>
          <w:rFonts w:hint="eastAsia"/>
        </w:rPr>
        <w:t>生态保护红线的变化情况</w:t>
      </w:r>
    </w:p>
    <w:p>
      <w:r>
        <w:br w:type="page"/>
      </w:r>
    </w:p>
    <w:p>
      <w:pPr>
        <w:pStyle w:val="10"/>
        <w:jc w:val="center"/>
      </w:pPr>
      <w:r>
        <w:t>表</w:t>
      </w:r>
      <w:r>
        <w:rPr>
          <w:rFonts w:hint="eastAsia"/>
        </w:rPr>
        <w:t>3-1生态保护红线更新情况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361"/>
        <w:gridCol w:w="1852"/>
        <w:gridCol w:w="1593"/>
        <w:gridCol w:w="1852"/>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Merge w:val="restart"/>
            <w:vAlign w:val="center"/>
          </w:tcPr>
          <w:p>
            <w:pPr>
              <w:spacing w:line="400" w:lineRule="exact"/>
              <w:jc w:val="center"/>
              <w:rPr>
                <w:b/>
                <w:bCs/>
                <w:sz w:val="24"/>
              </w:rPr>
            </w:pPr>
            <w:r>
              <w:rPr>
                <w:b/>
                <w:bCs/>
                <w:sz w:val="24"/>
              </w:rPr>
              <w:t>序号</w:t>
            </w:r>
          </w:p>
        </w:tc>
        <w:tc>
          <w:tcPr>
            <w:tcW w:w="751" w:type="pct"/>
            <w:vMerge w:val="restart"/>
            <w:vAlign w:val="center"/>
          </w:tcPr>
          <w:p>
            <w:pPr>
              <w:spacing w:line="400" w:lineRule="exact"/>
              <w:jc w:val="center"/>
              <w:rPr>
                <w:b/>
                <w:bCs/>
                <w:sz w:val="24"/>
              </w:rPr>
            </w:pPr>
            <w:r>
              <w:rPr>
                <w:b/>
                <w:bCs/>
                <w:sz w:val="24"/>
              </w:rPr>
              <w:t>行政分区</w:t>
            </w:r>
          </w:p>
        </w:tc>
        <w:tc>
          <w:tcPr>
            <w:tcW w:w="1901" w:type="pct"/>
            <w:gridSpan w:val="2"/>
            <w:vAlign w:val="center"/>
          </w:tcPr>
          <w:p>
            <w:pPr>
              <w:spacing w:line="400" w:lineRule="exact"/>
              <w:jc w:val="center"/>
              <w:rPr>
                <w:b/>
                <w:bCs/>
                <w:sz w:val="24"/>
              </w:rPr>
            </w:pPr>
            <w:r>
              <w:rPr>
                <w:b/>
                <w:bCs/>
                <w:sz w:val="24"/>
              </w:rPr>
              <w:t>生态保护红线（更新前）</w:t>
            </w:r>
          </w:p>
        </w:tc>
        <w:tc>
          <w:tcPr>
            <w:tcW w:w="1901" w:type="pct"/>
            <w:gridSpan w:val="2"/>
            <w:vAlign w:val="center"/>
          </w:tcPr>
          <w:p>
            <w:pPr>
              <w:spacing w:line="400" w:lineRule="exact"/>
              <w:jc w:val="center"/>
              <w:rPr>
                <w:b/>
                <w:bCs/>
                <w:sz w:val="24"/>
              </w:rPr>
            </w:pPr>
            <w:r>
              <w:rPr>
                <w:b/>
                <w:bCs/>
                <w:sz w:val="24"/>
              </w:rPr>
              <w:t>生态保护红线（更新后）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Merge w:val="continue"/>
            <w:vAlign w:val="center"/>
          </w:tcPr>
          <w:p>
            <w:pPr>
              <w:spacing w:line="400" w:lineRule="exact"/>
              <w:jc w:val="center"/>
              <w:rPr>
                <w:b/>
                <w:bCs/>
                <w:sz w:val="24"/>
              </w:rPr>
            </w:pPr>
          </w:p>
        </w:tc>
        <w:tc>
          <w:tcPr>
            <w:tcW w:w="751" w:type="pct"/>
            <w:vMerge w:val="continue"/>
            <w:vAlign w:val="center"/>
          </w:tcPr>
          <w:p>
            <w:pPr>
              <w:spacing w:line="400" w:lineRule="exact"/>
              <w:jc w:val="center"/>
              <w:rPr>
                <w:b/>
                <w:bCs/>
                <w:sz w:val="24"/>
              </w:rPr>
            </w:pPr>
          </w:p>
        </w:tc>
        <w:tc>
          <w:tcPr>
            <w:tcW w:w="1022" w:type="pct"/>
            <w:vAlign w:val="center"/>
          </w:tcPr>
          <w:p>
            <w:pPr>
              <w:spacing w:line="400" w:lineRule="exact"/>
              <w:jc w:val="center"/>
              <w:rPr>
                <w:b/>
                <w:bCs/>
                <w:sz w:val="24"/>
              </w:rPr>
            </w:pPr>
            <w:r>
              <w:rPr>
                <w:b/>
                <w:bCs/>
                <w:sz w:val="24"/>
              </w:rPr>
              <w:t>面积（km</w:t>
            </w:r>
            <w:r>
              <w:rPr>
                <w:b/>
                <w:bCs/>
                <w:sz w:val="24"/>
                <w:vertAlign w:val="superscript"/>
              </w:rPr>
              <w:t>2</w:t>
            </w:r>
            <w:r>
              <w:rPr>
                <w:b/>
                <w:bCs/>
                <w:sz w:val="24"/>
              </w:rPr>
              <w:t>）</w:t>
            </w:r>
          </w:p>
        </w:tc>
        <w:tc>
          <w:tcPr>
            <w:tcW w:w="879" w:type="pct"/>
            <w:vAlign w:val="center"/>
          </w:tcPr>
          <w:p>
            <w:pPr>
              <w:spacing w:line="400" w:lineRule="exact"/>
              <w:jc w:val="center"/>
              <w:rPr>
                <w:b/>
                <w:bCs/>
                <w:sz w:val="24"/>
              </w:rPr>
            </w:pPr>
            <w:r>
              <w:rPr>
                <w:b/>
                <w:bCs/>
                <w:sz w:val="24"/>
              </w:rPr>
              <w:t>比例（%）</w:t>
            </w:r>
          </w:p>
        </w:tc>
        <w:tc>
          <w:tcPr>
            <w:tcW w:w="1022" w:type="pct"/>
            <w:vAlign w:val="center"/>
          </w:tcPr>
          <w:p>
            <w:pPr>
              <w:spacing w:line="400" w:lineRule="exact"/>
              <w:jc w:val="center"/>
              <w:rPr>
                <w:b/>
                <w:bCs/>
                <w:sz w:val="24"/>
              </w:rPr>
            </w:pPr>
            <w:r>
              <w:rPr>
                <w:b/>
                <w:bCs/>
                <w:sz w:val="24"/>
              </w:rPr>
              <w:t>面积（km</w:t>
            </w:r>
            <w:r>
              <w:rPr>
                <w:b/>
                <w:bCs/>
                <w:sz w:val="24"/>
                <w:vertAlign w:val="superscript"/>
              </w:rPr>
              <w:t>2</w:t>
            </w:r>
            <w:r>
              <w:rPr>
                <w:b/>
                <w:bCs/>
                <w:sz w:val="24"/>
              </w:rPr>
              <w:t>）</w:t>
            </w:r>
          </w:p>
        </w:tc>
        <w:tc>
          <w:tcPr>
            <w:tcW w:w="879" w:type="pct"/>
            <w:vAlign w:val="center"/>
          </w:tcPr>
          <w:p>
            <w:pPr>
              <w:spacing w:line="400" w:lineRule="exact"/>
              <w:jc w:val="center"/>
              <w:rPr>
                <w:b/>
                <w:bCs/>
                <w:sz w:val="24"/>
              </w:rPr>
            </w:pPr>
            <w:r>
              <w:rPr>
                <w:b/>
                <w:bCs/>
                <w:sz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pacing w:line="400" w:lineRule="exact"/>
              <w:jc w:val="center"/>
              <w:rPr>
                <w:sz w:val="24"/>
              </w:rPr>
            </w:pPr>
            <w:r>
              <w:rPr>
                <w:sz w:val="24"/>
              </w:rPr>
              <w:t>1</w:t>
            </w:r>
          </w:p>
        </w:tc>
        <w:tc>
          <w:tcPr>
            <w:tcW w:w="751" w:type="pct"/>
            <w:vAlign w:val="center"/>
          </w:tcPr>
          <w:p>
            <w:pPr>
              <w:spacing w:line="400" w:lineRule="exact"/>
              <w:jc w:val="center"/>
              <w:rPr>
                <w:sz w:val="24"/>
              </w:rPr>
            </w:pPr>
            <w:r>
              <w:rPr>
                <w:sz w:val="24"/>
              </w:rPr>
              <w:t>梅江区</w:t>
            </w:r>
          </w:p>
        </w:tc>
        <w:tc>
          <w:tcPr>
            <w:tcW w:w="1022" w:type="pct"/>
            <w:vAlign w:val="center"/>
          </w:tcPr>
          <w:p>
            <w:pPr>
              <w:spacing w:line="400" w:lineRule="exact"/>
              <w:jc w:val="center"/>
              <w:rPr>
                <w:sz w:val="24"/>
              </w:rPr>
            </w:pPr>
            <w:r>
              <w:rPr>
                <w:sz w:val="24"/>
              </w:rPr>
              <w:t>169.19</w:t>
            </w:r>
          </w:p>
        </w:tc>
        <w:tc>
          <w:tcPr>
            <w:tcW w:w="879" w:type="pct"/>
            <w:vAlign w:val="center"/>
          </w:tcPr>
          <w:p>
            <w:pPr>
              <w:spacing w:line="400" w:lineRule="exact"/>
              <w:jc w:val="center"/>
              <w:rPr>
                <w:sz w:val="24"/>
              </w:rPr>
            </w:pPr>
            <w:r>
              <w:rPr>
                <w:sz w:val="24"/>
              </w:rPr>
              <w:t>29.65</w:t>
            </w:r>
          </w:p>
        </w:tc>
        <w:tc>
          <w:tcPr>
            <w:tcW w:w="1022" w:type="pct"/>
            <w:vAlign w:val="center"/>
          </w:tcPr>
          <w:p>
            <w:pPr>
              <w:spacing w:line="400" w:lineRule="exact"/>
              <w:jc w:val="center"/>
              <w:rPr>
                <w:rFonts w:hint="default" w:eastAsia="仿宋"/>
                <w:sz w:val="24"/>
                <w:lang w:val="en-US" w:eastAsia="zh-CN"/>
              </w:rPr>
            </w:pPr>
            <w:r>
              <w:rPr>
                <w:sz w:val="24"/>
              </w:rPr>
              <w:t>167.</w:t>
            </w:r>
            <w:r>
              <w:rPr>
                <w:rFonts w:hint="eastAsia"/>
                <w:sz w:val="24"/>
                <w:lang w:val="en-US" w:eastAsia="zh-CN"/>
              </w:rPr>
              <w:t>19</w:t>
            </w:r>
          </w:p>
        </w:tc>
        <w:tc>
          <w:tcPr>
            <w:tcW w:w="879" w:type="pct"/>
            <w:vAlign w:val="center"/>
          </w:tcPr>
          <w:p>
            <w:pPr>
              <w:spacing w:line="400" w:lineRule="exact"/>
              <w:jc w:val="center"/>
              <w:rPr>
                <w:rFonts w:hint="default" w:eastAsia="仿宋"/>
                <w:sz w:val="24"/>
                <w:lang w:val="en-US" w:eastAsia="zh-CN"/>
              </w:rPr>
            </w:pPr>
            <w:r>
              <w:rPr>
                <w:sz w:val="24"/>
              </w:rPr>
              <w:t>29.</w:t>
            </w:r>
            <w:r>
              <w:rPr>
                <w:rFonts w:hint="eastAsia"/>
                <w:sz w:val="24"/>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pacing w:line="400" w:lineRule="exact"/>
              <w:jc w:val="center"/>
              <w:rPr>
                <w:sz w:val="24"/>
              </w:rPr>
            </w:pPr>
            <w:r>
              <w:rPr>
                <w:sz w:val="24"/>
              </w:rPr>
              <w:t>2</w:t>
            </w:r>
          </w:p>
        </w:tc>
        <w:tc>
          <w:tcPr>
            <w:tcW w:w="751" w:type="pct"/>
            <w:vAlign w:val="center"/>
          </w:tcPr>
          <w:p>
            <w:pPr>
              <w:spacing w:line="400" w:lineRule="exact"/>
              <w:jc w:val="center"/>
              <w:rPr>
                <w:sz w:val="24"/>
              </w:rPr>
            </w:pPr>
            <w:r>
              <w:rPr>
                <w:sz w:val="24"/>
              </w:rPr>
              <w:t>梅县区</w:t>
            </w:r>
          </w:p>
        </w:tc>
        <w:tc>
          <w:tcPr>
            <w:tcW w:w="1022" w:type="pct"/>
            <w:vAlign w:val="center"/>
          </w:tcPr>
          <w:p>
            <w:pPr>
              <w:spacing w:line="400" w:lineRule="exact"/>
              <w:jc w:val="center"/>
              <w:rPr>
                <w:sz w:val="24"/>
              </w:rPr>
            </w:pPr>
            <w:r>
              <w:rPr>
                <w:sz w:val="24"/>
              </w:rPr>
              <w:t>446.94</w:t>
            </w:r>
          </w:p>
        </w:tc>
        <w:tc>
          <w:tcPr>
            <w:tcW w:w="879" w:type="pct"/>
            <w:vAlign w:val="center"/>
          </w:tcPr>
          <w:p>
            <w:pPr>
              <w:spacing w:line="400" w:lineRule="exact"/>
              <w:jc w:val="center"/>
              <w:rPr>
                <w:sz w:val="24"/>
              </w:rPr>
            </w:pPr>
            <w:r>
              <w:rPr>
                <w:sz w:val="24"/>
              </w:rPr>
              <w:t>18.04</w:t>
            </w:r>
          </w:p>
        </w:tc>
        <w:tc>
          <w:tcPr>
            <w:tcW w:w="1022" w:type="pct"/>
            <w:vAlign w:val="center"/>
          </w:tcPr>
          <w:p>
            <w:pPr>
              <w:spacing w:line="400" w:lineRule="exact"/>
              <w:jc w:val="center"/>
              <w:rPr>
                <w:rFonts w:hint="default" w:eastAsia="仿宋"/>
                <w:sz w:val="24"/>
                <w:lang w:val="en-US" w:eastAsia="zh-CN"/>
              </w:rPr>
            </w:pPr>
            <w:r>
              <w:rPr>
                <w:sz w:val="24"/>
              </w:rPr>
              <w:t>389.</w:t>
            </w:r>
            <w:r>
              <w:rPr>
                <w:rFonts w:hint="eastAsia"/>
                <w:sz w:val="24"/>
                <w:lang w:val="en-US" w:eastAsia="zh-CN"/>
              </w:rPr>
              <w:t>13</w:t>
            </w:r>
          </w:p>
        </w:tc>
        <w:tc>
          <w:tcPr>
            <w:tcW w:w="879" w:type="pct"/>
            <w:vAlign w:val="center"/>
          </w:tcPr>
          <w:p>
            <w:pPr>
              <w:spacing w:line="400" w:lineRule="exact"/>
              <w:jc w:val="center"/>
              <w:rPr>
                <w:sz w:val="24"/>
              </w:rPr>
            </w:pPr>
            <w:r>
              <w:rPr>
                <w:sz w:val="24"/>
              </w:rPr>
              <w:t>15.71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pacing w:line="400" w:lineRule="exact"/>
              <w:jc w:val="center"/>
              <w:rPr>
                <w:sz w:val="24"/>
              </w:rPr>
            </w:pPr>
            <w:r>
              <w:rPr>
                <w:sz w:val="24"/>
              </w:rPr>
              <w:t>3</w:t>
            </w:r>
          </w:p>
        </w:tc>
        <w:tc>
          <w:tcPr>
            <w:tcW w:w="751" w:type="pct"/>
            <w:vAlign w:val="center"/>
          </w:tcPr>
          <w:p>
            <w:pPr>
              <w:spacing w:line="400" w:lineRule="exact"/>
              <w:jc w:val="center"/>
              <w:rPr>
                <w:sz w:val="24"/>
              </w:rPr>
            </w:pPr>
            <w:r>
              <w:rPr>
                <w:sz w:val="24"/>
              </w:rPr>
              <w:t>兴宁市</w:t>
            </w:r>
          </w:p>
        </w:tc>
        <w:tc>
          <w:tcPr>
            <w:tcW w:w="1022" w:type="pct"/>
            <w:vAlign w:val="center"/>
          </w:tcPr>
          <w:p>
            <w:pPr>
              <w:spacing w:line="400" w:lineRule="exact"/>
              <w:jc w:val="center"/>
              <w:rPr>
                <w:sz w:val="24"/>
              </w:rPr>
            </w:pPr>
            <w:r>
              <w:rPr>
                <w:sz w:val="24"/>
              </w:rPr>
              <w:t>511.47</w:t>
            </w:r>
          </w:p>
        </w:tc>
        <w:tc>
          <w:tcPr>
            <w:tcW w:w="879" w:type="pct"/>
            <w:vAlign w:val="center"/>
          </w:tcPr>
          <w:p>
            <w:pPr>
              <w:spacing w:line="400" w:lineRule="exact"/>
              <w:jc w:val="center"/>
              <w:rPr>
                <w:sz w:val="24"/>
              </w:rPr>
            </w:pPr>
            <w:r>
              <w:rPr>
                <w:sz w:val="24"/>
              </w:rPr>
              <w:t>24.63</w:t>
            </w:r>
          </w:p>
        </w:tc>
        <w:tc>
          <w:tcPr>
            <w:tcW w:w="1022" w:type="pct"/>
            <w:vAlign w:val="center"/>
          </w:tcPr>
          <w:p>
            <w:pPr>
              <w:spacing w:line="400" w:lineRule="exact"/>
              <w:jc w:val="center"/>
              <w:rPr>
                <w:sz w:val="24"/>
              </w:rPr>
            </w:pPr>
            <w:r>
              <w:rPr>
                <w:sz w:val="24"/>
              </w:rPr>
              <w:t>475.</w:t>
            </w:r>
            <w:r>
              <w:rPr>
                <w:rFonts w:hint="eastAsia"/>
                <w:sz w:val="24"/>
              </w:rPr>
              <w:t>3</w:t>
            </w:r>
            <w:r>
              <w:rPr>
                <w:sz w:val="24"/>
              </w:rPr>
              <w:t>4</w:t>
            </w:r>
          </w:p>
        </w:tc>
        <w:tc>
          <w:tcPr>
            <w:tcW w:w="879" w:type="pct"/>
            <w:vAlign w:val="center"/>
          </w:tcPr>
          <w:p>
            <w:pPr>
              <w:spacing w:line="400" w:lineRule="exact"/>
              <w:jc w:val="center"/>
              <w:rPr>
                <w:rFonts w:hint="default" w:eastAsia="仿宋"/>
                <w:sz w:val="24"/>
                <w:lang w:val="en-US" w:eastAsia="zh-CN"/>
              </w:rPr>
            </w:pPr>
            <w:r>
              <w:rPr>
                <w:sz w:val="24"/>
              </w:rPr>
              <w:t>22.</w:t>
            </w:r>
            <w:r>
              <w:rPr>
                <w:rFonts w:hint="eastAsia"/>
                <w:sz w:val="24"/>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pacing w:line="400" w:lineRule="exact"/>
              <w:jc w:val="center"/>
              <w:rPr>
                <w:sz w:val="24"/>
              </w:rPr>
            </w:pPr>
            <w:r>
              <w:rPr>
                <w:sz w:val="24"/>
              </w:rPr>
              <w:t>4</w:t>
            </w:r>
          </w:p>
        </w:tc>
        <w:tc>
          <w:tcPr>
            <w:tcW w:w="751" w:type="pct"/>
            <w:vAlign w:val="center"/>
          </w:tcPr>
          <w:p>
            <w:pPr>
              <w:spacing w:line="400" w:lineRule="exact"/>
              <w:jc w:val="center"/>
              <w:rPr>
                <w:sz w:val="24"/>
              </w:rPr>
            </w:pPr>
            <w:r>
              <w:rPr>
                <w:sz w:val="24"/>
              </w:rPr>
              <w:t>平远县</w:t>
            </w:r>
          </w:p>
        </w:tc>
        <w:tc>
          <w:tcPr>
            <w:tcW w:w="1022" w:type="pct"/>
            <w:vAlign w:val="center"/>
          </w:tcPr>
          <w:p>
            <w:pPr>
              <w:spacing w:line="400" w:lineRule="exact"/>
              <w:jc w:val="center"/>
              <w:rPr>
                <w:sz w:val="24"/>
              </w:rPr>
            </w:pPr>
            <w:r>
              <w:rPr>
                <w:sz w:val="24"/>
              </w:rPr>
              <w:t>425.45</w:t>
            </w:r>
          </w:p>
        </w:tc>
        <w:tc>
          <w:tcPr>
            <w:tcW w:w="879" w:type="pct"/>
            <w:vAlign w:val="center"/>
          </w:tcPr>
          <w:p>
            <w:pPr>
              <w:spacing w:line="400" w:lineRule="exact"/>
              <w:jc w:val="center"/>
              <w:rPr>
                <w:sz w:val="24"/>
              </w:rPr>
            </w:pPr>
            <w:r>
              <w:rPr>
                <w:sz w:val="24"/>
              </w:rPr>
              <w:t>30.95</w:t>
            </w:r>
          </w:p>
        </w:tc>
        <w:tc>
          <w:tcPr>
            <w:tcW w:w="1022" w:type="pct"/>
            <w:vAlign w:val="center"/>
          </w:tcPr>
          <w:p>
            <w:pPr>
              <w:spacing w:line="400" w:lineRule="exact"/>
              <w:jc w:val="center"/>
              <w:rPr>
                <w:rFonts w:hint="default" w:eastAsia="仿宋"/>
                <w:sz w:val="24"/>
                <w:lang w:val="en-US" w:eastAsia="zh-CN"/>
              </w:rPr>
            </w:pPr>
            <w:r>
              <w:rPr>
                <w:rFonts w:hint="eastAsia"/>
                <w:sz w:val="24"/>
                <w:lang w:val="en-US" w:eastAsia="zh-CN"/>
              </w:rPr>
              <w:t>399.99</w:t>
            </w:r>
          </w:p>
        </w:tc>
        <w:tc>
          <w:tcPr>
            <w:tcW w:w="879" w:type="pct"/>
            <w:vAlign w:val="center"/>
          </w:tcPr>
          <w:p>
            <w:pPr>
              <w:spacing w:line="400" w:lineRule="exact"/>
              <w:jc w:val="center"/>
              <w:rPr>
                <w:rFonts w:hint="default" w:eastAsia="仿宋"/>
                <w:sz w:val="24"/>
                <w:lang w:val="en-US" w:eastAsia="zh-CN"/>
              </w:rPr>
            </w:pPr>
            <w:r>
              <w:rPr>
                <w:sz w:val="24"/>
              </w:rPr>
              <w:t>29.</w:t>
            </w:r>
            <w:r>
              <w:rPr>
                <w:rFonts w:hint="eastAsia"/>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pacing w:line="400" w:lineRule="exact"/>
              <w:jc w:val="center"/>
              <w:rPr>
                <w:sz w:val="24"/>
              </w:rPr>
            </w:pPr>
            <w:r>
              <w:rPr>
                <w:sz w:val="24"/>
              </w:rPr>
              <w:t>5</w:t>
            </w:r>
          </w:p>
        </w:tc>
        <w:tc>
          <w:tcPr>
            <w:tcW w:w="751" w:type="pct"/>
            <w:vAlign w:val="center"/>
          </w:tcPr>
          <w:p>
            <w:pPr>
              <w:spacing w:line="400" w:lineRule="exact"/>
              <w:jc w:val="center"/>
              <w:rPr>
                <w:sz w:val="24"/>
              </w:rPr>
            </w:pPr>
            <w:r>
              <w:rPr>
                <w:sz w:val="24"/>
              </w:rPr>
              <w:t>蕉岭县</w:t>
            </w:r>
          </w:p>
        </w:tc>
        <w:tc>
          <w:tcPr>
            <w:tcW w:w="1022" w:type="pct"/>
            <w:vAlign w:val="center"/>
          </w:tcPr>
          <w:p>
            <w:pPr>
              <w:spacing w:line="400" w:lineRule="exact"/>
              <w:jc w:val="center"/>
              <w:rPr>
                <w:sz w:val="24"/>
              </w:rPr>
            </w:pPr>
            <w:r>
              <w:rPr>
                <w:sz w:val="24"/>
              </w:rPr>
              <w:t>376.47</w:t>
            </w:r>
          </w:p>
        </w:tc>
        <w:tc>
          <w:tcPr>
            <w:tcW w:w="879" w:type="pct"/>
            <w:vAlign w:val="center"/>
          </w:tcPr>
          <w:p>
            <w:pPr>
              <w:spacing w:line="400" w:lineRule="exact"/>
              <w:jc w:val="center"/>
              <w:rPr>
                <w:sz w:val="24"/>
              </w:rPr>
            </w:pPr>
            <w:r>
              <w:rPr>
                <w:sz w:val="24"/>
              </w:rPr>
              <w:t>39.14</w:t>
            </w:r>
          </w:p>
        </w:tc>
        <w:tc>
          <w:tcPr>
            <w:tcW w:w="1022" w:type="pct"/>
            <w:vAlign w:val="center"/>
          </w:tcPr>
          <w:p>
            <w:pPr>
              <w:spacing w:line="400" w:lineRule="exact"/>
              <w:jc w:val="center"/>
              <w:rPr>
                <w:rFonts w:hint="default" w:eastAsia="仿宋"/>
                <w:sz w:val="24"/>
                <w:lang w:val="en-US" w:eastAsia="zh-CN"/>
              </w:rPr>
            </w:pPr>
            <w:r>
              <w:rPr>
                <w:sz w:val="24"/>
              </w:rPr>
              <w:t>342.</w:t>
            </w:r>
            <w:r>
              <w:rPr>
                <w:rFonts w:hint="eastAsia"/>
                <w:sz w:val="24"/>
                <w:lang w:val="en-US" w:eastAsia="zh-CN"/>
              </w:rPr>
              <w:t>36</w:t>
            </w:r>
          </w:p>
        </w:tc>
        <w:tc>
          <w:tcPr>
            <w:tcW w:w="879" w:type="pct"/>
            <w:vAlign w:val="center"/>
          </w:tcPr>
          <w:p>
            <w:pPr>
              <w:spacing w:line="400" w:lineRule="exact"/>
              <w:jc w:val="center"/>
              <w:rPr>
                <w:rFonts w:hint="default" w:eastAsia="仿宋"/>
                <w:sz w:val="24"/>
                <w:lang w:val="en-US" w:eastAsia="zh-CN"/>
              </w:rPr>
            </w:pPr>
            <w:r>
              <w:rPr>
                <w:sz w:val="24"/>
              </w:rPr>
              <w:t>35.</w:t>
            </w:r>
            <w:r>
              <w:rPr>
                <w:rFonts w:hint="eastAsia"/>
                <w:sz w:val="24"/>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pacing w:line="400" w:lineRule="exact"/>
              <w:jc w:val="center"/>
              <w:rPr>
                <w:sz w:val="24"/>
              </w:rPr>
            </w:pPr>
            <w:r>
              <w:rPr>
                <w:sz w:val="24"/>
              </w:rPr>
              <w:t>6</w:t>
            </w:r>
          </w:p>
        </w:tc>
        <w:tc>
          <w:tcPr>
            <w:tcW w:w="751" w:type="pct"/>
            <w:vAlign w:val="center"/>
          </w:tcPr>
          <w:p>
            <w:pPr>
              <w:spacing w:line="400" w:lineRule="exact"/>
              <w:jc w:val="center"/>
              <w:rPr>
                <w:sz w:val="24"/>
              </w:rPr>
            </w:pPr>
            <w:r>
              <w:rPr>
                <w:sz w:val="24"/>
              </w:rPr>
              <w:t>大埔县</w:t>
            </w:r>
          </w:p>
        </w:tc>
        <w:tc>
          <w:tcPr>
            <w:tcW w:w="1022" w:type="pct"/>
            <w:vAlign w:val="center"/>
          </w:tcPr>
          <w:p>
            <w:pPr>
              <w:spacing w:line="400" w:lineRule="exact"/>
              <w:jc w:val="center"/>
              <w:rPr>
                <w:sz w:val="24"/>
              </w:rPr>
            </w:pPr>
            <w:r>
              <w:rPr>
                <w:sz w:val="24"/>
              </w:rPr>
              <w:t>793.94</w:t>
            </w:r>
          </w:p>
        </w:tc>
        <w:tc>
          <w:tcPr>
            <w:tcW w:w="879" w:type="pct"/>
            <w:vAlign w:val="center"/>
          </w:tcPr>
          <w:p>
            <w:pPr>
              <w:spacing w:line="400" w:lineRule="exact"/>
              <w:jc w:val="center"/>
              <w:rPr>
                <w:sz w:val="24"/>
              </w:rPr>
            </w:pPr>
            <w:r>
              <w:rPr>
                <w:sz w:val="24"/>
              </w:rPr>
              <w:t>32.24</w:t>
            </w:r>
          </w:p>
        </w:tc>
        <w:tc>
          <w:tcPr>
            <w:tcW w:w="1022" w:type="pct"/>
            <w:vAlign w:val="center"/>
          </w:tcPr>
          <w:p>
            <w:pPr>
              <w:spacing w:line="400" w:lineRule="exact"/>
              <w:jc w:val="center"/>
              <w:rPr>
                <w:rFonts w:hint="eastAsia" w:eastAsia="仿宋"/>
                <w:sz w:val="24"/>
                <w:lang w:eastAsia="zh-CN"/>
              </w:rPr>
            </w:pPr>
            <w:r>
              <w:rPr>
                <w:sz w:val="24"/>
              </w:rPr>
              <w:t>677.4</w:t>
            </w:r>
            <w:r>
              <w:rPr>
                <w:rFonts w:hint="eastAsia"/>
                <w:sz w:val="24"/>
                <w:lang w:val="en-US" w:eastAsia="zh-CN"/>
              </w:rPr>
              <w:t>3</w:t>
            </w:r>
          </w:p>
        </w:tc>
        <w:tc>
          <w:tcPr>
            <w:tcW w:w="879" w:type="pct"/>
            <w:vAlign w:val="center"/>
          </w:tcPr>
          <w:p>
            <w:pPr>
              <w:spacing w:line="400" w:lineRule="exact"/>
              <w:jc w:val="center"/>
              <w:rPr>
                <w:rFonts w:hint="eastAsia" w:eastAsia="仿宋"/>
                <w:sz w:val="24"/>
                <w:lang w:eastAsia="zh-CN"/>
              </w:rPr>
            </w:pPr>
            <w:r>
              <w:rPr>
                <w:sz w:val="24"/>
              </w:rPr>
              <w:t>27.5</w:t>
            </w:r>
            <w:r>
              <w:rPr>
                <w:rFonts w:hint="eastAsia"/>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pacing w:line="400" w:lineRule="exact"/>
              <w:jc w:val="center"/>
              <w:rPr>
                <w:sz w:val="24"/>
              </w:rPr>
            </w:pPr>
            <w:r>
              <w:rPr>
                <w:sz w:val="24"/>
              </w:rPr>
              <w:t>7</w:t>
            </w:r>
          </w:p>
        </w:tc>
        <w:tc>
          <w:tcPr>
            <w:tcW w:w="751" w:type="pct"/>
            <w:vAlign w:val="center"/>
          </w:tcPr>
          <w:p>
            <w:pPr>
              <w:spacing w:line="400" w:lineRule="exact"/>
              <w:jc w:val="center"/>
              <w:rPr>
                <w:sz w:val="24"/>
              </w:rPr>
            </w:pPr>
            <w:r>
              <w:rPr>
                <w:sz w:val="24"/>
              </w:rPr>
              <w:t>丰顺县</w:t>
            </w:r>
          </w:p>
        </w:tc>
        <w:tc>
          <w:tcPr>
            <w:tcW w:w="1022" w:type="pct"/>
            <w:vAlign w:val="center"/>
          </w:tcPr>
          <w:p>
            <w:pPr>
              <w:spacing w:line="400" w:lineRule="exact"/>
              <w:jc w:val="center"/>
              <w:rPr>
                <w:sz w:val="24"/>
              </w:rPr>
            </w:pPr>
            <w:r>
              <w:rPr>
                <w:sz w:val="24"/>
              </w:rPr>
              <w:t>902.13</w:t>
            </w:r>
          </w:p>
        </w:tc>
        <w:tc>
          <w:tcPr>
            <w:tcW w:w="879" w:type="pct"/>
            <w:vAlign w:val="center"/>
          </w:tcPr>
          <w:p>
            <w:pPr>
              <w:spacing w:line="400" w:lineRule="exact"/>
              <w:jc w:val="center"/>
              <w:rPr>
                <w:sz w:val="24"/>
              </w:rPr>
            </w:pPr>
            <w:r>
              <w:rPr>
                <w:sz w:val="24"/>
              </w:rPr>
              <w:t>33.33</w:t>
            </w:r>
          </w:p>
        </w:tc>
        <w:tc>
          <w:tcPr>
            <w:tcW w:w="1022" w:type="pct"/>
            <w:vAlign w:val="center"/>
          </w:tcPr>
          <w:p>
            <w:pPr>
              <w:spacing w:line="400" w:lineRule="exact"/>
              <w:jc w:val="center"/>
              <w:rPr>
                <w:sz w:val="24"/>
              </w:rPr>
            </w:pPr>
            <w:r>
              <w:rPr>
                <w:sz w:val="24"/>
              </w:rPr>
              <w:t>851.</w:t>
            </w:r>
            <w:r>
              <w:rPr>
                <w:rFonts w:hint="eastAsia"/>
                <w:sz w:val="24"/>
              </w:rPr>
              <w:t>26</w:t>
            </w:r>
          </w:p>
        </w:tc>
        <w:tc>
          <w:tcPr>
            <w:tcW w:w="879" w:type="pct"/>
            <w:vAlign w:val="center"/>
          </w:tcPr>
          <w:p>
            <w:pPr>
              <w:spacing w:line="400" w:lineRule="exact"/>
              <w:jc w:val="center"/>
              <w:rPr>
                <w:sz w:val="24"/>
              </w:rPr>
            </w:pPr>
            <w:r>
              <w:rPr>
                <w:sz w:val="24"/>
              </w:rPr>
              <w:t>31.45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vAlign w:val="center"/>
          </w:tcPr>
          <w:p>
            <w:pPr>
              <w:spacing w:line="400" w:lineRule="exact"/>
              <w:jc w:val="center"/>
              <w:rPr>
                <w:sz w:val="24"/>
              </w:rPr>
            </w:pPr>
            <w:r>
              <w:rPr>
                <w:sz w:val="24"/>
              </w:rPr>
              <w:t>8</w:t>
            </w:r>
          </w:p>
        </w:tc>
        <w:tc>
          <w:tcPr>
            <w:tcW w:w="751" w:type="pct"/>
            <w:vAlign w:val="center"/>
          </w:tcPr>
          <w:p>
            <w:pPr>
              <w:spacing w:line="400" w:lineRule="exact"/>
              <w:jc w:val="center"/>
              <w:rPr>
                <w:sz w:val="24"/>
              </w:rPr>
            </w:pPr>
            <w:r>
              <w:rPr>
                <w:sz w:val="24"/>
              </w:rPr>
              <w:t>五华县</w:t>
            </w:r>
          </w:p>
        </w:tc>
        <w:tc>
          <w:tcPr>
            <w:tcW w:w="1022" w:type="pct"/>
            <w:vAlign w:val="center"/>
          </w:tcPr>
          <w:p>
            <w:pPr>
              <w:spacing w:line="400" w:lineRule="exact"/>
              <w:jc w:val="center"/>
              <w:rPr>
                <w:sz w:val="24"/>
              </w:rPr>
            </w:pPr>
            <w:r>
              <w:rPr>
                <w:sz w:val="24"/>
              </w:rPr>
              <w:t>679.69</w:t>
            </w:r>
          </w:p>
        </w:tc>
        <w:tc>
          <w:tcPr>
            <w:tcW w:w="879" w:type="pct"/>
            <w:vAlign w:val="center"/>
          </w:tcPr>
          <w:p>
            <w:pPr>
              <w:spacing w:line="400" w:lineRule="exact"/>
              <w:jc w:val="center"/>
              <w:rPr>
                <w:sz w:val="24"/>
              </w:rPr>
            </w:pPr>
            <w:r>
              <w:rPr>
                <w:sz w:val="24"/>
              </w:rPr>
              <w:t>20.98</w:t>
            </w:r>
          </w:p>
        </w:tc>
        <w:tc>
          <w:tcPr>
            <w:tcW w:w="1022" w:type="pct"/>
            <w:vAlign w:val="center"/>
          </w:tcPr>
          <w:p>
            <w:pPr>
              <w:spacing w:line="400" w:lineRule="exact"/>
              <w:jc w:val="center"/>
              <w:rPr>
                <w:sz w:val="24"/>
              </w:rPr>
            </w:pPr>
            <w:r>
              <w:rPr>
                <w:sz w:val="24"/>
              </w:rPr>
              <w:t>624.</w:t>
            </w:r>
            <w:r>
              <w:rPr>
                <w:rFonts w:hint="eastAsia"/>
                <w:sz w:val="24"/>
              </w:rPr>
              <w:t>19</w:t>
            </w:r>
          </w:p>
        </w:tc>
        <w:tc>
          <w:tcPr>
            <w:tcW w:w="879" w:type="pct"/>
            <w:vAlign w:val="center"/>
          </w:tcPr>
          <w:p>
            <w:pPr>
              <w:spacing w:line="400" w:lineRule="exact"/>
              <w:jc w:val="center"/>
              <w:rPr>
                <w:rFonts w:hint="eastAsia" w:eastAsia="仿宋"/>
                <w:sz w:val="24"/>
                <w:lang w:eastAsia="zh-CN"/>
              </w:rPr>
            </w:pPr>
            <w:r>
              <w:rPr>
                <w:sz w:val="24"/>
              </w:rPr>
              <w:t>19.2</w:t>
            </w:r>
            <w:r>
              <w:rPr>
                <w:rFonts w:hint="eastAsia"/>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gridSpan w:val="2"/>
            <w:vAlign w:val="center"/>
          </w:tcPr>
          <w:p>
            <w:pPr>
              <w:spacing w:line="400" w:lineRule="exact"/>
              <w:jc w:val="center"/>
              <w:rPr>
                <w:sz w:val="24"/>
              </w:rPr>
            </w:pPr>
            <w:r>
              <w:rPr>
                <w:sz w:val="24"/>
              </w:rPr>
              <w:t>全市合计</w:t>
            </w:r>
          </w:p>
        </w:tc>
        <w:tc>
          <w:tcPr>
            <w:tcW w:w="1022" w:type="pct"/>
            <w:vAlign w:val="center"/>
          </w:tcPr>
          <w:p>
            <w:pPr>
              <w:spacing w:line="400" w:lineRule="exact"/>
              <w:jc w:val="center"/>
              <w:rPr>
                <w:sz w:val="24"/>
              </w:rPr>
            </w:pPr>
            <w:r>
              <w:rPr>
                <w:sz w:val="24"/>
              </w:rPr>
              <w:t>4305.28</w:t>
            </w:r>
          </w:p>
        </w:tc>
        <w:tc>
          <w:tcPr>
            <w:tcW w:w="879" w:type="pct"/>
            <w:vAlign w:val="center"/>
          </w:tcPr>
          <w:p>
            <w:pPr>
              <w:spacing w:line="400" w:lineRule="exact"/>
              <w:jc w:val="center"/>
              <w:rPr>
                <w:sz w:val="24"/>
              </w:rPr>
            </w:pPr>
            <w:r>
              <w:rPr>
                <w:sz w:val="24"/>
              </w:rPr>
              <w:t>27.13</w:t>
            </w:r>
          </w:p>
        </w:tc>
        <w:tc>
          <w:tcPr>
            <w:tcW w:w="1022" w:type="pct"/>
            <w:vAlign w:val="center"/>
          </w:tcPr>
          <w:p>
            <w:pPr>
              <w:spacing w:line="400" w:lineRule="exact"/>
              <w:jc w:val="center"/>
              <w:rPr>
                <w:sz w:val="24"/>
              </w:rPr>
            </w:pPr>
            <w:r>
              <w:rPr>
                <w:rFonts w:hint="eastAsia"/>
                <w:sz w:val="24"/>
              </w:rPr>
              <w:t>3926.90</w:t>
            </w:r>
          </w:p>
        </w:tc>
        <w:tc>
          <w:tcPr>
            <w:tcW w:w="879" w:type="pct"/>
            <w:vAlign w:val="center"/>
          </w:tcPr>
          <w:p>
            <w:pPr>
              <w:spacing w:line="400" w:lineRule="exact"/>
              <w:jc w:val="center"/>
              <w:rPr>
                <w:sz w:val="24"/>
              </w:rPr>
            </w:pPr>
            <w:r>
              <w:rPr>
                <w:sz w:val="24"/>
              </w:rPr>
              <w:t>24.75</w:t>
            </w:r>
          </w:p>
        </w:tc>
      </w:tr>
    </w:tbl>
    <w:p>
      <w:pPr>
        <w:rPr>
          <w:rFonts w:eastAsiaTheme="minorEastAsia"/>
          <w:sz w:val="24"/>
        </w:rPr>
        <w:sectPr>
          <w:footerReference r:id="rId5" w:type="default"/>
          <w:pgSz w:w="11906" w:h="16838"/>
          <w:pgMar w:top="2098" w:right="1474" w:bottom="1985" w:left="1588" w:header="851" w:footer="1588" w:gutter="0"/>
          <w:pgNumType w:fmt="decimal" w:start="1"/>
          <w:cols w:space="720" w:num="1"/>
          <w:docGrid w:type="linesAndChars" w:linePitch="569" w:charSpace="-849"/>
        </w:sectPr>
      </w:pPr>
    </w:p>
    <w:p>
      <w:pPr>
        <w:pStyle w:val="10"/>
        <w:jc w:val="center"/>
      </w:pPr>
      <w:r>
        <w:t>表</w:t>
      </w:r>
      <w:r>
        <w:rPr>
          <w:rFonts w:hint="eastAsia"/>
        </w:rPr>
        <w:t>3-2生态保护红线管控分区更新情况</w:t>
      </w:r>
    </w:p>
    <w:tbl>
      <w:tblPr>
        <w:tblStyle w:val="23"/>
        <w:tblW w:w="4998" w:type="pct"/>
        <w:tblInd w:w="0" w:type="dxa"/>
        <w:tblLayout w:type="autofit"/>
        <w:tblCellMar>
          <w:top w:w="0" w:type="dxa"/>
          <w:left w:w="108" w:type="dxa"/>
          <w:bottom w:w="0" w:type="dxa"/>
          <w:right w:w="108" w:type="dxa"/>
        </w:tblCellMar>
      </w:tblPr>
      <w:tblGrid>
        <w:gridCol w:w="548"/>
        <w:gridCol w:w="714"/>
        <w:gridCol w:w="2956"/>
        <w:gridCol w:w="1544"/>
        <w:gridCol w:w="4282"/>
        <w:gridCol w:w="1461"/>
        <w:gridCol w:w="1462"/>
      </w:tblGrid>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序号</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区县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要素细类</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环境管控分区编码</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环境管控分区名称</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更新前面积(km</w:t>
            </w:r>
            <w:r>
              <w:rPr>
                <w:rFonts w:hint="eastAsia" w:ascii="仿宋" w:hAnsi="仿宋" w:cs="仿宋"/>
                <w:b/>
                <w:bCs/>
                <w:color w:val="000000"/>
                <w:kern w:val="0"/>
                <w:sz w:val="16"/>
                <w:szCs w:val="16"/>
                <w:vertAlign w:val="superscript"/>
                <w:lang w:bidi="ar"/>
              </w:rPr>
              <w:t>2</w:t>
            </w:r>
            <w:r>
              <w:rPr>
                <w:rFonts w:hint="eastAsia" w:ascii="仿宋" w:hAnsi="仿宋" w:cs="仿宋"/>
                <w:b/>
                <w:bCs/>
                <w:color w:val="000000"/>
                <w:kern w:val="0"/>
                <w:sz w:val="16"/>
                <w:szCs w:val="16"/>
                <w:lang w:bidi="ar"/>
              </w:rPr>
              <w:t>)</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更新后面积(km</w:t>
            </w:r>
            <w:r>
              <w:rPr>
                <w:rFonts w:hint="eastAsia" w:ascii="仿宋" w:hAnsi="仿宋" w:cs="仿宋"/>
                <w:b/>
                <w:bCs/>
                <w:color w:val="000000"/>
                <w:kern w:val="0"/>
                <w:sz w:val="16"/>
                <w:szCs w:val="16"/>
                <w:vertAlign w:val="superscript"/>
                <w:lang w:bidi="ar"/>
              </w:rPr>
              <w:t>2</w:t>
            </w:r>
            <w:r>
              <w:rPr>
                <w:rFonts w:hint="eastAsia" w:ascii="仿宋" w:hAnsi="仿宋" w:cs="仿宋"/>
                <w:b/>
                <w:bCs/>
                <w:color w:val="000000"/>
                <w:kern w:val="0"/>
                <w:sz w:val="16"/>
                <w:szCs w:val="16"/>
                <w:lang w:bidi="ar"/>
              </w:rPr>
              <w:t>)</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梅江区</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YS4414021110001</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梅江区韩江流域水源涵养-生物多样性维护生态保护红线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20.00</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20.03</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梅江区</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YS4414021110002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梅江区莲花山生物多样性维护生态保护红线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149.19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147.19</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梅县区</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YS4414031110001</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梅县区韩江流域水源涵养-生物多样性维护生态保护红线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333.65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283.89</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梅县区</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YS4414031110002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梅县区莲花山生物多样性维护生态保护红线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113.29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105.31</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大埔县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YS4414221110001</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大埔县韩江流域水源涵养-生物多样性维护生态保护红线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776.77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661.01</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大埔县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YS4414221110002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大埔县莲花山生物多样性维护生态保护红线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17.17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16.45</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丰顺县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YS4414231110001</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丰顺县韩江流域水源涵养-生物多样性维护生态保护红线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228.57</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val="en-US" w:eastAsia="zh-CN" w:bidi="ar"/>
              </w:rPr>
              <w:t>215.30</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8</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丰顺县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YS4414231110002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丰顺县莲花山生物多样性维护生态保护红线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565.90</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val="en-US" w:eastAsia="zh-CN" w:bidi="ar"/>
              </w:rPr>
              <w:t>529.03</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9</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丰顺县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生态保护红线-生态环境敏感脆弱区域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YS4414231120001</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丰顺县大北山水土流失控制生态保护红线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107.66</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val="en-US" w:eastAsia="zh-CN" w:bidi="ar"/>
              </w:rPr>
              <w:t>106.92</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10</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五华县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YS4414241110001</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五华县东江流域水源涵养-生物多样性维护生态保护红线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7.09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7.09</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11</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五华县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YS4414241110002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五华县韩江流域水源涵养-生物多样性维护生态保护红线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397.77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368.14</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12</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五华县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YS4414241110003</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五华县莲花山生物多样性维护生态保护红线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274.83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249.26</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13</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平远县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YS4414261110001</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平远县韩江流域水源涵养-生物多样性维护生态保护红线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425.45</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400.11</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14</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蕉岭县</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YS4414271110001</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蕉岭县韩江流域水源涵养-生物多样性维护生态保护红线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376.47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342.41</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15</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兴宁市</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YS4414811110001</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兴宁市东江流域水源涵养-生物多样性维护生态保护红线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137.46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131.97</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16</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兴宁市</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YS4414811110002</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兴宁市韩江流域水源涵养-生物多样性维护生态保护红线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327.12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300.33</w:t>
            </w:r>
          </w:p>
        </w:tc>
      </w:tr>
      <w:tr>
        <w:tblPrEx>
          <w:tblCellMar>
            <w:top w:w="0" w:type="dxa"/>
            <w:left w:w="108" w:type="dxa"/>
            <w:bottom w:w="0" w:type="dxa"/>
            <w:right w:w="108" w:type="dxa"/>
          </w:tblCellMar>
        </w:tblPrEx>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17</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兴宁市</w:t>
            </w:r>
          </w:p>
        </w:tc>
        <w:tc>
          <w:tcPr>
            <w:tcW w:w="11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生态保护红线-生态功能重要区域</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YS4414811110003</w:t>
            </w:r>
          </w:p>
        </w:tc>
        <w:tc>
          <w:tcPr>
            <w:tcW w:w="1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兴宁市莲花山生物多样性维护生态保护红线</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46.89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43.25</w:t>
            </w:r>
          </w:p>
        </w:tc>
      </w:tr>
    </w:tbl>
    <w:p>
      <w:pPr>
        <w:spacing w:line="400" w:lineRule="exact"/>
        <w:sectPr>
          <w:pgSz w:w="16838" w:h="11906" w:orient="landscape"/>
          <w:pgMar w:top="1587" w:right="2098" w:bottom="1474" w:left="1984" w:header="851" w:footer="1587" w:gutter="0"/>
          <w:pgNumType w:fmt="decimal"/>
          <w:cols w:space="0" w:num="1"/>
          <w:docGrid w:type="linesAndChars" w:linePitch="589" w:charSpace="-409"/>
        </w:sectPr>
      </w:pPr>
    </w:p>
    <w:p>
      <w:pPr>
        <w:pStyle w:val="5"/>
      </w:pPr>
      <w:bookmarkStart w:id="34" w:name="_Toc13437"/>
      <w:r>
        <w:rPr>
          <w:rFonts w:hint="eastAsia"/>
        </w:rPr>
        <w:t>3.2一般生态空间更新</w:t>
      </w:r>
      <w:bookmarkEnd w:id="34"/>
    </w:p>
    <w:p>
      <w:pPr>
        <w:ind w:firstLine="654" w:firstLineChars="200"/>
      </w:pPr>
      <w:r>
        <w:rPr>
          <w:rFonts w:hint="eastAsia"/>
        </w:rPr>
        <w:t>衔接生态保护红线以及生态保护红线外饮用水水源保护区等各类法定保护地最新成果，依法依规更新一般生态空间。上述情形外，确需更新的，统筹考虑土地利用现状、国土空间规划分区与用途管制、生态保护与修复规划等，依照技术指南和技术要求，科学论证、合理更新一般生态空间。</w:t>
      </w:r>
    </w:p>
    <w:p>
      <w:pPr>
        <w:pStyle w:val="6"/>
      </w:pPr>
      <w:bookmarkStart w:id="35" w:name="_Toc10362"/>
      <w:bookmarkStart w:id="36" w:name="_Toc22482"/>
      <w:r>
        <w:rPr>
          <w:rFonts w:hint="eastAsia"/>
        </w:rPr>
        <w:t>3.2.1更新前一般生态空间</w:t>
      </w:r>
      <w:bookmarkEnd w:id="35"/>
      <w:bookmarkEnd w:id="36"/>
    </w:p>
    <w:p>
      <w:pPr>
        <w:ind w:firstLine="654" w:firstLineChars="200"/>
      </w:pPr>
      <w:r>
        <w:rPr>
          <w:rFonts w:hint="eastAsia"/>
        </w:rPr>
        <w:t>根据《梅州市“三线一单”生态环境分区管控方案》，梅州市一般生态空间面积合计2779.59km</w:t>
      </w:r>
      <w:r>
        <w:rPr>
          <w:rFonts w:hint="eastAsia"/>
          <w:vertAlign w:val="superscript"/>
        </w:rPr>
        <w:t>2</w:t>
      </w:r>
      <w:r>
        <w:rPr>
          <w:rFonts w:hint="eastAsia"/>
        </w:rPr>
        <w:t>，占市域面积的比例17.52%。</w:t>
      </w:r>
    </w:p>
    <w:p>
      <w:r>
        <w:rPr>
          <w:rFonts w:hint="eastAsia"/>
        </w:rPr>
        <w:br w:type="page"/>
      </w:r>
    </w:p>
    <w:p>
      <w:pPr>
        <w:pStyle w:val="6"/>
      </w:pPr>
      <w:bookmarkStart w:id="37" w:name="_Toc17294"/>
      <w:bookmarkStart w:id="38" w:name="_Toc8999"/>
      <w:r>
        <w:rPr>
          <w:rFonts w:hint="eastAsia"/>
        </w:rPr>
        <w:t>3.2.2调出一般生态空间的区域</w:t>
      </w:r>
      <w:bookmarkEnd w:id="37"/>
      <w:bookmarkEnd w:id="38"/>
    </w:p>
    <w:p>
      <w:pPr>
        <w:pStyle w:val="7"/>
      </w:pPr>
      <w:r>
        <w:rPr>
          <w:rFonts w:hint="eastAsia"/>
        </w:rPr>
        <w:t>3.2.2.1衔接城镇开发边界</w:t>
      </w:r>
    </w:p>
    <w:p>
      <w:pPr>
        <w:ind w:firstLine="654" w:firstLineChars="200"/>
      </w:pPr>
      <w:r>
        <w:rPr>
          <w:rFonts w:hint="eastAsia"/>
        </w:rPr>
        <w:t>将梅州市最新“三区三线”成果中的城镇开发边界与一般生态空间叠加分知可知，梅州市一般生态空间与城镇开发边界重叠面积为0.22km</w:t>
      </w:r>
      <w:r>
        <w:rPr>
          <w:rFonts w:hint="eastAsia"/>
          <w:vertAlign w:val="superscript"/>
        </w:rPr>
        <w:t>2</w:t>
      </w:r>
      <w:r>
        <w:rPr>
          <w:rFonts w:hint="eastAsia"/>
        </w:rPr>
        <w:t>，涉及到梅县区、平远县、大埔县、丰顺县、五华县5个区县。</w:t>
      </w:r>
      <w:r>
        <w:rPr>
          <w:rFonts w:hint="eastAsia"/>
          <w:lang w:eastAsia="zh-CN"/>
        </w:rPr>
        <w:t>再叠加梅州市</w:t>
      </w:r>
      <w:r>
        <w:rPr>
          <w:rFonts w:hint="eastAsia"/>
        </w:rPr>
        <w:t>2020年度变更调查</w:t>
      </w:r>
      <w:r>
        <w:rPr>
          <w:rFonts w:hint="eastAsia"/>
          <w:lang w:eastAsia="zh-CN"/>
        </w:rPr>
        <w:t>的地类数据可知，绝大部分（</w:t>
      </w:r>
      <w:r>
        <w:rPr>
          <w:rFonts w:hint="eastAsia"/>
          <w:lang w:val="en-US" w:eastAsia="zh-CN"/>
        </w:rPr>
        <w:t>87.68%</w:t>
      </w:r>
      <w:r>
        <w:rPr>
          <w:rFonts w:hint="eastAsia"/>
          <w:lang w:eastAsia="zh-CN"/>
        </w:rPr>
        <w:t>）重叠区域</w:t>
      </w:r>
      <w:r>
        <w:rPr>
          <w:rFonts w:hint="eastAsia"/>
          <w:lang w:val="en-US" w:eastAsia="zh-CN"/>
        </w:rPr>
        <w:t>是乔木林地。</w:t>
      </w:r>
      <w:r>
        <w:rPr>
          <w:rFonts w:hint="eastAsia"/>
        </w:rPr>
        <w:t>拟将一般生态空间和城镇开发边界重叠区域调出一般生态空间。</w:t>
      </w:r>
    </w:p>
    <w:p>
      <w:pPr>
        <w:jc w:val="center"/>
      </w:pPr>
      <w:r>
        <w:rPr>
          <w:rFonts w:hint="eastAsia"/>
        </w:rPr>
        <w:drawing>
          <wp:inline distT="0" distB="0" distL="114300" distR="114300">
            <wp:extent cx="3780155" cy="3956685"/>
            <wp:effectExtent l="0" t="0" r="10795" b="5715"/>
            <wp:docPr id="41" name="图片 41" descr="一般生态与城镇开发边界重叠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一般生态与城镇开发边界重叠情况"/>
                    <pic:cNvPicPr>
                      <a:picLocks noChangeAspect="1"/>
                    </pic:cNvPicPr>
                  </pic:nvPicPr>
                  <pic:blipFill>
                    <a:blip r:embed="rId15"/>
                    <a:stretch>
                      <a:fillRect/>
                    </a:stretch>
                  </pic:blipFill>
                  <pic:spPr>
                    <a:xfrm>
                      <a:off x="0" y="0"/>
                      <a:ext cx="3780155" cy="3956685"/>
                    </a:xfrm>
                    <a:prstGeom prst="rect">
                      <a:avLst/>
                    </a:prstGeom>
                  </pic:spPr>
                </pic:pic>
              </a:graphicData>
            </a:graphic>
          </wp:inline>
        </w:drawing>
      </w:r>
    </w:p>
    <w:p>
      <w:pPr>
        <w:pStyle w:val="10"/>
        <w:jc w:val="center"/>
      </w:pPr>
      <w:r>
        <w:t>图</w:t>
      </w:r>
      <w:r>
        <w:rPr>
          <w:rFonts w:hint="eastAsia"/>
        </w:rPr>
        <w:t>3-3梅州市镇开发边界和一般生态空间衔接情况</w:t>
      </w:r>
    </w:p>
    <w:p>
      <w:r>
        <w:br w:type="page"/>
      </w:r>
    </w:p>
    <w:p>
      <w:pPr>
        <w:pStyle w:val="10"/>
        <w:jc w:val="center"/>
      </w:pPr>
      <w:r>
        <w:t>表</w:t>
      </w:r>
      <w:r>
        <w:rPr>
          <w:rFonts w:hint="eastAsia"/>
        </w:rPr>
        <w:t>3-3梅州市</w:t>
      </w:r>
      <w:r>
        <w:rPr>
          <w:rFonts w:hint="eastAsia"/>
          <w:lang w:eastAsia="zh-CN"/>
        </w:rPr>
        <w:t>城</w:t>
      </w:r>
      <w:r>
        <w:rPr>
          <w:rFonts w:hint="eastAsia"/>
        </w:rPr>
        <w:t>镇开发边界和一般生态空间衔接情况</w:t>
      </w:r>
    </w:p>
    <w:tbl>
      <w:tblPr>
        <w:tblStyle w:val="23"/>
        <w:tblW w:w="4997" w:type="pct"/>
        <w:tblInd w:w="0" w:type="dxa"/>
        <w:tblLayout w:type="autofit"/>
        <w:tblCellMar>
          <w:top w:w="0" w:type="dxa"/>
          <w:left w:w="108" w:type="dxa"/>
          <w:bottom w:w="0" w:type="dxa"/>
          <w:right w:w="108" w:type="dxa"/>
        </w:tblCellMar>
      </w:tblPr>
      <w:tblGrid>
        <w:gridCol w:w="1013"/>
        <w:gridCol w:w="1362"/>
        <w:gridCol w:w="6681"/>
      </w:tblGrid>
      <w:tr>
        <w:tblPrEx>
          <w:tblCellMar>
            <w:top w:w="0" w:type="dxa"/>
            <w:left w:w="108" w:type="dxa"/>
            <w:bottom w:w="0" w:type="dxa"/>
            <w:right w:w="108" w:type="dxa"/>
          </w:tblCellMar>
        </w:tblPrEx>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24"/>
              </w:rPr>
            </w:pPr>
            <w:r>
              <w:rPr>
                <w:rFonts w:hint="eastAsia" w:ascii="仿宋" w:hAnsi="仿宋" w:cs="仿宋"/>
                <w:b/>
                <w:bCs/>
                <w:color w:val="000000"/>
                <w:kern w:val="0"/>
                <w:sz w:val="24"/>
                <w:lang w:bidi="ar"/>
              </w:rPr>
              <w:t>序号</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24"/>
              </w:rPr>
            </w:pPr>
            <w:r>
              <w:rPr>
                <w:rFonts w:hint="eastAsia" w:ascii="仿宋" w:hAnsi="仿宋" w:cs="仿宋"/>
                <w:b/>
                <w:bCs/>
                <w:color w:val="000000"/>
                <w:kern w:val="0"/>
                <w:sz w:val="24"/>
                <w:lang w:bidi="ar"/>
              </w:rPr>
              <w:t>区县</w:t>
            </w:r>
          </w:p>
        </w:tc>
        <w:tc>
          <w:tcPr>
            <w:tcW w:w="3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24"/>
              </w:rPr>
            </w:pPr>
            <w:r>
              <w:rPr>
                <w:rFonts w:hint="eastAsia" w:ascii="仿宋" w:hAnsi="仿宋" w:cs="仿宋"/>
                <w:b/>
                <w:bCs/>
                <w:color w:val="000000"/>
                <w:kern w:val="0"/>
                <w:sz w:val="24"/>
                <w:lang w:bidi="ar"/>
              </w:rPr>
              <w:t>一般生态空间与城镇开发重叠面积（km</w:t>
            </w:r>
            <w:r>
              <w:rPr>
                <w:rFonts w:hint="eastAsia" w:ascii="仿宋" w:hAnsi="仿宋" w:cs="仿宋"/>
                <w:b/>
                <w:bCs/>
                <w:color w:val="000000"/>
                <w:kern w:val="0"/>
                <w:sz w:val="24"/>
                <w:vertAlign w:val="superscript"/>
                <w:lang w:bidi="ar"/>
              </w:rPr>
              <w:t>2</w:t>
            </w:r>
            <w:r>
              <w:rPr>
                <w:rFonts w:hint="eastAsia" w:ascii="仿宋" w:hAnsi="仿宋" w:cs="仿宋"/>
                <w:b/>
                <w:bCs/>
                <w:color w:val="000000"/>
                <w:kern w:val="0"/>
                <w:sz w:val="24"/>
                <w:lang w:bidi="ar"/>
              </w:rPr>
              <w:t>）</w:t>
            </w:r>
          </w:p>
        </w:tc>
      </w:tr>
      <w:tr>
        <w:tblPrEx>
          <w:tblCellMar>
            <w:top w:w="0" w:type="dxa"/>
            <w:left w:w="108" w:type="dxa"/>
            <w:bottom w:w="0" w:type="dxa"/>
            <w:right w:w="108" w:type="dxa"/>
          </w:tblCellMar>
        </w:tblPrEx>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梅县区</w:t>
            </w:r>
          </w:p>
        </w:tc>
        <w:tc>
          <w:tcPr>
            <w:tcW w:w="3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0.02</w:t>
            </w:r>
          </w:p>
        </w:tc>
      </w:tr>
      <w:tr>
        <w:tblPrEx>
          <w:tblCellMar>
            <w:top w:w="0" w:type="dxa"/>
            <w:left w:w="108" w:type="dxa"/>
            <w:bottom w:w="0" w:type="dxa"/>
            <w:right w:w="108" w:type="dxa"/>
          </w:tblCellMar>
        </w:tblPrEx>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平远县</w:t>
            </w:r>
          </w:p>
        </w:tc>
        <w:tc>
          <w:tcPr>
            <w:tcW w:w="3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0.00007</w:t>
            </w:r>
          </w:p>
        </w:tc>
      </w:tr>
      <w:tr>
        <w:tblPrEx>
          <w:tblCellMar>
            <w:top w:w="0" w:type="dxa"/>
            <w:left w:w="108" w:type="dxa"/>
            <w:bottom w:w="0" w:type="dxa"/>
            <w:right w:w="108" w:type="dxa"/>
          </w:tblCellMar>
        </w:tblPrEx>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3</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大埔县</w:t>
            </w:r>
          </w:p>
        </w:tc>
        <w:tc>
          <w:tcPr>
            <w:tcW w:w="3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0.10</w:t>
            </w:r>
          </w:p>
        </w:tc>
      </w:tr>
      <w:tr>
        <w:tblPrEx>
          <w:tblCellMar>
            <w:top w:w="0" w:type="dxa"/>
            <w:left w:w="108" w:type="dxa"/>
            <w:bottom w:w="0" w:type="dxa"/>
            <w:right w:w="108" w:type="dxa"/>
          </w:tblCellMar>
        </w:tblPrEx>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4</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丰顺县</w:t>
            </w:r>
          </w:p>
        </w:tc>
        <w:tc>
          <w:tcPr>
            <w:tcW w:w="3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0.10</w:t>
            </w:r>
          </w:p>
        </w:tc>
      </w:tr>
      <w:tr>
        <w:tblPrEx>
          <w:tblCellMar>
            <w:top w:w="0" w:type="dxa"/>
            <w:left w:w="108" w:type="dxa"/>
            <w:bottom w:w="0" w:type="dxa"/>
            <w:right w:w="108" w:type="dxa"/>
          </w:tblCellMar>
        </w:tblPrEx>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sz w:val="24"/>
              </w:rPr>
              <w:t>5</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五华县</w:t>
            </w:r>
          </w:p>
        </w:tc>
        <w:tc>
          <w:tcPr>
            <w:tcW w:w="3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0.0006</w:t>
            </w:r>
          </w:p>
        </w:tc>
      </w:tr>
      <w:tr>
        <w:tblPrEx>
          <w:tblCellMar>
            <w:top w:w="0" w:type="dxa"/>
            <w:left w:w="108" w:type="dxa"/>
            <w:bottom w:w="0" w:type="dxa"/>
            <w:right w:w="108" w:type="dxa"/>
          </w:tblCellMar>
        </w:tblPrEx>
        <w:tc>
          <w:tcPr>
            <w:tcW w:w="131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总计</w:t>
            </w:r>
          </w:p>
        </w:tc>
        <w:tc>
          <w:tcPr>
            <w:tcW w:w="3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0.22</w:t>
            </w:r>
          </w:p>
        </w:tc>
      </w:tr>
    </w:tbl>
    <w:p>
      <w:pPr>
        <w:pStyle w:val="10"/>
        <w:jc w:val="center"/>
        <w:rPr>
          <w:rFonts w:hint="eastAsia" w:eastAsia="黑体"/>
          <w:lang w:eastAsia="zh-CN"/>
        </w:rPr>
      </w:pPr>
      <w:r>
        <w:t>表</w:t>
      </w:r>
      <w:r>
        <w:rPr>
          <w:rFonts w:hint="eastAsia"/>
        </w:rPr>
        <w:t>3-</w:t>
      </w:r>
      <w:r>
        <w:rPr>
          <w:rFonts w:hint="eastAsia"/>
          <w:lang w:val="en-US" w:eastAsia="zh-CN"/>
        </w:rPr>
        <w:t>4</w:t>
      </w:r>
      <w:r>
        <w:rPr>
          <w:rFonts w:hint="eastAsia"/>
        </w:rPr>
        <w:t>梅州市</w:t>
      </w:r>
      <w:r>
        <w:rPr>
          <w:rFonts w:hint="eastAsia"/>
          <w:lang w:eastAsia="zh-CN"/>
        </w:rPr>
        <w:t>城</w:t>
      </w:r>
      <w:r>
        <w:rPr>
          <w:rFonts w:hint="eastAsia"/>
        </w:rPr>
        <w:t>镇开发边界和一般生态空间</w:t>
      </w:r>
      <w:r>
        <w:rPr>
          <w:rFonts w:hint="eastAsia"/>
          <w:lang w:eastAsia="zh-CN"/>
        </w:rPr>
        <w:t>重叠区域地类分析</w:t>
      </w:r>
    </w:p>
    <w:tbl>
      <w:tblPr>
        <w:tblStyle w:val="2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6"/>
        <w:gridCol w:w="3920"/>
        <w:gridCol w:w="3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序号</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重叠部分地类</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1</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乔木林地</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87.68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2</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果园</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3</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农村道路</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4</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竹林地</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5</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其他草地</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6</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农村宅基地</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7</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公路用地</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8</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公用设施用地</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9</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沟渠</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10</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裸土地</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11</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坑塘水面</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12</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裸岩石砾地</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13</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其他园地</w:t>
            </w:r>
          </w:p>
        </w:tc>
        <w:tc>
          <w:tcPr>
            <w:tcW w:w="21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0.01</w:t>
            </w:r>
          </w:p>
        </w:tc>
      </w:tr>
    </w:tbl>
    <w:p>
      <w:r>
        <w:rPr>
          <w:rFonts w:hint="eastAsia"/>
        </w:rPr>
        <w:br w:type="page"/>
      </w:r>
    </w:p>
    <w:p>
      <w:pPr>
        <w:pStyle w:val="7"/>
        <w:rPr>
          <w:rFonts w:eastAsia="宋体"/>
        </w:rPr>
      </w:pPr>
      <w:r>
        <w:rPr>
          <w:rFonts w:hint="eastAsia"/>
        </w:rPr>
        <w:t>3.2.2.2衔接矿产资源规划</w:t>
      </w:r>
    </w:p>
    <w:p>
      <w:pPr>
        <w:ind w:firstLine="654" w:firstLineChars="200"/>
      </w:pPr>
      <w:r>
        <w:rPr>
          <w:rFonts w:hint="eastAsia"/>
        </w:rPr>
        <w:t>将《梅州市矿产资源总体规划（2021－2025年）》成果中的规划开采区与一般生态空间叠加分析可知，梅州市目前合计有</w:t>
      </w:r>
      <w:r>
        <w:rPr>
          <w:rFonts w:hint="eastAsia"/>
          <w:lang w:val="en-US" w:eastAsia="zh-CN"/>
        </w:rPr>
        <w:t>92</w:t>
      </w:r>
      <w:r>
        <w:rPr>
          <w:rFonts w:hint="eastAsia"/>
        </w:rPr>
        <w:t>个规划开采区（包含规划和现有）与一般生态空间重叠，重叠面积合计</w:t>
      </w:r>
      <w:r>
        <w:rPr>
          <w:rFonts w:hint="eastAsia"/>
          <w:lang w:val="en-US" w:eastAsia="zh-CN"/>
        </w:rPr>
        <w:t>41.54</w:t>
      </w:r>
      <w:r>
        <w:rPr>
          <w:rFonts w:hint="eastAsia"/>
        </w:rPr>
        <w:t>km</w:t>
      </w:r>
      <w:r>
        <w:rPr>
          <w:rFonts w:hint="eastAsia"/>
          <w:vertAlign w:val="superscript"/>
        </w:rPr>
        <w:t>2</w:t>
      </w:r>
      <w:r>
        <w:rPr>
          <w:rFonts w:hint="eastAsia"/>
        </w:rPr>
        <w:t>，拟将一般生态空间和矿产资源规划的规划开采区重叠区域调出一般生态空间。</w:t>
      </w:r>
    </w:p>
    <w:p>
      <w:pPr>
        <w:jc w:val="center"/>
        <w:rPr>
          <w:rFonts w:eastAsiaTheme="minorEastAsia"/>
          <w:sz w:val="24"/>
        </w:rPr>
      </w:pPr>
      <w:r>
        <w:rPr>
          <w:rFonts w:hint="eastAsia" w:eastAsiaTheme="minorEastAsia"/>
          <w:sz w:val="24"/>
        </w:rPr>
        <w:drawing>
          <wp:inline distT="0" distB="0" distL="114300" distR="114300">
            <wp:extent cx="4157980" cy="4352290"/>
            <wp:effectExtent l="0" t="0" r="13970" b="10160"/>
            <wp:docPr id="40" name="图片 40" descr="一般生态空间和矿产资源规划的规划开采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一般生态空间和矿产资源规划的规划开采区"/>
                    <pic:cNvPicPr>
                      <a:picLocks noChangeAspect="1"/>
                    </pic:cNvPicPr>
                  </pic:nvPicPr>
                  <pic:blipFill>
                    <a:blip r:embed="rId16"/>
                    <a:stretch>
                      <a:fillRect/>
                    </a:stretch>
                  </pic:blipFill>
                  <pic:spPr>
                    <a:xfrm>
                      <a:off x="0" y="0"/>
                      <a:ext cx="4157980" cy="4352290"/>
                    </a:xfrm>
                    <a:prstGeom prst="rect">
                      <a:avLst/>
                    </a:prstGeom>
                  </pic:spPr>
                </pic:pic>
              </a:graphicData>
            </a:graphic>
          </wp:inline>
        </w:drawing>
      </w:r>
    </w:p>
    <w:p>
      <w:pPr>
        <w:pStyle w:val="10"/>
        <w:jc w:val="center"/>
      </w:pPr>
      <w:r>
        <w:t>图</w:t>
      </w:r>
      <w:r>
        <w:rPr>
          <w:rFonts w:hint="eastAsia"/>
        </w:rPr>
        <w:t>3-</w:t>
      </w:r>
      <w:r>
        <w:rPr>
          <w:rFonts w:hint="eastAsia"/>
          <w:lang w:val="en-US" w:eastAsia="zh-CN"/>
        </w:rPr>
        <w:t>4</w:t>
      </w:r>
      <w:r>
        <w:rPr>
          <w:rFonts w:hint="eastAsia"/>
        </w:rPr>
        <w:t>梅州市规划开采区块和一般生态空间衔接情况</w:t>
      </w:r>
    </w:p>
    <w:p/>
    <w:p/>
    <w:p>
      <w:pPr>
        <w:sectPr>
          <w:pgSz w:w="11906" w:h="16838"/>
          <w:pgMar w:top="2098" w:right="1474" w:bottom="1984" w:left="1587" w:header="851" w:footer="1587" w:gutter="0"/>
          <w:pgNumType w:fmt="decimal"/>
          <w:cols w:space="0" w:num="1"/>
          <w:docGrid w:type="linesAndChars" w:linePitch="589" w:charSpace="1554"/>
        </w:sectPr>
      </w:pPr>
    </w:p>
    <w:p>
      <w:pPr>
        <w:pStyle w:val="10"/>
        <w:jc w:val="center"/>
      </w:pPr>
      <w:r>
        <w:t>表</w:t>
      </w:r>
      <w:r>
        <w:rPr>
          <w:rFonts w:hint="eastAsia"/>
        </w:rPr>
        <w:t>3-5梅州市规划开采区块和一般生态空间衔接情况</w:t>
      </w:r>
    </w:p>
    <w:tbl>
      <w:tblPr>
        <w:tblStyle w:val="23"/>
        <w:tblW w:w="12930" w:type="dxa"/>
        <w:tblInd w:w="93" w:type="dxa"/>
        <w:tblLayout w:type="fixed"/>
        <w:tblCellMar>
          <w:top w:w="0" w:type="dxa"/>
          <w:left w:w="108" w:type="dxa"/>
          <w:bottom w:w="0" w:type="dxa"/>
          <w:right w:w="108" w:type="dxa"/>
        </w:tblCellMar>
      </w:tblPr>
      <w:tblGrid>
        <w:gridCol w:w="643"/>
        <w:gridCol w:w="917"/>
        <w:gridCol w:w="5450"/>
        <w:gridCol w:w="1510"/>
        <w:gridCol w:w="4410"/>
      </w:tblGrid>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b/>
                <w:bCs/>
                <w:sz w:val="20"/>
                <w:szCs w:val="16"/>
              </w:rPr>
            </w:pPr>
            <w:r>
              <w:rPr>
                <w:rFonts w:hint="eastAsia"/>
                <w:b/>
                <w:bCs/>
                <w:sz w:val="20"/>
                <w:szCs w:val="16"/>
              </w:rPr>
              <w:t>序号</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b/>
                <w:bCs/>
                <w:sz w:val="20"/>
                <w:szCs w:val="16"/>
              </w:rPr>
            </w:pPr>
            <w:r>
              <w:rPr>
                <w:rFonts w:hint="eastAsia"/>
                <w:b/>
                <w:bCs/>
                <w:sz w:val="20"/>
                <w:szCs w:val="16"/>
              </w:rPr>
              <w:t>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b/>
                <w:bCs/>
                <w:sz w:val="20"/>
                <w:szCs w:val="16"/>
              </w:rPr>
            </w:pPr>
            <w:r>
              <w:rPr>
                <w:rFonts w:hint="eastAsia"/>
                <w:b/>
                <w:bCs/>
                <w:sz w:val="20"/>
                <w:szCs w:val="16"/>
              </w:rPr>
              <w:t>规划开采区名称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b/>
                <w:bCs/>
                <w:sz w:val="20"/>
                <w:szCs w:val="16"/>
              </w:rPr>
            </w:pPr>
            <w:r>
              <w:rPr>
                <w:rFonts w:hint="eastAsia"/>
                <w:b/>
                <w:bCs/>
                <w:sz w:val="20"/>
                <w:szCs w:val="16"/>
              </w:rPr>
              <w:t>面积（km</w:t>
            </w:r>
            <w:r>
              <w:rPr>
                <w:rFonts w:hint="eastAsia"/>
                <w:b/>
                <w:bCs/>
                <w:sz w:val="20"/>
                <w:szCs w:val="16"/>
                <w:vertAlign w:val="superscript"/>
              </w:rPr>
              <w:t>2</w:t>
            </w:r>
            <w:r>
              <w:rPr>
                <w:rFonts w:hint="eastAsia"/>
                <w:b/>
                <w:bCs/>
                <w:sz w:val="20"/>
                <w:szCs w:val="16"/>
              </w:rPr>
              <w:t>）</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b/>
                <w:bCs/>
                <w:sz w:val="20"/>
                <w:szCs w:val="16"/>
              </w:rPr>
            </w:pPr>
            <w:r>
              <w:rPr>
                <w:rFonts w:hint="eastAsia"/>
                <w:b/>
                <w:bCs/>
                <w:sz w:val="20"/>
                <w:szCs w:val="16"/>
              </w:rPr>
              <w:t>依据</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梅县区白渡镇峰溪村上溪口花岗岩开采规划区块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1.73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梅州市梅县区裕顺石场建筑用花岗岩开采规划区块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0.79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梅县区南口镇洋塘村和瑶上村开采规划区块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0.72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梅州市梅县区畲江镇双溪村建筑石场花岗岩开采规划区块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eastAsia="仿宋"/>
                <w:sz w:val="20"/>
                <w:szCs w:val="16"/>
                <w:lang w:eastAsia="zh-CN"/>
              </w:rPr>
            </w:pPr>
            <w:r>
              <w:rPr>
                <w:rFonts w:hint="eastAsia"/>
                <w:sz w:val="20"/>
                <w:szCs w:val="16"/>
              </w:rPr>
              <w:t>0.7</w:t>
            </w:r>
            <w:r>
              <w:rPr>
                <w:rFonts w:hint="eastAsia"/>
                <w:sz w:val="20"/>
                <w:szCs w:val="16"/>
                <w:lang w:val="en-US" w:eastAsia="zh-CN"/>
              </w:rPr>
              <w:t>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梅州市梅县区水车镇淮洞乌石顶建筑用花岗岩开采规划区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0.41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梅州市梅县区雁洋永福石盘下石场建筑用花岗岩开采规划</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0.63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梅州市九龙山矿泉饮料有限公司</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0.16</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梅州市梅县区丙村镇龙骨坑石场建筑用花岗岩开采规划区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0.15</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lang w:eastAsia="zh-CN"/>
              </w:rPr>
            </w:pPr>
            <w:r>
              <w:rPr>
                <w:rFonts w:hint="eastAsia"/>
                <w:sz w:val="20"/>
                <w:szCs w:val="16"/>
                <w:lang w:val="en-US" w:eastAsia="zh-CN"/>
              </w:rPr>
              <w:t>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rPr>
              <w:t>梅州市梅县区畲江镇径义石场花岗岩开采规划区块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eastAsia="仿宋"/>
                <w:sz w:val="20"/>
                <w:szCs w:val="16"/>
                <w:lang w:val="en-US" w:eastAsia="zh-CN"/>
              </w:rPr>
            </w:pPr>
            <w:r>
              <w:rPr>
                <w:rFonts w:hint="eastAsia"/>
                <w:sz w:val="20"/>
                <w:szCs w:val="16"/>
                <w:lang w:val="en-US" w:eastAsia="zh-CN"/>
              </w:rPr>
              <w:t>0.13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梅县区丙村三宝石场开采区块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0.05</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梅州市梅县区松南理石厂开采规划区块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0.05</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梅州市梅县区隆文镇岩前李广荣石场开采规划区块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梅县区城东县祥石场和长寿石场开采规划区块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梅州市梅县区白渡春生石场建筑用花岗岩开采规划区块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梅州市梅雁矿业有限公司嵩溪锑银矿</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梅州市松源铁坑铁矿有限公司铁坑坳铁矿</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广东金雁工业集团有限公司玉水硫铜矿</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梅州市梅县区雁洋矿业有限公司对坑石灰岩矿开采规划区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0.00003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19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梅县华银矿业有限公司梅县宝坑铁锰矿</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0.00001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梅县区</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梅州市梅县区泰龙发展有限公司隆文铁矿</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0.000003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eastAsia="仿宋"/>
                <w:sz w:val="20"/>
                <w:szCs w:val="16"/>
                <w:lang w:eastAsia="zh-CN"/>
              </w:rPr>
            </w:pPr>
            <w:r>
              <w:rPr>
                <w:rFonts w:hint="eastAsia"/>
                <w:sz w:val="20"/>
                <w:szCs w:val="16"/>
              </w:rPr>
              <w:t>兴宁</w:t>
            </w:r>
            <w:r>
              <w:rPr>
                <w:rFonts w:hint="eastAsia"/>
                <w:sz w:val="20"/>
                <w:szCs w:val="16"/>
                <w:lang w:eastAsia="zh-CN"/>
              </w:rPr>
              <w:t>市</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兴宁市守元矿业有限公司军营高岭土矿分公司</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0.44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兴宁</w:t>
            </w:r>
            <w:r>
              <w:rPr>
                <w:rFonts w:hint="eastAsia"/>
                <w:sz w:val="20"/>
                <w:szCs w:val="16"/>
                <w:lang w:eastAsia="zh-CN"/>
              </w:rPr>
              <w:t>市</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广州市顺安建设股份有限公司兴宁市白牙山石场建筑用花岗岩开采规划区块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兴宁</w:t>
            </w:r>
            <w:r>
              <w:rPr>
                <w:rFonts w:hint="eastAsia"/>
                <w:sz w:val="20"/>
                <w:szCs w:val="16"/>
                <w:lang w:eastAsia="zh-CN"/>
              </w:rPr>
              <w:t>市</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兴宁市石马镇马下村石场建筑用花岗岩开采规划区块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平远县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广东省平远县象牙矿区稀土</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3.89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平远县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广东省平远县肥田稀土矿</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平远县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热柘韩坑村大岌背矿区水泥用粘土矿</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0.07</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平远县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平远县绿叶天然食品有限公司热柘礤上矿泉水厂</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0.00005</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文福建筑用花岗岩水泥用石灰岩开采规划区块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7.14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29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广东省蕉岭县广福镇大理岩矿</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蕉岭县兴福镇堑垣黄泥坑石场开采规划区块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0.05</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蕉岭县文福镇牛角坑石场开采规划区块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蕉岭县瑶背坑矿区水泥用石灰岩开采规划区块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蕉岭县三圳镇横龙石场开采规划区块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蕉岭金鹏精细化工有限公司广福大理石场开采规划区块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广福建材（蕉岭）精化有限公司广福石场开采规划区块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蕉岭县长潭镇番豆窝建筑用花岗岩开采规划区块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0.000002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蕉岭县文福坑头叮当石场有限公司开采规划区块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0.0000004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蕉岭县文福镇白湖新娘山石场开采规划区块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0.0000003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39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蕉岭皇马矿业有限公司石灰坑石场开采规划区块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0.00000004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蕉岭县菜子窝钾长石有限公司</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4E-10</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蕉岭县文福镇坑头罗石坳采石场开采规划区块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4E-10</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梅州市振奋矿业有限公司高陂镇洋子湖井坑尾瓷土矿扩大</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1.97</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大埔县桃源镇洋济岗瓷土场拟扩大区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0.82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大麻镇敬里建筑用花岗岩开采规划区块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0.57</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大埔县银江胜坑辉绿岩矿开采规划区块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0.39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大埔县展江矿业有限公司雷公岭石场扩大区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0.32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大埔县银江河口建筑石料矿区（新设）</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大埔县利宝鑫建筑工程有限公司光德石场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49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梅州市大埔县大麻镇恭洲石场建筑用花岗岩开采规划区块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大埔县西河银湖辉绿岩矿区（新设）</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大埔县茶阳镇群丰石场拟扩大区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西河镇乌石坪辉绿岩矿二期</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0.18</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梅州市大埔县高陂镇三洲村寮子前石场建筑用花岗岩开采</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梅州市大埔县高陂镇培美石场建筑用花岗岩开采规划区块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梅州富华矿业有限公司大埔县枫朗镇出水科陶瓷土矿扩大</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大埔县大麻镇中兰建筑用砂岩矿区（新设）</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大埔县茶阳镇东心坑建筑用砂岩矿（新设）</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大埔县九龙金秋有限公司高陂九龙石场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59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大埔县九龙金秋有限公司高陂九龙石场拟扩大区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梅州市宏宝矿业有限公司平原三环瓷土矿扩大区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梅州市大埔县光德石场建筑用花岗岩开采规划区块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0.41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大埔县百侯镇旧寨建筑用花岗岩开采规划区块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梅州市大埔县银江镇冠山石场建筑用花岗岩开采规划区块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梅州市大埔县九龙金秋有限公司高陂九龙石场建筑用花岗岩开采规划区块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0.28</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大埔县茶阳镇群丰石场建筑用花岗岩开采规划区块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0.25</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梅州市大埔县大麻镇中兰村梅子窝石场建筑用砂岩矿开采规划区块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0.78</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梅州市大埔县雷公岭石场建筑用花岗岩开采规划区块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0.34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大埔县高陂镇赤山建筑用花岗岩开采规划区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lang w:val="en-US" w:eastAsia="zh-CN"/>
              </w:rPr>
              <w:t>69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丰顺县汤坑镇东联上村下眼洋建筑用凝灰岩开采规划区块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2.02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eastAsia="仿宋"/>
                <w:sz w:val="20"/>
                <w:szCs w:val="16"/>
                <w:lang w:eastAsia="zh-CN"/>
              </w:rPr>
            </w:pPr>
            <w:r>
              <w:rPr>
                <w:rFonts w:hint="eastAsia"/>
                <w:sz w:val="20"/>
                <w:szCs w:val="16"/>
              </w:rPr>
              <w:t>广东省丰顺县尖笔岽铜铅锌矿规划开</w:t>
            </w:r>
            <w:r>
              <w:rPr>
                <w:rFonts w:hint="eastAsia"/>
                <w:sz w:val="20"/>
                <w:szCs w:val="16"/>
                <w:lang w:eastAsia="zh-CN"/>
              </w:rPr>
              <w:t>采区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rPr>
              <w:t>1.84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eastAsia"/>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丰顺金宿石材实业有限公司汤西石湖村综合石场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1.18</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梅州市砂田镇占上村打輋坑梅州市浩源矿业有限公司</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0.97</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丰顺县留隍田坫建筑用流纹岩开采规划区块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0.46</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梅州市永宏昌矿业有限公司丰顺小胜田背石场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0.28</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丰顺县泰和瓷业有限公司下南牛湖寮瓷土场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丰顺县富兴建材有限公司潘田镇建兴石场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0.17</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丰顺县恒誉矿业有限公司小胜镇丹竹坑瓷土场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梅州深丰矿业发展有限公司大龙华罗洋石场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0.07</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79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梅州市顺鹏石业有限公司留隍金岗栅子肚石场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0.06</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丰顺县福山实业有限公司丰良大坑山综合石场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0.06</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丰顺县潭江镇安顺兴石场有限公司</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0.0001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五华县长布镇樟村村陶瓷土开采规划区块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2.79</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五华县周江镇新良村跑坑里建筑用花岗岩矿开采规划区块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1.41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84</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梅州市五华县河东镇深肚建筑用花岗岩开采规划区块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1.17</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85</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五华县华神矿业有限公司潭下高岭土</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0.68</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86</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梅州市五华县潭下镇竹梅村饰面用花岗岩开采规划区块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0.5</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87</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梅州市五华县横陂增大饰面用花岗岩开采规划区块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0.44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88</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横陂镇贵人村拟设矿区</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0.43</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89</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梅州市五华县近江黄峰嶂建筑用花岗岩开采规划区块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0.35</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90</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梅州市五华县横陂镇锡坑建筑用花岗岩开采规划区块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0.11</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91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梅州市五华县双头石场建筑用花岗岩开采规划区块</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0.06</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sz w:val="20"/>
                <w:szCs w:val="16"/>
                <w:lang w:val="en-US" w:eastAsia="zh-CN"/>
              </w:rPr>
            </w:pPr>
            <w:r>
              <w:rPr>
                <w:rFonts w:hint="eastAsia"/>
                <w:sz w:val="20"/>
                <w:szCs w:val="16"/>
                <w:lang w:val="en-US" w:eastAsia="zh-CN"/>
              </w:rPr>
              <w:t>92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五华县</w:t>
            </w:r>
          </w:p>
        </w:tc>
        <w:tc>
          <w:tcPr>
            <w:tcW w:w="5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百岁山（梅州）饮料有限公司五华莲花山矿泉水</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0.02</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r>
        <w:tblPrEx>
          <w:tblCellMar>
            <w:top w:w="0" w:type="dxa"/>
            <w:left w:w="108" w:type="dxa"/>
            <w:bottom w:w="0" w:type="dxa"/>
            <w:right w:w="108" w:type="dxa"/>
          </w:tblCellMar>
        </w:tblPrEx>
        <w:trPr>
          <w:trHeight w:val="420" w:hRule="atLeast"/>
        </w:trPr>
        <w:tc>
          <w:tcPr>
            <w:tcW w:w="70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合计</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hint="default" w:eastAsia="仿宋"/>
                <w:sz w:val="20"/>
                <w:szCs w:val="16"/>
                <w:lang w:val="en-US" w:eastAsia="zh-CN"/>
              </w:rPr>
            </w:pPr>
            <w:r>
              <w:rPr>
                <w:rFonts w:hint="eastAsia"/>
                <w:sz w:val="20"/>
                <w:szCs w:val="16"/>
                <w:lang w:val="en-US" w:eastAsia="zh-CN"/>
              </w:rPr>
              <w:t>41.54</w:t>
            </w:r>
          </w:p>
        </w:tc>
        <w:tc>
          <w:tcPr>
            <w:tcW w:w="4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sz w:val="20"/>
                <w:szCs w:val="16"/>
              </w:rPr>
            </w:pPr>
            <w:r>
              <w:rPr>
                <w:rFonts w:hint="eastAsia"/>
                <w:sz w:val="20"/>
                <w:szCs w:val="16"/>
              </w:rPr>
              <w:t>《梅州市矿产资源总体规划（2021－2025年）》</w:t>
            </w:r>
          </w:p>
        </w:tc>
      </w:tr>
    </w:tbl>
    <w:p>
      <w:pPr>
        <w:spacing w:line="440" w:lineRule="exact"/>
        <w:rPr>
          <w:rFonts w:eastAsiaTheme="minorEastAsia"/>
          <w:sz w:val="24"/>
        </w:rPr>
        <w:sectPr>
          <w:pgSz w:w="16838" w:h="11906" w:orient="landscape"/>
          <w:pgMar w:top="1587" w:right="2098" w:bottom="1474" w:left="1984" w:header="851" w:footer="1587" w:gutter="0"/>
          <w:pgNumType w:fmt="decimal"/>
          <w:cols w:space="0" w:num="1"/>
          <w:docGrid w:type="linesAndChars" w:linePitch="589" w:charSpace="1554"/>
        </w:sectPr>
      </w:pPr>
    </w:p>
    <w:p>
      <w:pPr>
        <w:pStyle w:val="7"/>
      </w:pPr>
      <w:r>
        <w:rPr>
          <w:rFonts w:hint="eastAsia"/>
        </w:rPr>
        <w:t>3.2.2.3衔接其他重点项目</w:t>
      </w:r>
    </w:p>
    <w:p>
      <w:pPr>
        <w:ind w:firstLine="654" w:firstLineChars="200"/>
      </w:pPr>
      <w:r>
        <w:rPr>
          <w:rFonts w:hint="eastAsia"/>
        </w:rPr>
        <w:t>将梅州市各部门以及各区县报送的重点项目和一般生态空间进行叠加分析，共有</w:t>
      </w:r>
      <w:r>
        <w:rPr>
          <w:rFonts w:hint="eastAsia"/>
          <w:lang w:val="en-US" w:eastAsia="zh-CN"/>
        </w:rPr>
        <w:t>13</w:t>
      </w:r>
      <w:r>
        <w:rPr>
          <w:rFonts w:hint="eastAsia"/>
        </w:rPr>
        <w:t>个项目合计</w:t>
      </w:r>
      <w:r>
        <w:rPr>
          <w:rFonts w:hint="eastAsia"/>
          <w:lang w:val="en-US" w:eastAsia="zh-CN"/>
        </w:rPr>
        <w:t>2</w:t>
      </w:r>
      <w:r>
        <w:rPr>
          <w:rFonts w:hint="eastAsia"/>
        </w:rPr>
        <w:t>.</w:t>
      </w:r>
      <w:r>
        <w:rPr>
          <w:rFonts w:hint="eastAsia"/>
          <w:lang w:val="en-US" w:eastAsia="zh-CN"/>
        </w:rPr>
        <w:t>59</w:t>
      </w:r>
      <w:r>
        <w:rPr>
          <w:rFonts w:hint="eastAsia"/>
        </w:rPr>
        <w:t>km</w:t>
      </w:r>
      <w:r>
        <w:rPr>
          <w:rFonts w:hint="eastAsia"/>
          <w:vertAlign w:val="superscript"/>
        </w:rPr>
        <w:t>2</w:t>
      </w:r>
      <w:r>
        <w:rPr>
          <w:rFonts w:hint="eastAsia"/>
        </w:rPr>
        <w:t>的范围与一般生态空间重叠，拟将这部分区域调出一般生态空间。</w:t>
      </w:r>
    </w:p>
    <w:p>
      <w:pPr>
        <w:jc w:val="center"/>
        <w:rPr>
          <w:rFonts w:hint="eastAsia" w:eastAsia="仿宋"/>
          <w:lang w:eastAsia="zh-CN"/>
        </w:rPr>
      </w:pPr>
      <w:r>
        <w:rPr>
          <w:rFonts w:hint="eastAsia" w:eastAsia="仿宋"/>
          <w:lang w:eastAsia="zh-CN"/>
        </w:rPr>
        <w:drawing>
          <wp:inline distT="0" distB="0" distL="114300" distR="114300">
            <wp:extent cx="4318635" cy="4318635"/>
            <wp:effectExtent l="0" t="0" r="5715" b="5715"/>
            <wp:docPr id="2" name="图片 2" descr="C:\Users\lenovo\Desktop\调出项目.png调出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调出项目.png调出项目"/>
                    <pic:cNvPicPr>
                      <a:picLocks noChangeAspect="1"/>
                    </pic:cNvPicPr>
                  </pic:nvPicPr>
                  <pic:blipFill>
                    <a:blip r:embed="rId17"/>
                    <a:srcRect t="7" b="7"/>
                    <a:stretch>
                      <a:fillRect/>
                    </a:stretch>
                  </pic:blipFill>
                  <pic:spPr>
                    <a:xfrm>
                      <a:off x="0" y="0"/>
                      <a:ext cx="4318635" cy="4318635"/>
                    </a:xfrm>
                    <a:prstGeom prst="rect">
                      <a:avLst/>
                    </a:prstGeom>
                  </pic:spPr>
                </pic:pic>
              </a:graphicData>
            </a:graphic>
          </wp:inline>
        </w:drawing>
      </w:r>
    </w:p>
    <w:p>
      <w:pPr>
        <w:pStyle w:val="10"/>
        <w:jc w:val="center"/>
        <w:rPr>
          <w:rFonts w:eastAsia="宋体"/>
        </w:rPr>
      </w:pPr>
      <w:r>
        <w:t>图</w:t>
      </w:r>
      <w:r>
        <w:rPr>
          <w:rFonts w:hint="eastAsia"/>
        </w:rPr>
        <w:t>3-</w:t>
      </w:r>
      <w:r>
        <w:rPr>
          <w:rFonts w:hint="eastAsia"/>
          <w:lang w:val="en-US" w:eastAsia="zh-CN"/>
        </w:rPr>
        <w:t>5</w:t>
      </w:r>
      <w:r>
        <w:rPr>
          <w:rFonts w:hint="eastAsia"/>
        </w:rPr>
        <w:t>梅州市重点项目和一般生态空间衔接情况</w:t>
      </w:r>
    </w:p>
    <w:p>
      <w:pPr>
        <w:pStyle w:val="10"/>
        <w:jc w:val="center"/>
        <w:sectPr>
          <w:pgSz w:w="11906" w:h="16838"/>
          <w:pgMar w:top="2098" w:right="1474" w:bottom="1984" w:left="1587" w:header="851" w:footer="1587" w:gutter="0"/>
          <w:pgNumType w:fmt="decimal"/>
          <w:cols w:space="0" w:num="1"/>
          <w:docGrid w:type="linesAndChars" w:linePitch="589" w:charSpace="1554"/>
        </w:sectPr>
      </w:pPr>
    </w:p>
    <w:p>
      <w:pPr>
        <w:pStyle w:val="10"/>
        <w:jc w:val="center"/>
      </w:pPr>
      <w:r>
        <w:t>表</w:t>
      </w:r>
      <w:r>
        <w:rPr>
          <w:rFonts w:hint="eastAsia"/>
        </w:rPr>
        <w:t>3-</w:t>
      </w:r>
      <w:r>
        <w:rPr>
          <w:rFonts w:hint="eastAsia"/>
          <w:lang w:val="en-US" w:eastAsia="zh-CN"/>
        </w:rPr>
        <w:t>6</w:t>
      </w:r>
      <w:r>
        <w:rPr>
          <w:rFonts w:hint="eastAsia"/>
        </w:rPr>
        <w:t>梅州市重点项目和一般生态空间衔接情况</w:t>
      </w:r>
    </w:p>
    <w:tbl>
      <w:tblPr>
        <w:tblStyle w:val="23"/>
        <w:tblW w:w="4998" w:type="pct"/>
        <w:tblInd w:w="0" w:type="dxa"/>
        <w:tblLayout w:type="fixed"/>
        <w:tblCellMar>
          <w:top w:w="0" w:type="dxa"/>
          <w:left w:w="108" w:type="dxa"/>
          <w:bottom w:w="0" w:type="dxa"/>
          <w:right w:w="108" w:type="dxa"/>
        </w:tblCellMar>
      </w:tblPr>
      <w:tblGrid>
        <w:gridCol w:w="618"/>
        <w:gridCol w:w="766"/>
        <w:gridCol w:w="2485"/>
        <w:gridCol w:w="1333"/>
        <w:gridCol w:w="7765"/>
      </w:tblGrid>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序号</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区县</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项目名称</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重叠面积（km</w:t>
            </w:r>
            <w:r>
              <w:rPr>
                <w:rFonts w:hint="eastAsia" w:ascii="仿宋" w:hAnsi="仿宋" w:cs="仿宋"/>
                <w:b/>
                <w:bCs/>
                <w:color w:val="000000"/>
                <w:kern w:val="0"/>
                <w:sz w:val="16"/>
                <w:szCs w:val="16"/>
                <w:vertAlign w:val="superscript"/>
                <w:lang w:bidi="ar"/>
              </w:rPr>
              <w:t>2</w:t>
            </w:r>
            <w:r>
              <w:rPr>
                <w:rFonts w:hint="eastAsia" w:ascii="仿宋" w:hAnsi="仿宋" w:cs="仿宋"/>
                <w:b/>
                <w:bCs/>
                <w:color w:val="000000"/>
                <w:kern w:val="0"/>
                <w:sz w:val="16"/>
                <w:szCs w:val="16"/>
                <w:lang w:bidi="ar"/>
              </w:rPr>
              <w:t>）</w:t>
            </w:r>
          </w:p>
        </w:tc>
        <w:tc>
          <w:tcPr>
            <w:tcW w:w="29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调整依据</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16"/>
                <w:szCs w:val="16"/>
                <w:lang w:eastAsia="zh-CN" w:bidi="ar"/>
              </w:rPr>
            </w:pPr>
            <w:r>
              <w:rPr>
                <w:rFonts w:hint="eastAsia" w:ascii="仿宋" w:hAnsi="仿宋" w:cs="仿宋"/>
                <w:color w:val="000000"/>
                <w:kern w:val="0"/>
                <w:sz w:val="16"/>
                <w:szCs w:val="16"/>
                <w:lang w:val="en-US" w:eastAsia="zh-CN" w:bidi="ar"/>
              </w:rPr>
              <w:t>1</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梅县区</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骏珲公司富硒茶叶种植及深加工项目</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0.003</w:t>
            </w:r>
          </w:p>
        </w:tc>
        <w:tc>
          <w:tcPr>
            <w:tcW w:w="29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梅州市省级现代农业示范区建设项目投资计划的批复</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16"/>
                <w:szCs w:val="16"/>
                <w:lang w:eastAsia="zh-CN" w:bidi="ar"/>
              </w:rPr>
            </w:pPr>
            <w:r>
              <w:rPr>
                <w:rFonts w:hint="eastAsia" w:ascii="仿宋" w:hAnsi="仿宋" w:cs="仿宋"/>
                <w:color w:val="000000"/>
                <w:kern w:val="0"/>
                <w:sz w:val="16"/>
                <w:szCs w:val="16"/>
                <w:lang w:val="en-US" w:eastAsia="zh-CN" w:bidi="ar"/>
              </w:rPr>
              <w:t>2</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梅县区</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广顺海牛场项目</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0.001</w:t>
            </w:r>
          </w:p>
        </w:tc>
        <w:tc>
          <w:tcPr>
            <w:tcW w:w="29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林权证、林地审核同意书</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16"/>
                <w:szCs w:val="16"/>
                <w:lang w:eastAsia="zh-CN" w:bidi="ar"/>
              </w:rPr>
            </w:pPr>
            <w:r>
              <w:rPr>
                <w:rFonts w:hint="eastAsia" w:ascii="仿宋" w:hAnsi="仿宋" w:cs="仿宋"/>
                <w:color w:val="000000"/>
                <w:kern w:val="0"/>
                <w:sz w:val="16"/>
                <w:szCs w:val="16"/>
                <w:lang w:val="en-US" w:eastAsia="zh-CN" w:bidi="ar"/>
              </w:rPr>
              <w:t>3</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平远县</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绿叶矿泉水</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0.0003</w:t>
            </w:r>
          </w:p>
        </w:tc>
        <w:tc>
          <w:tcPr>
            <w:tcW w:w="29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16"/>
                <w:szCs w:val="16"/>
                <w:lang w:eastAsia="zh-CN" w:bidi="ar"/>
              </w:rPr>
            </w:pPr>
            <w:r>
              <w:rPr>
                <w:rFonts w:hint="eastAsia" w:ascii="仿宋" w:hAnsi="仿宋" w:cs="仿宋"/>
                <w:color w:val="000000"/>
                <w:kern w:val="0"/>
                <w:sz w:val="16"/>
                <w:szCs w:val="16"/>
                <w:lang w:eastAsia="zh-CN" w:bidi="ar"/>
              </w:rPr>
              <w:t>项目备案证、采矿证</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16"/>
                <w:szCs w:val="16"/>
                <w:lang w:eastAsia="zh-CN" w:bidi="ar"/>
              </w:rPr>
            </w:pPr>
            <w:r>
              <w:rPr>
                <w:rFonts w:hint="eastAsia" w:ascii="仿宋" w:hAnsi="仿宋" w:cs="仿宋"/>
                <w:color w:val="000000"/>
                <w:kern w:val="0"/>
                <w:sz w:val="16"/>
                <w:szCs w:val="16"/>
                <w:lang w:val="en-US" w:eastAsia="zh-CN" w:bidi="ar"/>
              </w:rPr>
              <w:t>4</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大埔县</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textAlignment w:val="center"/>
              <w:rPr>
                <w:rFonts w:ascii="仿宋" w:hAnsi="仿宋" w:cs="仿宋"/>
                <w:color w:val="000000"/>
                <w:kern w:val="0"/>
                <w:sz w:val="16"/>
                <w:szCs w:val="16"/>
                <w:lang w:bidi="ar"/>
              </w:rPr>
            </w:pPr>
            <w:r>
              <w:rPr>
                <w:rFonts w:hint="eastAsia" w:ascii="仿宋" w:hAnsi="仿宋" w:cs="仿宋"/>
                <w:sz w:val="16"/>
                <w:szCs w:val="16"/>
              </w:rPr>
              <w:t>大埔县城工业小区基础设施建设项目（二期）</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2.12</w:t>
            </w:r>
          </w:p>
        </w:tc>
        <w:tc>
          <w:tcPr>
            <w:tcW w:w="29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16"/>
                <w:szCs w:val="16"/>
                <w:lang w:eastAsia="zh-CN" w:bidi="ar"/>
              </w:rPr>
            </w:pPr>
            <w:r>
              <w:rPr>
                <w:rFonts w:hint="eastAsia" w:ascii="仿宋" w:hAnsi="仿宋" w:cs="仿宋"/>
                <w:color w:val="000000"/>
                <w:kern w:val="0"/>
                <w:sz w:val="16"/>
                <w:szCs w:val="16"/>
                <w:lang w:bidi="ar"/>
              </w:rPr>
              <w:t>关于印发国民经济和社会发展十四五规划和2035年远景目标纲要通知（埔府〔2021〕46号）</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16"/>
                <w:szCs w:val="16"/>
                <w:lang w:eastAsia="zh-CN" w:bidi="ar"/>
              </w:rPr>
            </w:pPr>
            <w:r>
              <w:rPr>
                <w:rFonts w:hint="eastAsia" w:ascii="仿宋" w:hAnsi="仿宋" w:cs="仿宋"/>
                <w:color w:val="000000"/>
                <w:kern w:val="0"/>
                <w:sz w:val="16"/>
                <w:szCs w:val="16"/>
                <w:lang w:val="en-US" w:eastAsia="zh-CN" w:bidi="ar"/>
              </w:rPr>
              <w:t>5</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大埔县</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textAlignment w:val="center"/>
              <w:rPr>
                <w:rFonts w:ascii="仿宋" w:hAnsi="仿宋" w:cs="仿宋"/>
                <w:color w:val="000000"/>
                <w:kern w:val="0"/>
                <w:sz w:val="16"/>
                <w:szCs w:val="16"/>
                <w:lang w:bidi="ar"/>
              </w:rPr>
            </w:pPr>
            <w:r>
              <w:rPr>
                <w:rFonts w:hint="eastAsia" w:ascii="仿宋" w:hAnsi="仿宋" w:cs="仿宋"/>
                <w:sz w:val="16"/>
                <w:szCs w:val="16"/>
              </w:rPr>
              <w:t>大埔县三河工业园二期</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0.22</w:t>
            </w:r>
          </w:p>
        </w:tc>
        <w:tc>
          <w:tcPr>
            <w:tcW w:w="29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关于印发国民经济和社会发展十四五规划和2035年远景目标纲要通知（埔府〔2021〕46号）</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16"/>
                <w:szCs w:val="16"/>
                <w:lang w:eastAsia="zh-CN" w:bidi="ar"/>
              </w:rPr>
            </w:pPr>
            <w:r>
              <w:rPr>
                <w:rFonts w:hint="eastAsia" w:ascii="仿宋" w:hAnsi="仿宋" w:cs="仿宋"/>
                <w:color w:val="000000"/>
                <w:kern w:val="0"/>
                <w:sz w:val="16"/>
                <w:szCs w:val="16"/>
                <w:lang w:val="en-US" w:eastAsia="zh-CN" w:bidi="ar"/>
              </w:rPr>
              <w:t>6</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大埔县</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textAlignment w:val="center"/>
              <w:rPr>
                <w:rFonts w:ascii="仿宋" w:hAnsi="仿宋" w:cs="仿宋"/>
                <w:color w:val="000000"/>
                <w:kern w:val="0"/>
                <w:sz w:val="16"/>
                <w:szCs w:val="16"/>
                <w:lang w:bidi="ar"/>
              </w:rPr>
            </w:pPr>
            <w:r>
              <w:rPr>
                <w:rFonts w:hint="eastAsia" w:ascii="仿宋" w:hAnsi="仿宋" w:cs="仿宋"/>
                <w:sz w:val="16"/>
                <w:szCs w:val="16"/>
              </w:rPr>
              <w:t>长教弃土场项目</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0.11</w:t>
            </w:r>
          </w:p>
        </w:tc>
        <w:tc>
          <w:tcPr>
            <w:tcW w:w="29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16"/>
                <w:szCs w:val="16"/>
                <w:lang w:bidi="ar"/>
              </w:rPr>
            </w:pPr>
            <w:r>
              <w:rPr>
                <w:rFonts w:hint="eastAsia" w:ascii="仿宋" w:hAnsi="仿宋" w:cs="仿宋"/>
                <w:color w:val="000000"/>
                <w:kern w:val="0"/>
                <w:sz w:val="16"/>
                <w:szCs w:val="16"/>
                <w:lang w:bidi="ar"/>
              </w:rPr>
              <w:t>《大埔县人民政府关于同意建设建筑渣土收纳及废物综合利用项目的批复》（埔府函[2021]20号）</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7</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大埔县</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大埔县湖寮镇莒村村建筑垃圾弃土场</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0.02</w:t>
            </w:r>
          </w:p>
        </w:tc>
        <w:tc>
          <w:tcPr>
            <w:tcW w:w="7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《关于印发国民经济和社会发展十四五规划和2035年远景目标纲要通知》（埔府〔2021〕46号）、项目发改立项批复、项目用地与选址意见</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8</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大埔县</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大埔县新建病死畜禽无害化收集处理中心项目</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0.03</w:t>
            </w:r>
          </w:p>
        </w:tc>
        <w:tc>
          <w:tcPr>
            <w:tcW w:w="7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关于印发国民经济和社会发展十四五规划和2035年远景目标纲要通知（埔府〔2021〕46号）</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9</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大埔县</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梅州市瑞山天泉有限公司（瑞山天泉饮用水厂项目）</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0.01</w:t>
            </w:r>
          </w:p>
        </w:tc>
        <w:tc>
          <w:tcPr>
            <w:tcW w:w="7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《大埔县人民政府关于同意建设建筑渣土收纳及废物综合利用项目的批复》（埔府函[2021]20号）</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default"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10</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大埔县</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广东飞马峰农业有限公司省级现代茶叶产业园项目（茶叶加工厂）</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0.01</w:t>
            </w:r>
          </w:p>
        </w:tc>
        <w:tc>
          <w:tcPr>
            <w:tcW w:w="7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《大埔县人民政府关于同意实施大埔县建筑淤泥渣土收纳场及建筑垃圾综合处理环保项目的批复》（埔府函[2021]21号）、用地预审与选址意见书、使用林地审核同意书</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default"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11</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大埔县</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梅州市瑞山天泉客菜中央厨房预制菜项目</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0.001</w:t>
            </w:r>
          </w:p>
        </w:tc>
        <w:tc>
          <w:tcPr>
            <w:tcW w:w="7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项目备案证、县政府出具的土地征收预公告（大埔县2023年第2批次征收土地启动公告）</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default"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12</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五华县</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转水镇梅州潮发生态农业有限公司</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0.06</w:t>
            </w:r>
          </w:p>
        </w:tc>
        <w:tc>
          <w:tcPr>
            <w:tcW w:w="29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企业投资项目备案证、拟用地影像图、镇域经济发展重点项目证明文件</w:t>
            </w:r>
          </w:p>
        </w:tc>
      </w:tr>
      <w:tr>
        <w:tblPrEx>
          <w:tblCellMar>
            <w:top w:w="0" w:type="dxa"/>
            <w:left w:w="108" w:type="dxa"/>
            <w:bottom w:w="0" w:type="dxa"/>
            <w:right w:w="108" w:type="dxa"/>
          </w:tblCellMar>
        </w:tblPrEx>
        <w:tc>
          <w:tcPr>
            <w:tcW w:w="2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default"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13</w:t>
            </w: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蕉岭县</w:t>
            </w:r>
          </w:p>
        </w:tc>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高畲村烟花爆竹仓库</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0.01</w:t>
            </w:r>
          </w:p>
        </w:tc>
        <w:tc>
          <w:tcPr>
            <w:tcW w:w="7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关于迁建烟花爆竹批发储存仓库的申请、2023年下半年计划动工重点项目追加林地定额计划表、项目范围红线图</w:t>
            </w:r>
          </w:p>
        </w:tc>
      </w:tr>
      <w:tr>
        <w:tblPrEx>
          <w:tblCellMar>
            <w:top w:w="0" w:type="dxa"/>
            <w:left w:w="108" w:type="dxa"/>
            <w:bottom w:w="0" w:type="dxa"/>
            <w:right w:w="108" w:type="dxa"/>
          </w:tblCellMar>
        </w:tblPrEx>
        <w:tc>
          <w:tcPr>
            <w:tcW w:w="149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合计</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default"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2.59</w:t>
            </w:r>
          </w:p>
        </w:tc>
        <w:tc>
          <w:tcPr>
            <w:tcW w:w="29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w:t>
            </w:r>
          </w:p>
        </w:tc>
      </w:tr>
    </w:tbl>
    <w:p>
      <w:pPr>
        <w:spacing w:line="400" w:lineRule="exact"/>
        <w:rPr>
          <w:rFonts w:eastAsiaTheme="minorEastAsia"/>
          <w:b/>
          <w:sz w:val="24"/>
        </w:rPr>
      </w:pPr>
    </w:p>
    <w:p>
      <w:pPr>
        <w:spacing w:line="400" w:lineRule="exact"/>
        <w:jc w:val="center"/>
        <w:rPr>
          <w:rFonts w:eastAsiaTheme="minorEastAsia"/>
          <w:b/>
          <w:sz w:val="24"/>
        </w:rPr>
        <w:sectPr>
          <w:pgSz w:w="16838" w:h="11906" w:orient="landscape"/>
          <w:pgMar w:top="1587" w:right="2098" w:bottom="1474" w:left="1984" w:header="851" w:footer="1587" w:gutter="0"/>
          <w:pgNumType w:fmt="decimal"/>
          <w:cols w:space="0" w:num="1"/>
          <w:docGrid w:type="linesAndChars" w:linePitch="589" w:charSpace="1554"/>
        </w:sectPr>
      </w:pPr>
    </w:p>
    <w:p>
      <w:pPr>
        <w:pStyle w:val="7"/>
      </w:pPr>
      <w:r>
        <w:rPr>
          <w:rFonts w:hint="eastAsia"/>
        </w:rPr>
        <w:t>3.2.2.4调出一般生态空间</w:t>
      </w:r>
      <w:r>
        <w:rPr>
          <w:rFonts w:hint="eastAsia"/>
          <w:lang w:eastAsia="zh-CN"/>
        </w:rPr>
        <w:t>区域</w:t>
      </w:r>
      <w:r>
        <w:rPr>
          <w:rFonts w:hint="eastAsia"/>
        </w:rPr>
        <w:t>情况汇总</w:t>
      </w:r>
    </w:p>
    <w:p>
      <w:pPr>
        <w:ind w:firstLine="654" w:firstLineChars="200"/>
      </w:pPr>
      <w:r>
        <w:rPr>
          <w:rFonts w:hint="eastAsia"/>
        </w:rPr>
        <w:t>综合上述衔接成果，此次梅州市“三线一单”动态更新工作拟从一般生态空间调出</w:t>
      </w:r>
      <w:r>
        <w:rPr>
          <w:rFonts w:hint="eastAsia"/>
          <w:lang w:val="en-US" w:eastAsia="zh-CN"/>
        </w:rPr>
        <w:t>44.29</w:t>
      </w:r>
      <w:r>
        <w:rPr>
          <w:rFonts w:hint="eastAsia"/>
        </w:rPr>
        <w:t>km</w:t>
      </w:r>
      <w:r>
        <w:rPr>
          <w:rFonts w:hint="eastAsia"/>
          <w:vertAlign w:val="superscript"/>
        </w:rPr>
        <w:t>2</w:t>
      </w:r>
      <w:r>
        <w:rPr>
          <w:rFonts w:hint="eastAsia"/>
        </w:rPr>
        <w:t>的区域，主要包括城镇开发边界、各类矿山，以及其他一些涉及一般生态空间的重点项目。</w:t>
      </w:r>
    </w:p>
    <w:p>
      <w:pPr>
        <w:pStyle w:val="8"/>
        <w:ind w:left="0" w:leftChars="0" w:firstLine="0" w:firstLineChars="0"/>
        <w:jc w:val="center"/>
      </w:pPr>
      <w:r>
        <w:drawing>
          <wp:inline distT="0" distB="0" distL="114300" distR="114300">
            <wp:extent cx="4157980" cy="4157980"/>
            <wp:effectExtent l="0" t="0" r="13970" b="13970"/>
            <wp:docPr id="43" name="图片 43" descr="C:\Users\lenovo\Desktop\调出.png调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lenovo\Desktop\调出.png调出"/>
                    <pic:cNvPicPr>
                      <a:picLocks noChangeAspect="1"/>
                    </pic:cNvPicPr>
                  </pic:nvPicPr>
                  <pic:blipFill>
                    <a:blip r:embed="rId18"/>
                    <a:srcRect/>
                    <a:stretch>
                      <a:fillRect/>
                    </a:stretch>
                  </pic:blipFill>
                  <pic:spPr>
                    <a:xfrm>
                      <a:off x="0" y="0"/>
                      <a:ext cx="4157980" cy="4157980"/>
                    </a:xfrm>
                    <a:prstGeom prst="rect">
                      <a:avLst/>
                    </a:prstGeom>
                  </pic:spPr>
                </pic:pic>
              </a:graphicData>
            </a:graphic>
          </wp:inline>
        </w:drawing>
      </w:r>
    </w:p>
    <w:p>
      <w:pPr>
        <w:pStyle w:val="10"/>
        <w:jc w:val="center"/>
        <w:rPr>
          <w:rFonts w:eastAsia="仿宋_GB2312"/>
        </w:rPr>
      </w:pPr>
      <w:r>
        <w:t>图</w:t>
      </w:r>
      <w:r>
        <w:rPr>
          <w:rFonts w:hint="eastAsia"/>
        </w:rPr>
        <w:t>3-6梅州市一般生态空间拟调出区域</w:t>
      </w:r>
    </w:p>
    <w:p/>
    <w:p>
      <w:pPr>
        <w:pStyle w:val="7"/>
        <w:sectPr>
          <w:pgSz w:w="11906" w:h="16838"/>
          <w:pgMar w:top="2098" w:right="1474" w:bottom="1984" w:left="1587" w:header="851" w:footer="1587" w:gutter="0"/>
          <w:pgNumType w:fmt="decimal"/>
          <w:cols w:space="0" w:num="1"/>
          <w:docGrid w:type="linesAndChars" w:linePitch="589" w:charSpace="1554"/>
        </w:sectPr>
      </w:pPr>
    </w:p>
    <w:tbl>
      <w:tblPr>
        <w:tblStyle w:val="24"/>
        <w:tblpPr w:leftFromText="180" w:rightFromText="180" w:vertAnchor="text" w:horzAnchor="page" w:tblpX="1978" w:tblpY="56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276"/>
        <w:gridCol w:w="1796"/>
        <w:gridCol w:w="1796"/>
        <w:gridCol w:w="1796"/>
        <w:gridCol w:w="1796"/>
        <w:gridCol w:w="1796"/>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trPr>
        <w:tc>
          <w:tcPr>
            <w:tcW w:w="350" w:type="pct"/>
            <w:vAlign w:val="center"/>
          </w:tcPr>
          <w:p>
            <w:pPr>
              <w:spacing w:line="400" w:lineRule="exact"/>
              <w:jc w:val="center"/>
              <w:rPr>
                <w:rFonts w:ascii="仿宋" w:hAnsi="仿宋" w:cs="仿宋"/>
                <w:b/>
                <w:bCs/>
                <w:sz w:val="22"/>
                <w:szCs w:val="22"/>
              </w:rPr>
            </w:pPr>
            <w:r>
              <w:rPr>
                <w:rFonts w:hint="eastAsia" w:ascii="仿宋" w:hAnsi="仿宋" w:cs="仿宋"/>
                <w:b/>
                <w:bCs/>
                <w:sz w:val="22"/>
                <w:szCs w:val="22"/>
              </w:rPr>
              <w:t>序号</w:t>
            </w:r>
          </w:p>
        </w:tc>
        <w:tc>
          <w:tcPr>
            <w:tcW w:w="491" w:type="pct"/>
            <w:vAlign w:val="center"/>
          </w:tcPr>
          <w:p>
            <w:pPr>
              <w:spacing w:line="400" w:lineRule="exact"/>
              <w:jc w:val="center"/>
              <w:rPr>
                <w:rFonts w:ascii="仿宋" w:hAnsi="仿宋" w:cs="仿宋"/>
                <w:b/>
                <w:bCs/>
                <w:sz w:val="22"/>
                <w:szCs w:val="22"/>
              </w:rPr>
            </w:pPr>
            <w:r>
              <w:rPr>
                <w:rFonts w:hint="eastAsia" w:ascii="仿宋" w:hAnsi="仿宋" w:cs="仿宋"/>
                <w:b/>
                <w:bCs/>
                <w:sz w:val="22"/>
                <w:szCs w:val="22"/>
              </w:rPr>
              <w:t>行政</w:t>
            </w:r>
          </w:p>
          <w:p>
            <w:pPr>
              <w:spacing w:line="400" w:lineRule="exact"/>
              <w:jc w:val="center"/>
              <w:rPr>
                <w:rFonts w:ascii="仿宋" w:hAnsi="仿宋" w:cs="仿宋"/>
                <w:b/>
                <w:bCs/>
                <w:sz w:val="22"/>
                <w:szCs w:val="22"/>
              </w:rPr>
            </w:pPr>
            <w:r>
              <w:rPr>
                <w:rFonts w:hint="eastAsia" w:ascii="仿宋" w:hAnsi="仿宋" w:cs="仿宋"/>
                <w:b/>
                <w:bCs/>
                <w:sz w:val="22"/>
                <w:szCs w:val="22"/>
              </w:rPr>
              <w:t>分区</w:t>
            </w:r>
          </w:p>
        </w:tc>
        <w:tc>
          <w:tcPr>
            <w:tcW w:w="692" w:type="pct"/>
            <w:vAlign w:val="center"/>
          </w:tcPr>
          <w:p>
            <w:pPr>
              <w:spacing w:line="400" w:lineRule="exact"/>
              <w:jc w:val="center"/>
              <w:rPr>
                <w:rFonts w:ascii="仿宋" w:hAnsi="仿宋" w:cs="仿宋"/>
                <w:b/>
                <w:bCs/>
                <w:sz w:val="22"/>
                <w:szCs w:val="22"/>
              </w:rPr>
            </w:pPr>
            <w:r>
              <w:rPr>
                <w:rFonts w:hint="eastAsia" w:ascii="仿宋" w:hAnsi="仿宋" w:cs="仿宋"/>
                <w:b/>
                <w:bCs/>
                <w:sz w:val="22"/>
                <w:szCs w:val="22"/>
              </w:rPr>
              <w:t>一般生态空间更新前面积（km</w:t>
            </w:r>
            <w:r>
              <w:rPr>
                <w:rFonts w:hint="eastAsia" w:ascii="仿宋" w:hAnsi="仿宋" w:cs="仿宋"/>
                <w:b/>
                <w:bCs/>
                <w:sz w:val="22"/>
                <w:szCs w:val="22"/>
                <w:vertAlign w:val="superscript"/>
              </w:rPr>
              <w:t>2</w:t>
            </w:r>
            <w:r>
              <w:rPr>
                <w:rFonts w:hint="eastAsia" w:ascii="仿宋" w:hAnsi="仿宋" w:cs="仿宋"/>
                <w:b/>
                <w:bCs/>
                <w:sz w:val="22"/>
                <w:szCs w:val="22"/>
              </w:rPr>
              <w:t>）</w:t>
            </w:r>
          </w:p>
        </w:tc>
        <w:tc>
          <w:tcPr>
            <w:tcW w:w="692" w:type="pct"/>
            <w:vAlign w:val="center"/>
          </w:tcPr>
          <w:p>
            <w:pPr>
              <w:spacing w:line="400" w:lineRule="exact"/>
              <w:jc w:val="center"/>
              <w:rPr>
                <w:rFonts w:hint="eastAsia" w:ascii="仿宋" w:hAnsi="仿宋" w:cs="仿宋"/>
                <w:b/>
                <w:bCs/>
                <w:sz w:val="22"/>
                <w:szCs w:val="22"/>
              </w:rPr>
            </w:pPr>
            <w:r>
              <w:rPr>
                <w:rFonts w:hint="eastAsia" w:ascii="仿宋" w:hAnsi="仿宋" w:cs="仿宋"/>
                <w:b/>
                <w:bCs/>
                <w:sz w:val="22"/>
                <w:szCs w:val="22"/>
              </w:rPr>
              <w:t>衔接城镇</w:t>
            </w:r>
          </w:p>
          <w:p>
            <w:pPr>
              <w:spacing w:line="400" w:lineRule="exact"/>
              <w:jc w:val="center"/>
              <w:rPr>
                <w:rFonts w:hint="eastAsia" w:ascii="仿宋" w:hAnsi="仿宋" w:cs="仿宋"/>
                <w:b/>
                <w:bCs/>
                <w:sz w:val="22"/>
                <w:szCs w:val="22"/>
              </w:rPr>
            </w:pPr>
            <w:r>
              <w:rPr>
                <w:rFonts w:hint="eastAsia" w:ascii="仿宋" w:hAnsi="仿宋" w:cs="仿宋"/>
                <w:b/>
                <w:bCs/>
                <w:sz w:val="22"/>
                <w:szCs w:val="22"/>
              </w:rPr>
              <w:t>开发边界</w:t>
            </w:r>
          </w:p>
          <w:p>
            <w:pPr>
              <w:spacing w:line="400" w:lineRule="exact"/>
              <w:jc w:val="center"/>
              <w:rPr>
                <w:rFonts w:ascii="仿宋" w:hAnsi="仿宋" w:cs="仿宋"/>
                <w:b/>
                <w:bCs/>
                <w:sz w:val="22"/>
                <w:szCs w:val="22"/>
              </w:rPr>
            </w:pPr>
            <w:r>
              <w:rPr>
                <w:rFonts w:hint="eastAsia" w:ascii="仿宋" w:hAnsi="仿宋" w:cs="仿宋"/>
                <w:b/>
                <w:bCs/>
                <w:sz w:val="22"/>
                <w:szCs w:val="22"/>
              </w:rPr>
              <w:t>（km</w:t>
            </w:r>
            <w:r>
              <w:rPr>
                <w:rFonts w:hint="eastAsia" w:ascii="仿宋" w:hAnsi="仿宋" w:cs="仿宋"/>
                <w:b/>
                <w:bCs/>
                <w:sz w:val="22"/>
                <w:szCs w:val="22"/>
                <w:vertAlign w:val="superscript"/>
              </w:rPr>
              <w:t>2</w:t>
            </w:r>
            <w:r>
              <w:rPr>
                <w:rFonts w:hint="eastAsia" w:ascii="仿宋" w:hAnsi="仿宋" w:cs="仿宋"/>
                <w:b/>
                <w:bCs/>
                <w:sz w:val="22"/>
                <w:szCs w:val="22"/>
              </w:rPr>
              <w:t>）</w:t>
            </w:r>
          </w:p>
        </w:tc>
        <w:tc>
          <w:tcPr>
            <w:tcW w:w="692" w:type="pct"/>
            <w:vAlign w:val="center"/>
          </w:tcPr>
          <w:p>
            <w:pPr>
              <w:spacing w:line="400" w:lineRule="exact"/>
              <w:jc w:val="center"/>
              <w:rPr>
                <w:rFonts w:hint="eastAsia" w:ascii="仿宋" w:hAnsi="仿宋" w:cs="仿宋"/>
                <w:b/>
                <w:bCs/>
                <w:sz w:val="22"/>
                <w:szCs w:val="22"/>
              </w:rPr>
            </w:pPr>
            <w:r>
              <w:rPr>
                <w:rFonts w:hint="eastAsia" w:ascii="仿宋" w:hAnsi="仿宋" w:cs="仿宋"/>
                <w:b/>
                <w:bCs/>
                <w:sz w:val="22"/>
                <w:szCs w:val="22"/>
              </w:rPr>
              <w:t>衔接规划</w:t>
            </w:r>
          </w:p>
          <w:p>
            <w:pPr>
              <w:spacing w:line="400" w:lineRule="exact"/>
              <w:jc w:val="center"/>
              <w:rPr>
                <w:rFonts w:hint="eastAsia" w:ascii="仿宋" w:hAnsi="仿宋" w:cs="仿宋"/>
                <w:b/>
                <w:bCs/>
                <w:sz w:val="22"/>
                <w:szCs w:val="22"/>
              </w:rPr>
            </w:pPr>
            <w:r>
              <w:rPr>
                <w:rFonts w:hint="eastAsia" w:ascii="仿宋" w:hAnsi="仿宋" w:cs="仿宋"/>
                <w:b/>
                <w:bCs/>
                <w:sz w:val="22"/>
                <w:szCs w:val="22"/>
              </w:rPr>
              <w:t>开采区</w:t>
            </w:r>
          </w:p>
          <w:p>
            <w:pPr>
              <w:spacing w:line="400" w:lineRule="exact"/>
              <w:jc w:val="center"/>
              <w:rPr>
                <w:rFonts w:ascii="仿宋" w:hAnsi="仿宋" w:cs="仿宋"/>
                <w:b/>
                <w:bCs/>
                <w:sz w:val="22"/>
                <w:szCs w:val="22"/>
              </w:rPr>
            </w:pPr>
            <w:r>
              <w:rPr>
                <w:rFonts w:hint="eastAsia" w:ascii="仿宋" w:hAnsi="仿宋" w:cs="仿宋"/>
                <w:b/>
                <w:bCs/>
                <w:sz w:val="22"/>
                <w:szCs w:val="22"/>
              </w:rPr>
              <w:t>（km</w:t>
            </w:r>
            <w:r>
              <w:rPr>
                <w:rFonts w:hint="eastAsia" w:ascii="仿宋" w:hAnsi="仿宋" w:cs="仿宋"/>
                <w:b/>
                <w:bCs/>
                <w:sz w:val="22"/>
                <w:szCs w:val="22"/>
                <w:vertAlign w:val="superscript"/>
              </w:rPr>
              <w:t>2</w:t>
            </w:r>
            <w:r>
              <w:rPr>
                <w:rFonts w:hint="eastAsia" w:ascii="仿宋" w:hAnsi="仿宋" w:cs="仿宋"/>
                <w:b/>
                <w:bCs/>
                <w:sz w:val="22"/>
                <w:szCs w:val="22"/>
              </w:rPr>
              <w:t>）</w:t>
            </w:r>
          </w:p>
        </w:tc>
        <w:tc>
          <w:tcPr>
            <w:tcW w:w="692" w:type="pct"/>
            <w:vAlign w:val="center"/>
          </w:tcPr>
          <w:p>
            <w:pPr>
              <w:spacing w:line="400" w:lineRule="exact"/>
              <w:jc w:val="center"/>
              <w:rPr>
                <w:rFonts w:ascii="仿宋" w:hAnsi="仿宋" w:cs="仿宋"/>
                <w:b/>
                <w:bCs/>
                <w:sz w:val="22"/>
                <w:szCs w:val="22"/>
              </w:rPr>
            </w:pPr>
            <w:r>
              <w:rPr>
                <w:rFonts w:hint="eastAsia" w:ascii="仿宋" w:hAnsi="仿宋" w:cs="仿宋"/>
                <w:b/>
                <w:bCs/>
                <w:sz w:val="22"/>
                <w:szCs w:val="22"/>
              </w:rPr>
              <w:t>衔接其他</w:t>
            </w:r>
          </w:p>
          <w:p>
            <w:pPr>
              <w:spacing w:line="400" w:lineRule="exact"/>
              <w:jc w:val="center"/>
              <w:rPr>
                <w:rFonts w:ascii="仿宋" w:hAnsi="仿宋" w:cs="仿宋"/>
                <w:b/>
                <w:bCs/>
                <w:sz w:val="22"/>
                <w:szCs w:val="22"/>
              </w:rPr>
            </w:pPr>
            <w:r>
              <w:rPr>
                <w:rFonts w:hint="eastAsia" w:ascii="仿宋" w:hAnsi="仿宋" w:cs="仿宋"/>
                <w:b/>
                <w:bCs/>
                <w:sz w:val="22"/>
                <w:szCs w:val="22"/>
              </w:rPr>
              <w:t>重点项目</w:t>
            </w:r>
          </w:p>
          <w:p>
            <w:pPr>
              <w:spacing w:line="400" w:lineRule="exact"/>
              <w:jc w:val="center"/>
              <w:rPr>
                <w:rFonts w:ascii="仿宋" w:hAnsi="仿宋" w:cs="仿宋"/>
                <w:b/>
                <w:bCs/>
                <w:sz w:val="22"/>
                <w:szCs w:val="22"/>
              </w:rPr>
            </w:pPr>
            <w:r>
              <w:rPr>
                <w:rFonts w:hint="eastAsia" w:ascii="仿宋" w:hAnsi="仿宋" w:cs="仿宋"/>
                <w:b/>
                <w:bCs/>
                <w:sz w:val="22"/>
                <w:szCs w:val="22"/>
              </w:rPr>
              <w:t>（km</w:t>
            </w:r>
            <w:r>
              <w:rPr>
                <w:rFonts w:hint="eastAsia" w:ascii="仿宋" w:hAnsi="仿宋" w:cs="仿宋"/>
                <w:b/>
                <w:bCs/>
                <w:sz w:val="22"/>
                <w:szCs w:val="22"/>
                <w:vertAlign w:val="superscript"/>
              </w:rPr>
              <w:t>2</w:t>
            </w:r>
            <w:r>
              <w:rPr>
                <w:rFonts w:hint="eastAsia" w:ascii="仿宋" w:hAnsi="仿宋" w:cs="仿宋"/>
                <w:b/>
                <w:bCs/>
                <w:sz w:val="22"/>
                <w:szCs w:val="22"/>
              </w:rPr>
              <w:t>）</w:t>
            </w:r>
          </w:p>
        </w:tc>
        <w:tc>
          <w:tcPr>
            <w:tcW w:w="692" w:type="pct"/>
            <w:vAlign w:val="center"/>
          </w:tcPr>
          <w:p>
            <w:pPr>
              <w:spacing w:line="400" w:lineRule="exact"/>
              <w:jc w:val="center"/>
              <w:rPr>
                <w:rFonts w:ascii="仿宋" w:hAnsi="仿宋" w:cs="仿宋"/>
                <w:b/>
                <w:bCs/>
                <w:sz w:val="22"/>
                <w:szCs w:val="22"/>
              </w:rPr>
            </w:pPr>
            <w:r>
              <w:rPr>
                <w:rFonts w:hint="eastAsia" w:ascii="仿宋" w:hAnsi="仿宋" w:cs="仿宋"/>
                <w:b/>
                <w:bCs/>
                <w:sz w:val="22"/>
                <w:szCs w:val="22"/>
              </w:rPr>
              <w:t>总调出面积</w:t>
            </w:r>
          </w:p>
          <w:p>
            <w:pPr>
              <w:spacing w:line="400" w:lineRule="exact"/>
              <w:jc w:val="center"/>
              <w:rPr>
                <w:rFonts w:ascii="仿宋" w:hAnsi="仿宋" w:cs="仿宋"/>
                <w:b/>
                <w:bCs/>
                <w:sz w:val="22"/>
                <w:szCs w:val="22"/>
              </w:rPr>
            </w:pPr>
            <w:r>
              <w:rPr>
                <w:rFonts w:hint="eastAsia" w:ascii="仿宋" w:hAnsi="仿宋" w:cs="仿宋"/>
                <w:b/>
                <w:bCs/>
                <w:sz w:val="22"/>
                <w:szCs w:val="22"/>
              </w:rPr>
              <w:t>（去重叠）</w:t>
            </w:r>
          </w:p>
          <w:p>
            <w:pPr>
              <w:spacing w:line="400" w:lineRule="exact"/>
              <w:jc w:val="center"/>
              <w:rPr>
                <w:rFonts w:ascii="仿宋" w:hAnsi="仿宋" w:cs="仿宋"/>
                <w:sz w:val="22"/>
                <w:szCs w:val="22"/>
              </w:rPr>
            </w:pPr>
            <w:r>
              <w:rPr>
                <w:rFonts w:hint="eastAsia" w:ascii="仿宋" w:hAnsi="仿宋" w:cs="仿宋"/>
                <w:b/>
                <w:bCs/>
                <w:sz w:val="22"/>
                <w:szCs w:val="22"/>
              </w:rPr>
              <w:t>（km</w:t>
            </w:r>
            <w:r>
              <w:rPr>
                <w:rFonts w:hint="eastAsia" w:ascii="仿宋" w:hAnsi="仿宋" w:cs="仿宋"/>
                <w:b/>
                <w:bCs/>
                <w:sz w:val="22"/>
                <w:szCs w:val="22"/>
                <w:vertAlign w:val="superscript"/>
              </w:rPr>
              <w:t>2</w:t>
            </w:r>
            <w:r>
              <w:rPr>
                <w:rFonts w:hint="eastAsia" w:ascii="仿宋" w:hAnsi="仿宋" w:cs="仿宋"/>
                <w:b/>
                <w:bCs/>
                <w:sz w:val="22"/>
                <w:szCs w:val="22"/>
              </w:rPr>
              <w:t>）</w:t>
            </w:r>
          </w:p>
        </w:tc>
        <w:tc>
          <w:tcPr>
            <w:tcW w:w="695" w:type="pct"/>
            <w:vAlign w:val="center"/>
          </w:tcPr>
          <w:p>
            <w:pPr>
              <w:spacing w:line="400" w:lineRule="exact"/>
              <w:jc w:val="center"/>
              <w:rPr>
                <w:rFonts w:hint="eastAsia" w:ascii="仿宋" w:hAnsi="仿宋" w:cs="仿宋"/>
                <w:b/>
                <w:bCs/>
                <w:sz w:val="22"/>
                <w:szCs w:val="22"/>
              </w:rPr>
            </w:pPr>
            <w:r>
              <w:rPr>
                <w:rFonts w:hint="eastAsia" w:ascii="仿宋" w:hAnsi="仿宋" w:cs="仿宋"/>
                <w:b/>
                <w:bCs/>
                <w:sz w:val="22"/>
                <w:szCs w:val="22"/>
                <w:lang w:eastAsia="zh-CN"/>
              </w:rPr>
              <w:t>剩余</w:t>
            </w:r>
            <w:r>
              <w:rPr>
                <w:rFonts w:hint="eastAsia" w:ascii="仿宋" w:hAnsi="仿宋" w:cs="仿宋"/>
                <w:b/>
                <w:bCs/>
                <w:sz w:val="22"/>
                <w:szCs w:val="22"/>
              </w:rPr>
              <w:t>一般</w:t>
            </w:r>
          </w:p>
          <w:p>
            <w:pPr>
              <w:spacing w:line="400" w:lineRule="exact"/>
              <w:jc w:val="center"/>
              <w:rPr>
                <w:rFonts w:ascii="仿宋" w:hAnsi="仿宋" w:cs="仿宋"/>
                <w:b/>
                <w:bCs/>
                <w:sz w:val="22"/>
                <w:szCs w:val="22"/>
              </w:rPr>
            </w:pPr>
            <w:r>
              <w:rPr>
                <w:rFonts w:hint="eastAsia" w:ascii="仿宋" w:hAnsi="仿宋" w:cs="仿宋"/>
                <w:b/>
                <w:bCs/>
                <w:sz w:val="22"/>
                <w:szCs w:val="22"/>
              </w:rPr>
              <w:t>生态空间</w:t>
            </w:r>
          </w:p>
          <w:p>
            <w:pPr>
              <w:spacing w:line="400" w:lineRule="exact"/>
              <w:jc w:val="center"/>
              <w:rPr>
                <w:rFonts w:hint="eastAsia" w:ascii="仿宋" w:hAnsi="仿宋" w:cs="仿宋"/>
                <w:b/>
                <w:bCs/>
                <w:sz w:val="22"/>
                <w:szCs w:val="22"/>
              </w:rPr>
            </w:pPr>
            <w:r>
              <w:rPr>
                <w:rFonts w:hint="eastAsia" w:ascii="仿宋" w:hAnsi="仿宋" w:cs="仿宋"/>
                <w:b/>
                <w:bCs/>
                <w:sz w:val="22"/>
                <w:szCs w:val="22"/>
              </w:rPr>
              <w:t>面积</w:t>
            </w:r>
          </w:p>
          <w:p>
            <w:pPr>
              <w:spacing w:line="400" w:lineRule="exact"/>
              <w:jc w:val="center"/>
              <w:rPr>
                <w:rFonts w:ascii="仿宋" w:hAnsi="仿宋" w:cs="仿宋"/>
                <w:b/>
                <w:bCs/>
                <w:sz w:val="22"/>
                <w:szCs w:val="22"/>
              </w:rPr>
            </w:pPr>
            <w:r>
              <w:rPr>
                <w:rFonts w:hint="eastAsia" w:ascii="仿宋" w:hAnsi="仿宋" w:cs="仿宋"/>
                <w:b/>
                <w:bCs/>
                <w:sz w:val="22"/>
                <w:szCs w:val="22"/>
              </w:rPr>
              <w:t>（km</w:t>
            </w:r>
            <w:r>
              <w:rPr>
                <w:rFonts w:hint="eastAsia" w:ascii="仿宋" w:hAnsi="仿宋" w:cs="仿宋"/>
                <w:b/>
                <w:bCs/>
                <w:sz w:val="22"/>
                <w:szCs w:val="22"/>
                <w:vertAlign w:val="superscript"/>
              </w:rPr>
              <w:t>2</w:t>
            </w:r>
            <w:r>
              <w:rPr>
                <w:rFonts w:hint="eastAsia" w:ascii="仿宋" w:hAnsi="仿宋" w:cs="仿宋"/>
                <w:b/>
                <w:bCs/>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pPr>
              <w:spacing w:line="400" w:lineRule="exact"/>
              <w:jc w:val="center"/>
              <w:rPr>
                <w:rFonts w:ascii="仿宋" w:hAnsi="仿宋" w:cs="仿宋"/>
                <w:sz w:val="22"/>
                <w:szCs w:val="22"/>
              </w:rPr>
            </w:pPr>
            <w:r>
              <w:rPr>
                <w:rFonts w:hint="eastAsia" w:ascii="仿宋" w:hAnsi="仿宋" w:cs="仿宋"/>
                <w:sz w:val="22"/>
                <w:szCs w:val="22"/>
              </w:rPr>
              <w:t>1</w:t>
            </w:r>
          </w:p>
        </w:tc>
        <w:tc>
          <w:tcPr>
            <w:tcW w:w="491" w:type="pct"/>
            <w:vAlign w:val="center"/>
          </w:tcPr>
          <w:p>
            <w:pPr>
              <w:spacing w:line="400" w:lineRule="exact"/>
              <w:jc w:val="center"/>
              <w:rPr>
                <w:rFonts w:ascii="仿宋" w:hAnsi="仿宋" w:cs="仿宋"/>
                <w:sz w:val="22"/>
                <w:szCs w:val="22"/>
              </w:rPr>
            </w:pPr>
            <w:r>
              <w:rPr>
                <w:rFonts w:hint="eastAsia" w:ascii="仿宋" w:hAnsi="仿宋" w:cs="仿宋"/>
                <w:sz w:val="22"/>
                <w:szCs w:val="22"/>
              </w:rPr>
              <w:t>梅江区</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w:t>
            </w:r>
          </w:p>
        </w:tc>
        <w:tc>
          <w:tcPr>
            <w:tcW w:w="695" w:type="pct"/>
            <w:vAlign w:val="center"/>
          </w:tcPr>
          <w:p>
            <w:pPr>
              <w:spacing w:line="400" w:lineRule="exact"/>
              <w:jc w:val="center"/>
              <w:rPr>
                <w:rFonts w:hint="eastAsia" w:ascii="仿宋" w:hAnsi="仿宋" w:eastAsia="仿宋" w:cs="仿宋"/>
                <w:kern w:val="2"/>
                <w:sz w:val="22"/>
                <w:szCs w:val="22"/>
                <w:lang w:val="en-US" w:eastAsia="zh-CN" w:bidi="ar-SA"/>
              </w:rPr>
            </w:pPr>
            <w:r>
              <w:rPr>
                <w:rFonts w:hint="eastAsia" w:ascii="仿宋" w:hAnsi="仿宋" w:cs="仿宋"/>
                <w:sz w:val="22"/>
                <w:szCs w:val="22"/>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pPr>
              <w:spacing w:line="400" w:lineRule="exact"/>
              <w:jc w:val="center"/>
              <w:rPr>
                <w:rFonts w:ascii="仿宋" w:hAnsi="仿宋" w:cs="仿宋"/>
                <w:sz w:val="22"/>
                <w:szCs w:val="22"/>
              </w:rPr>
            </w:pPr>
            <w:r>
              <w:rPr>
                <w:rFonts w:hint="eastAsia" w:ascii="仿宋" w:hAnsi="仿宋" w:cs="仿宋"/>
                <w:sz w:val="22"/>
                <w:szCs w:val="22"/>
              </w:rPr>
              <w:t>2</w:t>
            </w:r>
          </w:p>
        </w:tc>
        <w:tc>
          <w:tcPr>
            <w:tcW w:w="491" w:type="pct"/>
            <w:vAlign w:val="center"/>
          </w:tcPr>
          <w:p>
            <w:pPr>
              <w:spacing w:line="400" w:lineRule="exact"/>
              <w:jc w:val="center"/>
              <w:rPr>
                <w:rFonts w:ascii="仿宋" w:hAnsi="仿宋" w:cs="仿宋"/>
                <w:sz w:val="22"/>
                <w:szCs w:val="22"/>
              </w:rPr>
            </w:pPr>
            <w:r>
              <w:rPr>
                <w:rFonts w:hint="eastAsia" w:ascii="仿宋" w:hAnsi="仿宋" w:cs="仿宋"/>
                <w:sz w:val="22"/>
                <w:szCs w:val="22"/>
              </w:rPr>
              <w:t>梅县区</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542.62</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0.02</w:t>
            </w:r>
          </w:p>
        </w:tc>
        <w:tc>
          <w:tcPr>
            <w:tcW w:w="692" w:type="pct"/>
            <w:vAlign w:val="center"/>
          </w:tcPr>
          <w:p>
            <w:pPr>
              <w:spacing w:line="400" w:lineRule="exact"/>
              <w:jc w:val="center"/>
              <w:rPr>
                <w:rFonts w:hint="default" w:ascii="仿宋" w:hAnsi="仿宋" w:eastAsia="仿宋" w:cs="仿宋"/>
                <w:sz w:val="22"/>
                <w:szCs w:val="22"/>
                <w:lang w:val="en-US" w:eastAsia="zh-CN"/>
              </w:rPr>
            </w:pPr>
            <w:r>
              <w:rPr>
                <w:rFonts w:hint="eastAsia" w:ascii="仿宋" w:hAnsi="仿宋" w:cs="仿宋"/>
                <w:sz w:val="22"/>
                <w:szCs w:val="22"/>
              </w:rPr>
              <w:t>5.</w:t>
            </w:r>
            <w:r>
              <w:rPr>
                <w:rFonts w:hint="eastAsia" w:ascii="仿宋" w:hAnsi="仿宋" w:cs="仿宋"/>
                <w:sz w:val="22"/>
                <w:szCs w:val="22"/>
                <w:lang w:val="en-US" w:eastAsia="zh-CN"/>
              </w:rPr>
              <w:t>70</w:t>
            </w:r>
          </w:p>
        </w:tc>
        <w:tc>
          <w:tcPr>
            <w:tcW w:w="692" w:type="pct"/>
            <w:vAlign w:val="center"/>
          </w:tcPr>
          <w:p>
            <w:pPr>
              <w:spacing w:line="400" w:lineRule="exact"/>
              <w:jc w:val="center"/>
              <w:rPr>
                <w:rFonts w:hint="default" w:ascii="仿宋" w:hAnsi="仿宋" w:eastAsia="仿宋" w:cs="仿宋"/>
                <w:sz w:val="22"/>
                <w:szCs w:val="22"/>
                <w:lang w:val="en-US" w:eastAsia="zh-CN"/>
              </w:rPr>
            </w:pPr>
            <w:r>
              <w:rPr>
                <w:rFonts w:hint="eastAsia" w:ascii="仿宋" w:hAnsi="仿宋" w:cs="仿宋"/>
                <w:sz w:val="22"/>
                <w:szCs w:val="22"/>
                <w:lang w:val="en-US" w:eastAsia="zh-CN"/>
              </w:rPr>
              <w:t>0.004</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5.72</w:t>
            </w:r>
          </w:p>
        </w:tc>
        <w:tc>
          <w:tcPr>
            <w:tcW w:w="695" w:type="pct"/>
            <w:vAlign w:val="center"/>
          </w:tcPr>
          <w:p>
            <w:pPr>
              <w:spacing w:line="400" w:lineRule="exact"/>
              <w:jc w:val="center"/>
              <w:rPr>
                <w:rFonts w:hint="default" w:ascii="仿宋" w:hAnsi="仿宋" w:cs="仿宋"/>
                <w:sz w:val="22"/>
                <w:szCs w:val="22"/>
                <w:lang w:val="en-US"/>
              </w:rPr>
            </w:pPr>
            <w:r>
              <w:rPr>
                <w:rFonts w:hint="eastAsia" w:ascii="仿宋" w:hAnsi="仿宋" w:cs="仿宋"/>
                <w:sz w:val="22"/>
                <w:szCs w:val="22"/>
                <w:lang w:val="en-US" w:eastAsia="zh-CN"/>
              </w:rPr>
              <w:t>536.90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pPr>
              <w:spacing w:line="400" w:lineRule="exact"/>
              <w:jc w:val="center"/>
              <w:rPr>
                <w:rFonts w:ascii="仿宋" w:hAnsi="仿宋" w:cs="仿宋"/>
                <w:sz w:val="22"/>
                <w:szCs w:val="22"/>
              </w:rPr>
            </w:pPr>
            <w:r>
              <w:rPr>
                <w:rFonts w:hint="eastAsia" w:ascii="仿宋" w:hAnsi="仿宋" w:cs="仿宋"/>
                <w:sz w:val="22"/>
                <w:szCs w:val="22"/>
              </w:rPr>
              <w:t>3</w:t>
            </w:r>
          </w:p>
        </w:tc>
        <w:tc>
          <w:tcPr>
            <w:tcW w:w="491" w:type="pct"/>
            <w:vAlign w:val="center"/>
          </w:tcPr>
          <w:p>
            <w:pPr>
              <w:spacing w:line="400" w:lineRule="exact"/>
              <w:jc w:val="center"/>
              <w:rPr>
                <w:rFonts w:ascii="仿宋" w:hAnsi="仿宋" w:cs="仿宋"/>
                <w:sz w:val="22"/>
                <w:szCs w:val="22"/>
              </w:rPr>
            </w:pPr>
            <w:r>
              <w:rPr>
                <w:rFonts w:hint="eastAsia" w:ascii="仿宋" w:hAnsi="仿宋" w:cs="仿宋"/>
                <w:sz w:val="22"/>
                <w:szCs w:val="22"/>
              </w:rPr>
              <w:t>兴宁市</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126.46</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0.56</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0.56</w:t>
            </w:r>
          </w:p>
        </w:tc>
        <w:tc>
          <w:tcPr>
            <w:tcW w:w="695" w:type="pct"/>
            <w:vAlign w:val="center"/>
          </w:tcPr>
          <w:p>
            <w:pPr>
              <w:spacing w:line="400" w:lineRule="exact"/>
              <w:jc w:val="center"/>
              <w:rPr>
                <w:rFonts w:hint="default" w:ascii="仿宋" w:hAnsi="仿宋" w:cs="仿宋"/>
                <w:sz w:val="22"/>
                <w:szCs w:val="22"/>
                <w:lang w:val="en-US"/>
              </w:rPr>
            </w:pPr>
            <w:r>
              <w:rPr>
                <w:rFonts w:hint="eastAsia" w:ascii="仿宋" w:hAnsi="仿宋" w:cs="仿宋"/>
                <w:sz w:val="22"/>
                <w:szCs w:val="22"/>
                <w:lang w:val="en-US" w:eastAsia="zh-CN"/>
              </w:rPr>
              <w:t>125.90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pPr>
              <w:spacing w:line="400" w:lineRule="exact"/>
              <w:jc w:val="center"/>
              <w:rPr>
                <w:rFonts w:ascii="仿宋" w:hAnsi="仿宋" w:cs="仿宋"/>
                <w:sz w:val="22"/>
                <w:szCs w:val="22"/>
              </w:rPr>
            </w:pPr>
            <w:r>
              <w:rPr>
                <w:rFonts w:hint="eastAsia" w:ascii="仿宋" w:hAnsi="仿宋" w:cs="仿宋"/>
                <w:sz w:val="22"/>
                <w:szCs w:val="22"/>
              </w:rPr>
              <w:t>4</w:t>
            </w:r>
          </w:p>
        </w:tc>
        <w:tc>
          <w:tcPr>
            <w:tcW w:w="491" w:type="pct"/>
            <w:vAlign w:val="center"/>
          </w:tcPr>
          <w:p>
            <w:pPr>
              <w:spacing w:line="400" w:lineRule="exact"/>
              <w:jc w:val="center"/>
              <w:rPr>
                <w:rFonts w:ascii="仿宋" w:hAnsi="仿宋" w:cs="仿宋"/>
                <w:sz w:val="22"/>
                <w:szCs w:val="22"/>
              </w:rPr>
            </w:pPr>
            <w:r>
              <w:rPr>
                <w:rFonts w:hint="eastAsia" w:ascii="仿宋" w:hAnsi="仿宋" w:cs="仿宋"/>
                <w:sz w:val="22"/>
                <w:szCs w:val="22"/>
              </w:rPr>
              <w:t>平远县</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90.27</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0.00007</w:t>
            </w:r>
          </w:p>
        </w:tc>
        <w:tc>
          <w:tcPr>
            <w:tcW w:w="692" w:type="pct"/>
            <w:vAlign w:val="center"/>
          </w:tcPr>
          <w:p>
            <w:pPr>
              <w:spacing w:line="400" w:lineRule="exact"/>
              <w:jc w:val="center"/>
              <w:rPr>
                <w:rFonts w:hint="eastAsia" w:ascii="仿宋" w:hAnsi="仿宋" w:eastAsia="仿宋" w:cs="仿宋"/>
                <w:sz w:val="22"/>
                <w:szCs w:val="22"/>
                <w:lang w:eastAsia="zh-CN"/>
              </w:rPr>
            </w:pPr>
            <w:r>
              <w:rPr>
                <w:rFonts w:hint="eastAsia" w:ascii="仿宋" w:hAnsi="仿宋" w:cs="仿宋"/>
                <w:sz w:val="22"/>
                <w:szCs w:val="22"/>
              </w:rPr>
              <w:t>4.0</w:t>
            </w:r>
            <w:r>
              <w:rPr>
                <w:rFonts w:hint="eastAsia" w:ascii="仿宋" w:hAnsi="仿宋" w:cs="仿宋"/>
                <w:sz w:val="22"/>
                <w:szCs w:val="22"/>
                <w:lang w:val="en-US" w:eastAsia="zh-CN"/>
              </w:rPr>
              <w:t>9</w:t>
            </w:r>
          </w:p>
        </w:tc>
        <w:tc>
          <w:tcPr>
            <w:tcW w:w="692" w:type="pct"/>
            <w:vAlign w:val="center"/>
          </w:tcPr>
          <w:p>
            <w:pPr>
              <w:spacing w:line="400" w:lineRule="exact"/>
              <w:jc w:val="center"/>
              <w:rPr>
                <w:rFonts w:hint="default" w:ascii="仿宋" w:hAnsi="仿宋" w:eastAsia="仿宋" w:cs="仿宋"/>
                <w:sz w:val="22"/>
                <w:szCs w:val="22"/>
                <w:lang w:val="en-US" w:eastAsia="zh-CN"/>
              </w:rPr>
            </w:pPr>
            <w:r>
              <w:rPr>
                <w:rFonts w:hint="eastAsia" w:ascii="仿宋" w:hAnsi="仿宋" w:cs="仿宋"/>
                <w:sz w:val="22"/>
                <w:szCs w:val="22"/>
                <w:lang w:val="en-US" w:eastAsia="zh-CN"/>
              </w:rPr>
              <w:t>0.0003</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4.09</w:t>
            </w:r>
          </w:p>
        </w:tc>
        <w:tc>
          <w:tcPr>
            <w:tcW w:w="695" w:type="pct"/>
            <w:vAlign w:val="center"/>
          </w:tcPr>
          <w:p>
            <w:pPr>
              <w:spacing w:line="400" w:lineRule="exact"/>
              <w:jc w:val="center"/>
              <w:rPr>
                <w:rFonts w:hint="eastAsia" w:ascii="仿宋" w:hAnsi="仿宋" w:cs="仿宋"/>
                <w:sz w:val="22"/>
                <w:szCs w:val="22"/>
              </w:rPr>
            </w:pPr>
            <w:r>
              <w:rPr>
                <w:rFonts w:hint="eastAsia" w:ascii="仿宋" w:hAnsi="仿宋" w:cs="仿宋"/>
                <w:sz w:val="22"/>
                <w:szCs w:val="22"/>
                <w:lang w:val="en-US" w:eastAsia="zh-CN"/>
              </w:rPr>
              <w:t>86.18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pPr>
              <w:spacing w:line="400" w:lineRule="exact"/>
              <w:jc w:val="center"/>
              <w:rPr>
                <w:rFonts w:ascii="仿宋" w:hAnsi="仿宋" w:cs="仿宋"/>
                <w:sz w:val="22"/>
                <w:szCs w:val="22"/>
              </w:rPr>
            </w:pPr>
            <w:r>
              <w:rPr>
                <w:rFonts w:hint="eastAsia" w:ascii="仿宋" w:hAnsi="仿宋" w:cs="仿宋"/>
                <w:sz w:val="22"/>
                <w:szCs w:val="22"/>
              </w:rPr>
              <w:t>5</w:t>
            </w:r>
          </w:p>
        </w:tc>
        <w:tc>
          <w:tcPr>
            <w:tcW w:w="491" w:type="pct"/>
            <w:vAlign w:val="center"/>
          </w:tcPr>
          <w:p>
            <w:pPr>
              <w:spacing w:line="400" w:lineRule="exact"/>
              <w:jc w:val="center"/>
              <w:rPr>
                <w:rFonts w:ascii="仿宋" w:hAnsi="仿宋" w:cs="仿宋"/>
                <w:sz w:val="22"/>
                <w:szCs w:val="22"/>
              </w:rPr>
            </w:pPr>
            <w:r>
              <w:rPr>
                <w:rFonts w:hint="eastAsia" w:ascii="仿宋" w:hAnsi="仿宋" w:cs="仿宋"/>
                <w:sz w:val="22"/>
                <w:szCs w:val="22"/>
              </w:rPr>
              <w:t>蕉岭县</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180.78</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w:t>
            </w:r>
          </w:p>
        </w:tc>
        <w:tc>
          <w:tcPr>
            <w:tcW w:w="692" w:type="pct"/>
            <w:vAlign w:val="center"/>
          </w:tcPr>
          <w:p>
            <w:pPr>
              <w:spacing w:line="400" w:lineRule="exact"/>
              <w:jc w:val="center"/>
              <w:rPr>
                <w:rFonts w:hint="eastAsia" w:ascii="仿宋" w:hAnsi="仿宋" w:eastAsia="仿宋" w:cs="仿宋"/>
                <w:sz w:val="22"/>
                <w:szCs w:val="22"/>
                <w:lang w:eastAsia="zh-CN"/>
              </w:rPr>
            </w:pPr>
            <w:r>
              <w:rPr>
                <w:rFonts w:hint="eastAsia" w:ascii="仿宋" w:hAnsi="仿宋" w:cs="仿宋"/>
                <w:sz w:val="22"/>
                <w:szCs w:val="22"/>
              </w:rPr>
              <w:t>7.5</w:t>
            </w:r>
            <w:r>
              <w:rPr>
                <w:rFonts w:hint="eastAsia" w:ascii="仿宋" w:hAnsi="仿宋" w:cs="仿宋"/>
                <w:sz w:val="22"/>
                <w:szCs w:val="22"/>
                <w:lang w:val="en-US" w:eastAsia="zh-CN"/>
              </w:rPr>
              <w:t>0</w:t>
            </w:r>
          </w:p>
        </w:tc>
        <w:tc>
          <w:tcPr>
            <w:tcW w:w="692" w:type="pct"/>
            <w:vAlign w:val="center"/>
          </w:tcPr>
          <w:p>
            <w:pPr>
              <w:spacing w:line="400" w:lineRule="exact"/>
              <w:jc w:val="center"/>
              <w:rPr>
                <w:rFonts w:hint="default" w:ascii="仿宋" w:hAnsi="仿宋" w:eastAsia="仿宋" w:cs="仿宋"/>
                <w:sz w:val="22"/>
                <w:szCs w:val="22"/>
                <w:lang w:val="en-US" w:eastAsia="zh-CN"/>
              </w:rPr>
            </w:pPr>
            <w:r>
              <w:rPr>
                <w:rFonts w:hint="eastAsia" w:ascii="仿宋" w:hAnsi="仿宋" w:cs="仿宋"/>
                <w:sz w:val="22"/>
                <w:szCs w:val="22"/>
                <w:lang w:val="en-US" w:eastAsia="zh-CN"/>
              </w:rPr>
              <w:t>0.01</w:t>
            </w:r>
          </w:p>
        </w:tc>
        <w:tc>
          <w:tcPr>
            <w:tcW w:w="692" w:type="pct"/>
            <w:vAlign w:val="center"/>
          </w:tcPr>
          <w:p>
            <w:pPr>
              <w:spacing w:line="400" w:lineRule="exact"/>
              <w:jc w:val="center"/>
              <w:rPr>
                <w:rFonts w:hint="eastAsia" w:ascii="仿宋" w:hAnsi="仿宋" w:eastAsia="仿宋" w:cs="仿宋"/>
                <w:sz w:val="22"/>
                <w:szCs w:val="22"/>
                <w:lang w:val="en-US" w:eastAsia="zh-CN"/>
              </w:rPr>
            </w:pPr>
            <w:r>
              <w:rPr>
                <w:rFonts w:hint="eastAsia" w:ascii="仿宋" w:hAnsi="仿宋" w:cs="仿宋"/>
                <w:sz w:val="22"/>
                <w:szCs w:val="22"/>
              </w:rPr>
              <w:t>7.5</w:t>
            </w:r>
            <w:r>
              <w:rPr>
                <w:rFonts w:hint="eastAsia" w:ascii="仿宋" w:hAnsi="仿宋" w:cs="仿宋"/>
                <w:sz w:val="22"/>
                <w:szCs w:val="22"/>
                <w:lang w:val="en-US" w:eastAsia="zh-CN"/>
              </w:rPr>
              <w:t>1</w:t>
            </w:r>
          </w:p>
        </w:tc>
        <w:tc>
          <w:tcPr>
            <w:tcW w:w="695" w:type="pct"/>
            <w:vAlign w:val="center"/>
          </w:tcPr>
          <w:p>
            <w:pPr>
              <w:spacing w:line="400" w:lineRule="exact"/>
              <w:jc w:val="center"/>
              <w:rPr>
                <w:rFonts w:hint="eastAsia" w:ascii="仿宋" w:hAnsi="仿宋" w:cs="仿宋"/>
                <w:sz w:val="22"/>
                <w:szCs w:val="22"/>
              </w:rPr>
            </w:pPr>
            <w:r>
              <w:rPr>
                <w:rFonts w:hint="eastAsia" w:ascii="仿宋" w:hAnsi="仿宋" w:cs="仿宋"/>
                <w:sz w:val="22"/>
                <w:szCs w:val="22"/>
                <w:lang w:val="en-US" w:eastAsia="zh-CN"/>
              </w:rPr>
              <w:t>173.27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pPr>
              <w:spacing w:line="400" w:lineRule="exact"/>
              <w:jc w:val="center"/>
              <w:rPr>
                <w:rFonts w:ascii="仿宋" w:hAnsi="仿宋" w:cs="仿宋"/>
                <w:sz w:val="22"/>
                <w:szCs w:val="22"/>
              </w:rPr>
            </w:pPr>
            <w:r>
              <w:rPr>
                <w:rFonts w:hint="eastAsia" w:ascii="仿宋" w:hAnsi="仿宋" w:cs="仿宋"/>
                <w:sz w:val="22"/>
                <w:szCs w:val="22"/>
              </w:rPr>
              <w:t>6</w:t>
            </w:r>
          </w:p>
        </w:tc>
        <w:tc>
          <w:tcPr>
            <w:tcW w:w="491" w:type="pct"/>
            <w:vAlign w:val="center"/>
          </w:tcPr>
          <w:p>
            <w:pPr>
              <w:spacing w:line="400" w:lineRule="exact"/>
              <w:jc w:val="center"/>
              <w:rPr>
                <w:rFonts w:ascii="仿宋" w:hAnsi="仿宋" w:cs="仿宋"/>
                <w:sz w:val="22"/>
                <w:szCs w:val="22"/>
              </w:rPr>
            </w:pPr>
            <w:r>
              <w:rPr>
                <w:rFonts w:hint="eastAsia" w:ascii="仿宋" w:hAnsi="仿宋" w:cs="仿宋"/>
                <w:sz w:val="22"/>
                <w:szCs w:val="22"/>
              </w:rPr>
              <w:t>大埔县</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691.94</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0.10</w:t>
            </w:r>
          </w:p>
        </w:tc>
        <w:tc>
          <w:tcPr>
            <w:tcW w:w="692" w:type="pct"/>
            <w:vAlign w:val="center"/>
          </w:tcPr>
          <w:p>
            <w:pPr>
              <w:spacing w:line="400" w:lineRule="exact"/>
              <w:jc w:val="center"/>
              <w:rPr>
                <w:rFonts w:hint="eastAsia" w:ascii="仿宋" w:hAnsi="仿宋" w:eastAsia="仿宋" w:cs="仿宋"/>
                <w:sz w:val="22"/>
                <w:szCs w:val="22"/>
                <w:lang w:eastAsia="zh-CN"/>
              </w:rPr>
            </w:pPr>
            <w:r>
              <w:rPr>
                <w:rFonts w:hint="eastAsia" w:ascii="仿宋" w:hAnsi="仿宋" w:cs="仿宋"/>
                <w:sz w:val="22"/>
                <w:szCs w:val="22"/>
              </w:rPr>
              <w:t>8.3</w:t>
            </w:r>
            <w:r>
              <w:rPr>
                <w:rFonts w:hint="eastAsia" w:ascii="仿宋" w:hAnsi="仿宋" w:cs="仿宋"/>
                <w:sz w:val="22"/>
                <w:szCs w:val="22"/>
                <w:lang w:val="en-US" w:eastAsia="zh-CN"/>
              </w:rPr>
              <w:t>0</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2.51</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10.88</w:t>
            </w:r>
          </w:p>
        </w:tc>
        <w:tc>
          <w:tcPr>
            <w:tcW w:w="695" w:type="pct"/>
            <w:vAlign w:val="center"/>
          </w:tcPr>
          <w:p>
            <w:pPr>
              <w:spacing w:line="400" w:lineRule="exact"/>
              <w:jc w:val="center"/>
              <w:rPr>
                <w:rFonts w:hint="eastAsia" w:ascii="仿宋" w:hAnsi="仿宋" w:cs="仿宋"/>
                <w:sz w:val="22"/>
                <w:szCs w:val="22"/>
              </w:rPr>
            </w:pPr>
            <w:r>
              <w:rPr>
                <w:rFonts w:hint="eastAsia" w:ascii="仿宋" w:hAnsi="仿宋" w:cs="仿宋"/>
                <w:sz w:val="22"/>
                <w:szCs w:val="22"/>
                <w:lang w:val="en-US" w:eastAsia="zh-CN"/>
              </w:rPr>
              <w:t>681.06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pPr>
              <w:spacing w:line="400" w:lineRule="exact"/>
              <w:jc w:val="center"/>
              <w:rPr>
                <w:rFonts w:ascii="仿宋" w:hAnsi="仿宋" w:cs="仿宋"/>
                <w:sz w:val="22"/>
                <w:szCs w:val="22"/>
              </w:rPr>
            </w:pPr>
            <w:r>
              <w:rPr>
                <w:rFonts w:hint="eastAsia" w:ascii="仿宋" w:hAnsi="仿宋" w:cs="仿宋"/>
                <w:sz w:val="22"/>
                <w:szCs w:val="22"/>
              </w:rPr>
              <w:t>7</w:t>
            </w:r>
          </w:p>
        </w:tc>
        <w:tc>
          <w:tcPr>
            <w:tcW w:w="491" w:type="pct"/>
            <w:vAlign w:val="center"/>
          </w:tcPr>
          <w:p>
            <w:pPr>
              <w:spacing w:line="400" w:lineRule="exact"/>
              <w:jc w:val="center"/>
              <w:rPr>
                <w:rFonts w:ascii="仿宋" w:hAnsi="仿宋" w:cs="仿宋"/>
                <w:sz w:val="22"/>
                <w:szCs w:val="22"/>
              </w:rPr>
            </w:pPr>
            <w:r>
              <w:rPr>
                <w:rFonts w:hint="eastAsia" w:ascii="仿宋" w:hAnsi="仿宋" w:cs="仿宋"/>
                <w:sz w:val="22"/>
                <w:szCs w:val="22"/>
              </w:rPr>
              <w:t>丰顺县</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555.54</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0.10</w:t>
            </w:r>
          </w:p>
        </w:tc>
        <w:tc>
          <w:tcPr>
            <w:tcW w:w="692" w:type="pct"/>
            <w:vAlign w:val="center"/>
          </w:tcPr>
          <w:p>
            <w:pPr>
              <w:spacing w:line="400" w:lineRule="exact"/>
              <w:jc w:val="center"/>
              <w:rPr>
                <w:rFonts w:hint="default" w:ascii="仿宋" w:hAnsi="仿宋" w:eastAsia="仿宋" w:cs="仿宋"/>
                <w:sz w:val="22"/>
                <w:szCs w:val="22"/>
                <w:lang w:val="en-US" w:eastAsia="zh-CN"/>
              </w:rPr>
            </w:pPr>
            <w:r>
              <w:rPr>
                <w:rFonts w:hint="eastAsia" w:ascii="仿宋" w:hAnsi="仿宋" w:cs="仿宋"/>
                <w:sz w:val="22"/>
                <w:szCs w:val="22"/>
                <w:lang w:val="en-US" w:eastAsia="zh-CN"/>
              </w:rPr>
              <w:t>7.41</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7.49</w:t>
            </w:r>
          </w:p>
        </w:tc>
        <w:tc>
          <w:tcPr>
            <w:tcW w:w="695" w:type="pct"/>
            <w:vAlign w:val="center"/>
          </w:tcPr>
          <w:p>
            <w:pPr>
              <w:spacing w:line="400" w:lineRule="exact"/>
              <w:jc w:val="center"/>
              <w:rPr>
                <w:rFonts w:hint="eastAsia" w:ascii="仿宋" w:hAnsi="仿宋" w:cs="仿宋"/>
                <w:sz w:val="22"/>
                <w:szCs w:val="22"/>
              </w:rPr>
            </w:pPr>
            <w:r>
              <w:rPr>
                <w:rFonts w:hint="eastAsia" w:ascii="仿宋" w:hAnsi="仿宋" w:cs="仿宋"/>
                <w:sz w:val="22"/>
                <w:szCs w:val="22"/>
                <w:lang w:val="en-US" w:eastAsia="zh-CN"/>
              </w:rPr>
              <w:t>548.05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pPr>
              <w:spacing w:line="400" w:lineRule="exact"/>
              <w:jc w:val="center"/>
              <w:rPr>
                <w:rFonts w:ascii="仿宋" w:hAnsi="仿宋" w:cs="仿宋"/>
                <w:sz w:val="22"/>
                <w:szCs w:val="22"/>
              </w:rPr>
            </w:pPr>
            <w:r>
              <w:rPr>
                <w:rFonts w:hint="eastAsia" w:ascii="仿宋" w:hAnsi="仿宋" w:cs="仿宋"/>
                <w:sz w:val="22"/>
                <w:szCs w:val="22"/>
              </w:rPr>
              <w:t>8</w:t>
            </w:r>
          </w:p>
        </w:tc>
        <w:tc>
          <w:tcPr>
            <w:tcW w:w="491" w:type="pct"/>
            <w:vAlign w:val="center"/>
          </w:tcPr>
          <w:p>
            <w:pPr>
              <w:spacing w:line="400" w:lineRule="exact"/>
              <w:jc w:val="center"/>
              <w:rPr>
                <w:rFonts w:ascii="仿宋" w:hAnsi="仿宋" w:cs="仿宋"/>
                <w:sz w:val="22"/>
                <w:szCs w:val="22"/>
              </w:rPr>
            </w:pPr>
            <w:r>
              <w:rPr>
                <w:rFonts w:hint="eastAsia" w:ascii="仿宋" w:hAnsi="仿宋" w:cs="仿宋"/>
                <w:sz w:val="22"/>
                <w:szCs w:val="22"/>
              </w:rPr>
              <w:t>五华县</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591.98</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0.0006</w:t>
            </w:r>
          </w:p>
        </w:tc>
        <w:tc>
          <w:tcPr>
            <w:tcW w:w="692" w:type="pct"/>
            <w:vAlign w:val="center"/>
          </w:tcPr>
          <w:p>
            <w:pPr>
              <w:spacing w:line="400" w:lineRule="exact"/>
              <w:jc w:val="center"/>
              <w:rPr>
                <w:rFonts w:hint="eastAsia" w:ascii="仿宋" w:hAnsi="仿宋" w:eastAsia="仿宋" w:cs="仿宋"/>
                <w:sz w:val="22"/>
                <w:szCs w:val="22"/>
                <w:lang w:eastAsia="zh-CN"/>
              </w:rPr>
            </w:pPr>
            <w:r>
              <w:rPr>
                <w:rFonts w:hint="eastAsia" w:ascii="仿宋" w:hAnsi="仿宋" w:cs="仿宋"/>
                <w:sz w:val="22"/>
                <w:szCs w:val="22"/>
              </w:rPr>
              <w:t>7.9</w:t>
            </w:r>
            <w:r>
              <w:rPr>
                <w:rFonts w:hint="eastAsia" w:ascii="仿宋" w:hAnsi="仿宋" w:cs="仿宋"/>
                <w:sz w:val="22"/>
                <w:szCs w:val="22"/>
                <w:lang w:val="en-US" w:eastAsia="zh-CN"/>
              </w:rPr>
              <w:t>8</w:t>
            </w:r>
          </w:p>
        </w:tc>
        <w:tc>
          <w:tcPr>
            <w:tcW w:w="692" w:type="pct"/>
            <w:vAlign w:val="center"/>
          </w:tcPr>
          <w:p>
            <w:pPr>
              <w:spacing w:line="400" w:lineRule="exact"/>
              <w:jc w:val="center"/>
              <w:rPr>
                <w:rFonts w:hint="default" w:ascii="仿宋" w:hAnsi="仿宋" w:eastAsia="仿宋" w:cs="仿宋"/>
                <w:sz w:val="22"/>
                <w:szCs w:val="22"/>
                <w:lang w:val="en-US" w:eastAsia="zh-CN"/>
              </w:rPr>
            </w:pPr>
            <w:r>
              <w:rPr>
                <w:rFonts w:hint="eastAsia" w:ascii="仿宋" w:hAnsi="仿宋" w:cs="仿宋"/>
                <w:sz w:val="22"/>
                <w:szCs w:val="22"/>
                <w:lang w:val="en-US" w:eastAsia="zh-CN"/>
              </w:rPr>
              <w:t>0.06</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8.04</w:t>
            </w:r>
          </w:p>
        </w:tc>
        <w:tc>
          <w:tcPr>
            <w:tcW w:w="695" w:type="pct"/>
            <w:vAlign w:val="center"/>
          </w:tcPr>
          <w:p>
            <w:pPr>
              <w:spacing w:line="400" w:lineRule="exact"/>
              <w:jc w:val="center"/>
              <w:rPr>
                <w:rFonts w:hint="eastAsia" w:ascii="仿宋" w:hAnsi="仿宋" w:cs="仿宋"/>
                <w:sz w:val="22"/>
                <w:szCs w:val="22"/>
              </w:rPr>
            </w:pPr>
            <w:r>
              <w:rPr>
                <w:rFonts w:hint="eastAsia" w:ascii="仿宋" w:hAnsi="仿宋" w:cs="仿宋"/>
                <w:sz w:val="22"/>
                <w:szCs w:val="22"/>
                <w:lang w:val="en-US" w:eastAsia="zh-CN"/>
              </w:rPr>
              <w:t>583.94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gridSpan w:val="2"/>
            <w:vAlign w:val="center"/>
          </w:tcPr>
          <w:p>
            <w:pPr>
              <w:spacing w:line="400" w:lineRule="exact"/>
              <w:jc w:val="center"/>
              <w:rPr>
                <w:rFonts w:ascii="仿宋" w:hAnsi="仿宋" w:cs="仿宋"/>
                <w:sz w:val="22"/>
                <w:szCs w:val="22"/>
              </w:rPr>
            </w:pPr>
            <w:r>
              <w:rPr>
                <w:rFonts w:hint="eastAsia" w:ascii="仿宋" w:hAnsi="仿宋" w:cs="仿宋"/>
                <w:sz w:val="22"/>
                <w:szCs w:val="22"/>
              </w:rPr>
              <w:t>全市合计</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2779.59</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rPr>
              <w:t>0.22</w:t>
            </w:r>
          </w:p>
        </w:tc>
        <w:tc>
          <w:tcPr>
            <w:tcW w:w="692" w:type="pct"/>
            <w:vAlign w:val="center"/>
          </w:tcPr>
          <w:p>
            <w:pPr>
              <w:spacing w:line="400" w:lineRule="exact"/>
              <w:jc w:val="center"/>
              <w:rPr>
                <w:rFonts w:ascii="仿宋" w:hAnsi="仿宋" w:cs="仿宋"/>
                <w:sz w:val="22"/>
                <w:szCs w:val="22"/>
              </w:rPr>
            </w:pPr>
            <w:r>
              <w:rPr>
                <w:rFonts w:hint="eastAsia" w:ascii="仿宋" w:hAnsi="仿宋" w:cs="仿宋"/>
                <w:sz w:val="22"/>
                <w:szCs w:val="22"/>
                <w:lang w:val="en-US" w:eastAsia="zh-CN"/>
              </w:rPr>
              <w:t>41.54</w:t>
            </w:r>
          </w:p>
        </w:tc>
        <w:tc>
          <w:tcPr>
            <w:tcW w:w="692" w:type="pct"/>
            <w:vAlign w:val="center"/>
          </w:tcPr>
          <w:p>
            <w:pPr>
              <w:spacing w:line="400" w:lineRule="exact"/>
              <w:jc w:val="center"/>
              <w:rPr>
                <w:rFonts w:hint="eastAsia" w:ascii="仿宋" w:hAnsi="仿宋" w:eastAsia="仿宋" w:cs="仿宋"/>
                <w:sz w:val="22"/>
                <w:szCs w:val="22"/>
                <w:lang w:eastAsia="zh-CN"/>
              </w:rPr>
            </w:pPr>
            <w:r>
              <w:rPr>
                <w:rFonts w:hint="eastAsia" w:ascii="仿宋" w:hAnsi="仿宋" w:cs="仿宋"/>
                <w:sz w:val="22"/>
                <w:szCs w:val="22"/>
              </w:rPr>
              <w:t>2.5</w:t>
            </w:r>
            <w:r>
              <w:rPr>
                <w:rFonts w:hint="eastAsia" w:ascii="仿宋" w:hAnsi="仿宋" w:cs="仿宋"/>
                <w:sz w:val="22"/>
                <w:szCs w:val="22"/>
                <w:lang w:val="en-US" w:eastAsia="zh-CN"/>
              </w:rPr>
              <w:t>9</w:t>
            </w:r>
          </w:p>
        </w:tc>
        <w:tc>
          <w:tcPr>
            <w:tcW w:w="692" w:type="pct"/>
            <w:vAlign w:val="center"/>
          </w:tcPr>
          <w:p>
            <w:pPr>
              <w:spacing w:line="400" w:lineRule="exact"/>
              <w:jc w:val="center"/>
              <w:rPr>
                <w:rFonts w:hint="eastAsia" w:ascii="仿宋" w:hAnsi="仿宋" w:eastAsia="仿宋" w:cs="仿宋"/>
                <w:sz w:val="22"/>
                <w:szCs w:val="22"/>
                <w:lang w:eastAsia="zh-CN"/>
              </w:rPr>
            </w:pPr>
            <w:r>
              <w:rPr>
                <w:rFonts w:hint="eastAsia" w:ascii="仿宋" w:hAnsi="仿宋" w:cs="仿宋"/>
                <w:sz w:val="22"/>
                <w:szCs w:val="22"/>
              </w:rPr>
              <w:t>44.2</w:t>
            </w:r>
            <w:r>
              <w:rPr>
                <w:rFonts w:hint="eastAsia" w:ascii="仿宋" w:hAnsi="仿宋" w:cs="仿宋"/>
                <w:sz w:val="22"/>
                <w:szCs w:val="22"/>
                <w:lang w:val="en-US" w:eastAsia="zh-CN"/>
              </w:rPr>
              <w:t>9</w:t>
            </w:r>
          </w:p>
        </w:tc>
        <w:tc>
          <w:tcPr>
            <w:tcW w:w="695" w:type="pct"/>
            <w:vAlign w:val="center"/>
          </w:tcPr>
          <w:p>
            <w:pPr>
              <w:spacing w:line="400" w:lineRule="exact"/>
              <w:jc w:val="center"/>
              <w:rPr>
                <w:rFonts w:hint="eastAsia" w:ascii="仿宋" w:hAnsi="仿宋" w:cs="仿宋"/>
                <w:sz w:val="22"/>
                <w:szCs w:val="22"/>
              </w:rPr>
            </w:pPr>
            <w:r>
              <w:rPr>
                <w:rFonts w:hint="eastAsia" w:ascii="仿宋" w:hAnsi="仿宋" w:cs="仿宋"/>
                <w:sz w:val="22"/>
                <w:szCs w:val="22"/>
                <w:lang w:val="en-US" w:eastAsia="zh-CN"/>
              </w:rPr>
              <w:t>2735.30</w:t>
            </w:r>
          </w:p>
        </w:tc>
      </w:tr>
    </w:tbl>
    <w:p>
      <w:pPr>
        <w:pStyle w:val="10"/>
        <w:jc w:val="center"/>
      </w:pPr>
      <w:r>
        <w:t>表</w:t>
      </w:r>
      <w:r>
        <w:rPr>
          <w:rFonts w:hint="eastAsia"/>
        </w:rPr>
        <w:t>3-</w:t>
      </w:r>
      <w:r>
        <w:rPr>
          <w:rFonts w:hint="eastAsia"/>
          <w:lang w:val="en-US" w:eastAsia="zh-CN"/>
        </w:rPr>
        <w:t>7</w:t>
      </w:r>
      <w:r>
        <w:rPr>
          <w:rFonts w:hint="eastAsia"/>
        </w:rPr>
        <w:t>梅州市一般生态空间总体调出情况</w:t>
      </w:r>
    </w:p>
    <w:p>
      <w:pPr>
        <w:spacing w:line="400" w:lineRule="exact"/>
        <w:rPr>
          <w:rFonts w:eastAsiaTheme="minorEastAsia"/>
          <w:sz w:val="24"/>
        </w:rPr>
        <w:sectPr>
          <w:pgSz w:w="16838" w:h="11906" w:orient="landscape"/>
          <w:pgMar w:top="1587" w:right="2098" w:bottom="1474" w:left="1984" w:header="851" w:footer="1587" w:gutter="0"/>
          <w:pgNumType w:fmt="decimal"/>
          <w:cols w:space="0" w:num="1"/>
          <w:docGrid w:type="linesAndChars" w:linePitch="589" w:charSpace="1554"/>
        </w:sectPr>
      </w:pPr>
    </w:p>
    <w:p>
      <w:pPr>
        <w:pStyle w:val="6"/>
      </w:pPr>
      <w:bookmarkStart w:id="39" w:name="_Toc4666"/>
      <w:bookmarkStart w:id="40" w:name="_Toc7579"/>
      <w:r>
        <w:rPr>
          <w:rFonts w:hint="eastAsia"/>
        </w:rPr>
        <w:t>3.2.3调入一般生态空间区域</w:t>
      </w:r>
      <w:bookmarkEnd w:id="39"/>
      <w:bookmarkEnd w:id="40"/>
    </w:p>
    <w:p>
      <w:pPr>
        <w:pStyle w:val="7"/>
      </w:pPr>
      <w:r>
        <w:rPr>
          <w:rFonts w:hint="eastAsia"/>
        </w:rPr>
        <w:t>3.2.3.1需调入生态空间的面积</w:t>
      </w:r>
    </w:p>
    <w:p>
      <w:pPr>
        <w:ind w:firstLine="664" w:firstLineChars="200"/>
      </w:pPr>
      <w:r>
        <w:rPr>
          <w:rFonts w:hint="eastAsia"/>
        </w:rPr>
        <w:t>根据之前生态保护红线更新、一般生态空间调出的更新成果，梅州市一般生态空间需补划</w:t>
      </w:r>
      <w:r>
        <w:rPr>
          <w:rFonts w:hint="eastAsia"/>
          <w:lang w:val="en-US" w:eastAsia="zh-CN"/>
        </w:rPr>
        <w:t>422</w:t>
      </w:r>
      <w:r>
        <w:rPr>
          <w:rFonts w:hint="eastAsia"/>
        </w:rPr>
        <w:t>.</w:t>
      </w:r>
      <w:r>
        <w:rPr>
          <w:rFonts w:hint="eastAsia"/>
          <w:lang w:val="en-US" w:eastAsia="zh-CN"/>
        </w:rPr>
        <w:t>67</w:t>
      </w:r>
      <w:r>
        <w:rPr>
          <w:rFonts w:hint="eastAsia"/>
        </w:rPr>
        <w:t>km</w:t>
      </w:r>
      <w:r>
        <w:rPr>
          <w:rFonts w:hint="eastAsia"/>
          <w:vertAlign w:val="superscript"/>
        </w:rPr>
        <w:t>2</w:t>
      </w:r>
      <w:r>
        <w:rPr>
          <w:rFonts w:hint="eastAsia"/>
        </w:rPr>
        <w:t>的一般生态空间以保证生态空间面积整体占补平衡。</w:t>
      </w:r>
    </w:p>
    <w:p>
      <w:pPr>
        <w:pStyle w:val="10"/>
        <w:jc w:val="center"/>
      </w:pPr>
      <w:r>
        <w:t>表</w:t>
      </w:r>
      <w:r>
        <w:rPr>
          <w:rFonts w:hint="eastAsia"/>
        </w:rPr>
        <w:t>3-</w:t>
      </w:r>
      <w:r>
        <w:rPr>
          <w:rFonts w:hint="eastAsia"/>
          <w:lang w:val="en-US" w:eastAsia="zh-CN"/>
        </w:rPr>
        <w:t>8</w:t>
      </w:r>
      <w:r>
        <w:rPr>
          <w:rFonts w:hint="eastAsia"/>
        </w:rPr>
        <w:t>梅州市需调入的一般生态空间面积</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944"/>
        <w:gridCol w:w="1439"/>
        <w:gridCol w:w="1396"/>
        <w:gridCol w:w="1410"/>
        <w:gridCol w:w="2010"/>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restart"/>
            <w:vAlign w:val="center"/>
          </w:tcPr>
          <w:p>
            <w:pPr>
              <w:spacing w:line="400" w:lineRule="exact"/>
              <w:jc w:val="center"/>
              <w:rPr>
                <w:rFonts w:ascii="仿宋" w:hAnsi="仿宋" w:cs="仿宋"/>
                <w:b/>
                <w:bCs/>
                <w:sz w:val="18"/>
                <w:szCs w:val="18"/>
              </w:rPr>
            </w:pPr>
            <w:r>
              <w:rPr>
                <w:rFonts w:hint="eastAsia" w:ascii="仿宋" w:hAnsi="仿宋" w:cs="仿宋"/>
                <w:b/>
                <w:bCs/>
                <w:sz w:val="18"/>
                <w:szCs w:val="18"/>
              </w:rPr>
              <w:t>序号</w:t>
            </w:r>
          </w:p>
        </w:tc>
        <w:tc>
          <w:tcPr>
            <w:tcW w:w="520" w:type="pct"/>
            <w:vMerge w:val="restart"/>
            <w:vAlign w:val="center"/>
          </w:tcPr>
          <w:p>
            <w:pPr>
              <w:spacing w:line="400" w:lineRule="exact"/>
              <w:jc w:val="center"/>
              <w:rPr>
                <w:rFonts w:ascii="仿宋" w:hAnsi="仿宋" w:cs="仿宋"/>
                <w:b/>
                <w:bCs/>
                <w:sz w:val="18"/>
                <w:szCs w:val="18"/>
              </w:rPr>
            </w:pPr>
            <w:r>
              <w:rPr>
                <w:rFonts w:hint="eastAsia" w:ascii="仿宋" w:hAnsi="仿宋" w:cs="仿宋"/>
                <w:b/>
                <w:bCs/>
                <w:sz w:val="18"/>
                <w:szCs w:val="18"/>
              </w:rPr>
              <w:t>行政</w:t>
            </w:r>
          </w:p>
          <w:p>
            <w:pPr>
              <w:spacing w:line="400" w:lineRule="exact"/>
              <w:jc w:val="center"/>
              <w:rPr>
                <w:rFonts w:ascii="仿宋" w:hAnsi="仿宋" w:cs="仿宋"/>
                <w:b/>
                <w:bCs/>
                <w:sz w:val="18"/>
                <w:szCs w:val="18"/>
              </w:rPr>
            </w:pPr>
            <w:r>
              <w:rPr>
                <w:rFonts w:hint="eastAsia" w:ascii="仿宋" w:hAnsi="仿宋" w:cs="仿宋"/>
                <w:b/>
                <w:bCs/>
                <w:sz w:val="18"/>
                <w:szCs w:val="18"/>
              </w:rPr>
              <w:t>分区</w:t>
            </w:r>
          </w:p>
        </w:tc>
        <w:tc>
          <w:tcPr>
            <w:tcW w:w="1564" w:type="pct"/>
            <w:gridSpan w:val="2"/>
            <w:vAlign w:val="center"/>
          </w:tcPr>
          <w:p>
            <w:pPr>
              <w:spacing w:line="400" w:lineRule="exact"/>
              <w:jc w:val="center"/>
              <w:rPr>
                <w:rFonts w:ascii="仿宋" w:hAnsi="仿宋" w:cs="仿宋"/>
                <w:b/>
                <w:bCs/>
                <w:sz w:val="18"/>
                <w:szCs w:val="18"/>
              </w:rPr>
            </w:pPr>
            <w:r>
              <w:rPr>
                <w:rFonts w:hint="eastAsia" w:ascii="仿宋" w:hAnsi="仿宋" w:cs="仿宋"/>
                <w:b/>
                <w:bCs/>
                <w:sz w:val="18"/>
                <w:szCs w:val="18"/>
              </w:rPr>
              <w:t>生态空间（更新前）</w:t>
            </w:r>
          </w:p>
        </w:tc>
        <w:tc>
          <w:tcPr>
            <w:tcW w:w="1887" w:type="pct"/>
            <w:gridSpan w:val="2"/>
            <w:vAlign w:val="center"/>
          </w:tcPr>
          <w:p>
            <w:pPr>
              <w:spacing w:line="400" w:lineRule="exact"/>
              <w:jc w:val="center"/>
              <w:rPr>
                <w:rFonts w:ascii="仿宋" w:hAnsi="仿宋" w:cs="仿宋"/>
                <w:b/>
                <w:bCs/>
                <w:sz w:val="18"/>
                <w:szCs w:val="18"/>
              </w:rPr>
            </w:pPr>
            <w:r>
              <w:rPr>
                <w:rFonts w:hint="eastAsia" w:ascii="仿宋" w:hAnsi="仿宋" w:cs="仿宋"/>
                <w:b/>
                <w:bCs/>
                <w:sz w:val="18"/>
                <w:szCs w:val="18"/>
              </w:rPr>
              <w:t>生态空间（更新后尚未占补平衡）</w:t>
            </w:r>
          </w:p>
        </w:tc>
        <w:tc>
          <w:tcPr>
            <w:tcW w:w="763" w:type="pct"/>
            <w:vMerge w:val="restart"/>
            <w:vAlign w:val="center"/>
          </w:tcPr>
          <w:p>
            <w:pPr>
              <w:spacing w:line="400" w:lineRule="exact"/>
              <w:jc w:val="center"/>
              <w:rPr>
                <w:rFonts w:ascii="仿宋" w:hAnsi="仿宋" w:cs="仿宋"/>
                <w:b/>
                <w:bCs/>
                <w:sz w:val="18"/>
                <w:szCs w:val="18"/>
              </w:rPr>
            </w:pPr>
            <w:r>
              <w:rPr>
                <w:rFonts w:hint="eastAsia" w:ascii="仿宋" w:hAnsi="仿宋" w:cs="仿宋"/>
                <w:b/>
                <w:bCs/>
                <w:sz w:val="18"/>
                <w:szCs w:val="18"/>
              </w:rPr>
              <w:t>保证生态空间总体占补平衡需补充的一般生态空间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vAlign w:val="center"/>
          </w:tcPr>
          <w:p>
            <w:pPr>
              <w:spacing w:line="400" w:lineRule="exact"/>
              <w:jc w:val="center"/>
              <w:rPr>
                <w:rFonts w:ascii="仿宋" w:hAnsi="仿宋" w:cs="仿宋"/>
                <w:b/>
                <w:bCs/>
                <w:sz w:val="18"/>
                <w:szCs w:val="18"/>
              </w:rPr>
            </w:pPr>
          </w:p>
        </w:tc>
        <w:tc>
          <w:tcPr>
            <w:tcW w:w="520" w:type="pct"/>
            <w:vMerge w:val="continue"/>
            <w:vAlign w:val="center"/>
          </w:tcPr>
          <w:p>
            <w:pPr>
              <w:spacing w:line="400" w:lineRule="exact"/>
              <w:jc w:val="center"/>
              <w:rPr>
                <w:rFonts w:ascii="仿宋" w:hAnsi="仿宋" w:cs="仿宋"/>
                <w:b/>
                <w:bCs/>
                <w:sz w:val="18"/>
                <w:szCs w:val="18"/>
              </w:rPr>
            </w:pPr>
          </w:p>
        </w:tc>
        <w:tc>
          <w:tcPr>
            <w:tcW w:w="794" w:type="pct"/>
            <w:vAlign w:val="center"/>
          </w:tcPr>
          <w:p>
            <w:pPr>
              <w:spacing w:line="400" w:lineRule="exact"/>
              <w:jc w:val="center"/>
              <w:rPr>
                <w:rFonts w:ascii="仿宋" w:hAnsi="仿宋" w:cs="仿宋"/>
                <w:b/>
                <w:bCs/>
                <w:sz w:val="18"/>
                <w:szCs w:val="18"/>
              </w:rPr>
            </w:pPr>
            <w:r>
              <w:rPr>
                <w:rFonts w:hint="eastAsia" w:ascii="仿宋" w:hAnsi="仿宋" w:cs="仿宋"/>
                <w:b/>
                <w:bCs/>
                <w:sz w:val="18"/>
                <w:szCs w:val="18"/>
              </w:rPr>
              <w:t>生态保护红线（更新前）</w:t>
            </w:r>
          </w:p>
        </w:tc>
        <w:tc>
          <w:tcPr>
            <w:tcW w:w="770" w:type="pct"/>
            <w:vAlign w:val="center"/>
          </w:tcPr>
          <w:p>
            <w:pPr>
              <w:spacing w:line="400" w:lineRule="exact"/>
              <w:jc w:val="center"/>
              <w:rPr>
                <w:rFonts w:ascii="仿宋" w:hAnsi="仿宋" w:cs="仿宋"/>
                <w:b/>
                <w:bCs/>
                <w:sz w:val="18"/>
                <w:szCs w:val="18"/>
              </w:rPr>
            </w:pPr>
            <w:r>
              <w:rPr>
                <w:rFonts w:hint="eastAsia" w:ascii="仿宋" w:hAnsi="仿宋" w:cs="仿宋"/>
                <w:b/>
                <w:bCs/>
                <w:sz w:val="18"/>
                <w:szCs w:val="18"/>
              </w:rPr>
              <w:t>一般生态空间（更新前）</w:t>
            </w:r>
          </w:p>
        </w:tc>
        <w:tc>
          <w:tcPr>
            <w:tcW w:w="778" w:type="pct"/>
            <w:vAlign w:val="center"/>
          </w:tcPr>
          <w:p>
            <w:pPr>
              <w:spacing w:line="400" w:lineRule="exact"/>
              <w:jc w:val="center"/>
              <w:rPr>
                <w:rFonts w:ascii="仿宋" w:hAnsi="仿宋" w:cs="仿宋"/>
                <w:b/>
                <w:bCs/>
                <w:sz w:val="18"/>
                <w:szCs w:val="18"/>
              </w:rPr>
            </w:pPr>
            <w:r>
              <w:rPr>
                <w:rFonts w:hint="eastAsia" w:ascii="仿宋" w:hAnsi="仿宋" w:cs="仿宋"/>
                <w:b/>
                <w:bCs/>
                <w:sz w:val="18"/>
                <w:szCs w:val="18"/>
              </w:rPr>
              <w:t>生态保护红线（更新后）</w:t>
            </w:r>
          </w:p>
        </w:tc>
        <w:tc>
          <w:tcPr>
            <w:tcW w:w="1109" w:type="pct"/>
            <w:vAlign w:val="center"/>
          </w:tcPr>
          <w:p>
            <w:pPr>
              <w:spacing w:line="400" w:lineRule="exact"/>
              <w:jc w:val="center"/>
              <w:rPr>
                <w:rFonts w:ascii="仿宋" w:hAnsi="仿宋" w:cs="仿宋"/>
                <w:b/>
                <w:bCs/>
                <w:sz w:val="18"/>
                <w:szCs w:val="18"/>
              </w:rPr>
            </w:pPr>
            <w:r>
              <w:rPr>
                <w:rFonts w:hint="eastAsia" w:ascii="仿宋" w:hAnsi="仿宋" w:cs="仿宋"/>
                <w:b/>
                <w:bCs/>
                <w:sz w:val="18"/>
                <w:szCs w:val="18"/>
              </w:rPr>
              <w:t>一般生态空间</w:t>
            </w:r>
          </w:p>
          <w:p>
            <w:pPr>
              <w:spacing w:line="400" w:lineRule="exact"/>
              <w:jc w:val="center"/>
              <w:rPr>
                <w:rFonts w:ascii="仿宋" w:hAnsi="仿宋" w:cs="仿宋"/>
                <w:b/>
                <w:bCs/>
                <w:sz w:val="18"/>
                <w:szCs w:val="18"/>
              </w:rPr>
            </w:pPr>
            <w:r>
              <w:rPr>
                <w:rFonts w:hint="eastAsia" w:ascii="仿宋" w:hAnsi="仿宋" w:cs="仿宋"/>
                <w:b/>
                <w:bCs/>
                <w:sz w:val="18"/>
                <w:szCs w:val="18"/>
              </w:rPr>
              <w:t>（扣减项目范围后）</w:t>
            </w:r>
          </w:p>
        </w:tc>
        <w:tc>
          <w:tcPr>
            <w:tcW w:w="763" w:type="pct"/>
            <w:vMerge w:val="continue"/>
            <w:vAlign w:val="center"/>
          </w:tcPr>
          <w:p>
            <w:pPr>
              <w:spacing w:line="400" w:lineRule="exact"/>
              <w:jc w:val="center"/>
              <w:rPr>
                <w:rFonts w:ascii="仿宋" w:hAnsi="仿宋" w:cs="仿宋"/>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4" w:type="pct"/>
            <w:vMerge w:val="continue"/>
            <w:vAlign w:val="center"/>
          </w:tcPr>
          <w:p>
            <w:pPr>
              <w:spacing w:line="400" w:lineRule="exact"/>
              <w:jc w:val="center"/>
              <w:rPr>
                <w:rFonts w:ascii="仿宋" w:hAnsi="仿宋" w:cs="仿宋"/>
                <w:b/>
                <w:bCs/>
                <w:sz w:val="18"/>
                <w:szCs w:val="18"/>
              </w:rPr>
            </w:pPr>
          </w:p>
        </w:tc>
        <w:tc>
          <w:tcPr>
            <w:tcW w:w="520" w:type="pct"/>
            <w:vMerge w:val="continue"/>
            <w:vAlign w:val="center"/>
          </w:tcPr>
          <w:p>
            <w:pPr>
              <w:spacing w:line="400" w:lineRule="exact"/>
              <w:jc w:val="center"/>
              <w:rPr>
                <w:rFonts w:ascii="仿宋" w:hAnsi="仿宋" w:cs="仿宋"/>
                <w:b/>
                <w:bCs/>
                <w:sz w:val="18"/>
                <w:szCs w:val="18"/>
              </w:rPr>
            </w:pPr>
          </w:p>
        </w:tc>
        <w:tc>
          <w:tcPr>
            <w:tcW w:w="794" w:type="pct"/>
            <w:vAlign w:val="center"/>
          </w:tcPr>
          <w:p>
            <w:pPr>
              <w:spacing w:line="400" w:lineRule="exact"/>
              <w:jc w:val="center"/>
              <w:rPr>
                <w:rFonts w:ascii="仿宋" w:hAnsi="仿宋" w:cs="仿宋"/>
                <w:b/>
                <w:bCs/>
                <w:sz w:val="18"/>
                <w:szCs w:val="18"/>
              </w:rPr>
            </w:pPr>
            <w:r>
              <w:rPr>
                <w:rFonts w:hint="eastAsia" w:ascii="仿宋" w:hAnsi="仿宋" w:cs="仿宋"/>
                <w:b/>
                <w:bCs/>
                <w:sz w:val="18"/>
                <w:szCs w:val="18"/>
              </w:rPr>
              <w:t>面积（km</w:t>
            </w:r>
            <w:r>
              <w:rPr>
                <w:rFonts w:hint="eastAsia" w:ascii="仿宋" w:hAnsi="仿宋" w:cs="仿宋"/>
                <w:b/>
                <w:bCs/>
                <w:sz w:val="18"/>
                <w:szCs w:val="18"/>
                <w:vertAlign w:val="superscript"/>
              </w:rPr>
              <w:t>2</w:t>
            </w:r>
            <w:r>
              <w:rPr>
                <w:rFonts w:hint="eastAsia" w:ascii="仿宋" w:hAnsi="仿宋" w:cs="仿宋"/>
                <w:b/>
                <w:bCs/>
                <w:sz w:val="18"/>
                <w:szCs w:val="18"/>
              </w:rPr>
              <w:t>）</w:t>
            </w:r>
          </w:p>
        </w:tc>
        <w:tc>
          <w:tcPr>
            <w:tcW w:w="770" w:type="pct"/>
            <w:vAlign w:val="center"/>
          </w:tcPr>
          <w:p>
            <w:pPr>
              <w:spacing w:line="400" w:lineRule="exact"/>
              <w:jc w:val="center"/>
              <w:rPr>
                <w:rFonts w:ascii="仿宋" w:hAnsi="仿宋" w:cs="仿宋"/>
                <w:b/>
                <w:bCs/>
                <w:sz w:val="18"/>
                <w:szCs w:val="18"/>
              </w:rPr>
            </w:pPr>
            <w:r>
              <w:rPr>
                <w:rFonts w:hint="eastAsia" w:ascii="仿宋" w:hAnsi="仿宋" w:cs="仿宋"/>
                <w:b/>
                <w:bCs/>
                <w:sz w:val="18"/>
                <w:szCs w:val="18"/>
              </w:rPr>
              <w:t>面积（km</w:t>
            </w:r>
            <w:r>
              <w:rPr>
                <w:rFonts w:hint="eastAsia" w:ascii="仿宋" w:hAnsi="仿宋" w:cs="仿宋"/>
                <w:b/>
                <w:bCs/>
                <w:sz w:val="18"/>
                <w:szCs w:val="18"/>
                <w:vertAlign w:val="superscript"/>
              </w:rPr>
              <w:t>2</w:t>
            </w:r>
            <w:r>
              <w:rPr>
                <w:rFonts w:hint="eastAsia" w:ascii="仿宋" w:hAnsi="仿宋" w:cs="仿宋"/>
                <w:b/>
                <w:bCs/>
                <w:sz w:val="18"/>
                <w:szCs w:val="18"/>
              </w:rPr>
              <w:t>）</w:t>
            </w:r>
          </w:p>
        </w:tc>
        <w:tc>
          <w:tcPr>
            <w:tcW w:w="778" w:type="pct"/>
            <w:vAlign w:val="center"/>
          </w:tcPr>
          <w:p>
            <w:pPr>
              <w:spacing w:line="400" w:lineRule="exact"/>
              <w:jc w:val="center"/>
              <w:rPr>
                <w:rFonts w:ascii="仿宋" w:hAnsi="仿宋" w:cs="仿宋"/>
                <w:b/>
                <w:bCs/>
                <w:sz w:val="18"/>
                <w:szCs w:val="18"/>
              </w:rPr>
            </w:pPr>
            <w:r>
              <w:rPr>
                <w:rFonts w:hint="eastAsia" w:ascii="仿宋" w:hAnsi="仿宋" w:cs="仿宋"/>
                <w:b/>
                <w:bCs/>
                <w:sz w:val="18"/>
                <w:szCs w:val="18"/>
              </w:rPr>
              <w:t>面积（km</w:t>
            </w:r>
            <w:r>
              <w:rPr>
                <w:rFonts w:hint="eastAsia" w:ascii="仿宋" w:hAnsi="仿宋" w:cs="仿宋"/>
                <w:b/>
                <w:bCs/>
                <w:sz w:val="18"/>
                <w:szCs w:val="18"/>
                <w:vertAlign w:val="superscript"/>
              </w:rPr>
              <w:t>2</w:t>
            </w:r>
            <w:r>
              <w:rPr>
                <w:rFonts w:hint="eastAsia" w:ascii="仿宋" w:hAnsi="仿宋" w:cs="仿宋"/>
                <w:b/>
                <w:bCs/>
                <w:sz w:val="18"/>
                <w:szCs w:val="18"/>
              </w:rPr>
              <w:t>）</w:t>
            </w:r>
          </w:p>
        </w:tc>
        <w:tc>
          <w:tcPr>
            <w:tcW w:w="1109" w:type="pct"/>
            <w:vAlign w:val="center"/>
          </w:tcPr>
          <w:p>
            <w:pPr>
              <w:spacing w:line="400" w:lineRule="exact"/>
              <w:jc w:val="center"/>
              <w:rPr>
                <w:rFonts w:ascii="仿宋" w:hAnsi="仿宋" w:cs="仿宋"/>
                <w:b/>
                <w:bCs/>
                <w:sz w:val="18"/>
                <w:szCs w:val="18"/>
              </w:rPr>
            </w:pPr>
            <w:r>
              <w:rPr>
                <w:rFonts w:hint="eastAsia" w:ascii="仿宋" w:hAnsi="仿宋" w:cs="仿宋"/>
                <w:b/>
                <w:bCs/>
                <w:sz w:val="18"/>
                <w:szCs w:val="18"/>
              </w:rPr>
              <w:t>面积（km</w:t>
            </w:r>
            <w:r>
              <w:rPr>
                <w:rFonts w:hint="eastAsia" w:ascii="仿宋" w:hAnsi="仿宋" w:cs="仿宋"/>
                <w:b/>
                <w:bCs/>
                <w:sz w:val="18"/>
                <w:szCs w:val="18"/>
                <w:vertAlign w:val="superscript"/>
              </w:rPr>
              <w:t>2</w:t>
            </w:r>
            <w:r>
              <w:rPr>
                <w:rFonts w:hint="eastAsia" w:ascii="仿宋" w:hAnsi="仿宋" w:cs="仿宋"/>
                <w:b/>
                <w:bCs/>
                <w:sz w:val="18"/>
                <w:szCs w:val="18"/>
              </w:rPr>
              <w:t>）</w:t>
            </w:r>
          </w:p>
        </w:tc>
        <w:tc>
          <w:tcPr>
            <w:tcW w:w="763" w:type="pct"/>
            <w:vAlign w:val="center"/>
          </w:tcPr>
          <w:p>
            <w:pPr>
              <w:spacing w:line="400" w:lineRule="exact"/>
              <w:jc w:val="center"/>
              <w:rPr>
                <w:rFonts w:ascii="仿宋" w:hAnsi="仿宋" w:cs="仿宋"/>
                <w:b/>
                <w:bCs/>
                <w:sz w:val="18"/>
                <w:szCs w:val="18"/>
              </w:rPr>
            </w:pPr>
            <w:r>
              <w:rPr>
                <w:rFonts w:hint="eastAsia" w:ascii="仿宋" w:hAnsi="仿宋" w:cs="仿宋"/>
                <w:b/>
                <w:bCs/>
                <w:sz w:val="18"/>
                <w:szCs w:val="18"/>
              </w:rPr>
              <w:t>面积（km</w:t>
            </w:r>
            <w:r>
              <w:rPr>
                <w:rFonts w:hint="eastAsia" w:ascii="仿宋" w:hAnsi="仿宋" w:cs="仿宋"/>
                <w:b/>
                <w:bCs/>
                <w:sz w:val="18"/>
                <w:szCs w:val="18"/>
                <w:vertAlign w:val="superscript"/>
              </w:rPr>
              <w:t>2</w:t>
            </w:r>
            <w:r>
              <w:rPr>
                <w:rFonts w:hint="eastAsia" w:ascii="仿宋" w:hAnsi="仿宋" w:cs="仿宋"/>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64" w:type="pct"/>
            <w:vAlign w:val="center"/>
          </w:tcPr>
          <w:p>
            <w:pPr>
              <w:spacing w:line="400" w:lineRule="exact"/>
              <w:jc w:val="center"/>
              <w:rPr>
                <w:rFonts w:ascii="仿宋" w:hAnsi="仿宋" w:cs="仿宋"/>
                <w:sz w:val="18"/>
                <w:szCs w:val="18"/>
              </w:rPr>
            </w:pPr>
            <w:r>
              <w:rPr>
                <w:rFonts w:hint="eastAsia" w:ascii="仿宋" w:hAnsi="仿宋" w:cs="仿宋"/>
                <w:sz w:val="18"/>
                <w:szCs w:val="18"/>
              </w:rPr>
              <w:t>1</w:t>
            </w:r>
          </w:p>
        </w:tc>
        <w:tc>
          <w:tcPr>
            <w:tcW w:w="520" w:type="pct"/>
            <w:vAlign w:val="center"/>
          </w:tcPr>
          <w:p>
            <w:pPr>
              <w:spacing w:line="400" w:lineRule="exact"/>
              <w:jc w:val="center"/>
              <w:rPr>
                <w:rFonts w:ascii="仿宋" w:hAnsi="仿宋" w:cs="仿宋"/>
                <w:sz w:val="18"/>
                <w:szCs w:val="18"/>
              </w:rPr>
            </w:pPr>
            <w:r>
              <w:rPr>
                <w:rFonts w:hint="eastAsia" w:ascii="仿宋" w:hAnsi="仿宋" w:cs="仿宋"/>
                <w:sz w:val="18"/>
                <w:szCs w:val="18"/>
              </w:rPr>
              <w:t>梅江区</w:t>
            </w:r>
          </w:p>
        </w:tc>
        <w:tc>
          <w:tcPr>
            <w:tcW w:w="794"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169.19</w:t>
            </w:r>
          </w:p>
        </w:tc>
        <w:tc>
          <w:tcPr>
            <w:tcW w:w="770"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0</w:t>
            </w:r>
          </w:p>
        </w:tc>
        <w:tc>
          <w:tcPr>
            <w:tcW w:w="14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bidi="ar"/>
              </w:rPr>
              <w:t>167.</w:t>
            </w:r>
            <w:r>
              <w:rPr>
                <w:rFonts w:hint="eastAsia" w:ascii="仿宋" w:hAnsi="仿宋" w:cs="仿宋"/>
                <w:color w:val="000000"/>
                <w:kern w:val="0"/>
                <w:sz w:val="18"/>
                <w:szCs w:val="18"/>
                <w:lang w:val="en-US" w:eastAsia="zh-CN" w:bidi="ar"/>
              </w:rPr>
              <w:t>19</w:t>
            </w:r>
          </w:p>
        </w:tc>
        <w:tc>
          <w:tcPr>
            <w:tcW w:w="20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bidi="ar"/>
              </w:rPr>
              <w:t>0.00</w:t>
            </w:r>
          </w:p>
        </w:tc>
        <w:tc>
          <w:tcPr>
            <w:tcW w:w="1383" w:type="dxa"/>
            <w:vAlign w:val="center"/>
          </w:tcPr>
          <w:p>
            <w:pPr>
              <w:widowControl/>
              <w:spacing w:line="400" w:lineRule="exact"/>
              <w:jc w:val="center"/>
              <w:textAlignment w:val="center"/>
              <w:rPr>
                <w:rFonts w:hint="default" w:ascii="仿宋" w:hAnsi="仿宋" w:cs="仿宋"/>
                <w:color w:val="000000"/>
                <w:kern w:val="0"/>
                <w:sz w:val="18"/>
                <w:szCs w:val="18"/>
                <w:lang w:val="en-US" w:bidi="ar"/>
              </w:rPr>
            </w:pPr>
            <w:r>
              <w:rPr>
                <w:rFonts w:hint="eastAsia" w:ascii="仿宋" w:hAnsi="仿宋" w:cs="仿宋"/>
                <w:color w:val="000000"/>
                <w:kern w:val="0"/>
                <w:sz w:val="18"/>
                <w:szCs w:val="18"/>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64" w:type="pct"/>
            <w:vAlign w:val="center"/>
          </w:tcPr>
          <w:p>
            <w:pPr>
              <w:spacing w:line="400" w:lineRule="exact"/>
              <w:jc w:val="center"/>
              <w:rPr>
                <w:rFonts w:ascii="仿宋" w:hAnsi="仿宋" w:cs="仿宋"/>
                <w:sz w:val="18"/>
                <w:szCs w:val="18"/>
              </w:rPr>
            </w:pPr>
            <w:r>
              <w:rPr>
                <w:rFonts w:hint="eastAsia" w:ascii="仿宋" w:hAnsi="仿宋" w:cs="仿宋"/>
                <w:sz w:val="18"/>
                <w:szCs w:val="18"/>
              </w:rPr>
              <w:t>2</w:t>
            </w:r>
          </w:p>
        </w:tc>
        <w:tc>
          <w:tcPr>
            <w:tcW w:w="520" w:type="pct"/>
            <w:vAlign w:val="center"/>
          </w:tcPr>
          <w:p>
            <w:pPr>
              <w:spacing w:line="400" w:lineRule="exact"/>
              <w:jc w:val="center"/>
              <w:rPr>
                <w:rFonts w:ascii="仿宋" w:hAnsi="仿宋" w:cs="仿宋"/>
                <w:sz w:val="18"/>
                <w:szCs w:val="18"/>
              </w:rPr>
            </w:pPr>
            <w:r>
              <w:rPr>
                <w:rFonts w:hint="eastAsia" w:ascii="仿宋" w:hAnsi="仿宋" w:cs="仿宋"/>
                <w:sz w:val="18"/>
                <w:szCs w:val="18"/>
              </w:rPr>
              <w:t>梅县区</w:t>
            </w:r>
          </w:p>
        </w:tc>
        <w:tc>
          <w:tcPr>
            <w:tcW w:w="794"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446.94</w:t>
            </w:r>
          </w:p>
        </w:tc>
        <w:tc>
          <w:tcPr>
            <w:tcW w:w="770"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542.62</w:t>
            </w:r>
          </w:p>
        </w:tc>
        <w:tc>
          <w:tcPr>
            <w:tcW w:w="14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bidi="ar"/>
              </w:rPr>
              <w:t>389.</w:t>
            </w:r>
            <w:r>
              <w:rPr>
                <w:rFonts w:hint="eastAsia" w:ascii="仿宋" w:hAnsi="仿宋" w:cs="仿宋"/>
                <w:color w:val="000000"/>
                <w:kern w:val="0"/>
                <w:sz w:val="18"/>
                <w:szCs w:val="18"/>
                <w:lang w:val="en-US" w:eastAsia="zh-CN" w:bidi="ar"/>
              </w:rPr>
              <w:t>13</w:t>
            </w:r>
          </w:p>
        </w:tc>
        <w:tc>
          <w:tcPr>
            <w:tcW w:w="20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536.90</w:t>
            </w:r>
          </w:p>
        </w:tc>
        <w:tc>
          <w:tcPr>
            <w:tcW w:w="1383"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63.53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64" w:type="pct"/>
            <w:vAlign w:val="center"/>
          </w:tcPr>
          <w:p>
            <w:pPr>
              <w:spacing w:line="400" w:lineRule="exact"/>
              <w:jc w:val="center"/>
              <w:rPr>
                <w:rFonts w:ascii="仿宋" w:hAnsi="仿宋" w:cs="仿宋"/>
                <w:sz w:val="18"/>
                <w:szCs w:val="18"/>
              </w:rPr>
            </w:pPr>
            <w:r>
              <w:rPr>
                <w:rFonts w:hint="eastAsia" w:ascii="仿宋" w:hAnsi="仿宋" w:cs="仿宋"/>
                <w:sz w:val="18"/>
                <w:szCs w:val="18"/>
              </w:rPr>
              <w:t>3</w:t>
            </w:r>
          </w:p>
        </w:tc>
        <w:tc>
          <w:tcPr>
            <w:tcW w:w="520" w:type="pct"/>
            <w:vAlign w:val="center"/>
          </w:tcPr>
          <w:p>
            <w:pPr>
              <w:spacing w:line="400" w:lineRule="exact"/>
              <w:jc w:val="center"/>
              <w:rPr>
                <w:rFonts w:ascii="仿宋" w:hAnsi="仿宋" w:cs="仿宋"/>
                <w:sz w:val="18"/>
                <w:szCs w:val="18"/>
              </w:rPr>
            </w:pPr>
            <w:r>
              <w:rPr>
                <w:rFonts w:hint="eastAsia" w:ascii="仿宋" w:hAnsi="仿宋" w:cs="仿宋"/>
                <w:sz w:val="18"/>
                <w:szCs w:val="18"/>
              </w:rPr>
              <w:t>兴宁市</w:t>
            </w:r>
          </w:p>
        </w:tc>
        <w:tc>
          <w:tcPr>
            <w:tcW w:w="794"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511.47</w:t>
            </w:r>
          </w:p>
        </w:tc>
        <w:tc>
          <w:tcPr>
            <w:tcW w:w="770"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126.46</w:t>
            </w:r>
          </w:p>
        </w:tc>
        <w:tc>
          <w:tcPr>
            <w:tcW w:w="14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bidi="ar"/>
              </w:rPr>
              <w:t>475.34</w:t>
            </w:r>
          </w:p>
        </w:tc>
        <w:tc>
          <w:tcPr>
            <w:tcW w:w="20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125.90</w:t>
            </w:r>
          </w:p>
        </w:tc>
        <w:tc>
          <w:tcPr>
            <w:tcW w:w="1383"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36.69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exact"/>
        </w:trPr>
        <w:tc>
          <w:tcPr>
            <w:tcW w:w="264" w:type="pct"/>
            <w:vAlign w:val="center"/>
          </w:tcPr>
          <w:p>
            <w:pPr>
              <w:spacing w:line="400" w:lineRule="exact"/>
              <w:jc w:val="center"/>
              <w:rPr>
                <w:rFonts w:ascii="仿宋" w:hAnsi="仿宋" w:cs="仿宋"/>
                <w:sz w:val="18"/>
                <w:szCs w:val="18"/>
              </w:rPr>
            </w:pPr>
            <w:r>
              <w:rPr>
                <w:rFonts w:hint="eastAsia" w:ascii="仿宋" w:hAnsi="仿宋" w:cs="仿宋"/>
                <w:sz w:val="18"/>
                <w:szCs w:val="18"/>
              </w:rPr>
              <w:t>4</w:t>
            </w:r>
          </w:p>
        </w:tc>
        <w:tc>
          <w:tcPr>
            <w:tcW w:w="520" w:type="pct"/>
            <w:vAlign w:val="center"/>
          </w:tcPr>
          <w:p>
            <w:pPr>
              <w:spacing w:line="400" w:lineRule="exact"/>
              <w:jc w:val="center"/>
              <w:rPr>
                <w:rFonts w:ascii="仿宋" w:hAnsi="仿宋" w:cs="仿宋"/>
                <w:sz w:val="18"/>
                <w:szCs w:val="18"/>
              </w:rPr>
            </w:pPr>
            <w:r>
              <w:rPr>
                <w:rFonts w:hint="eastAsia" w:ascii="仿宋" w:hAnsi="仿宋" w:cs="仿宋"/>
                <w:sz w:val="18"/>
                <w:szCs w:val="18"/>
              </w:rPr>
              <w:t>平远县</w:t>
            </w:r>
          </w:p>
        </w:tc>
        <w:tc>
          <w:tcPr>
            <w:tcW w:w="794"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425.45</w:t>
            </w:r>
          </w:p>
        </w:tc>
        <w:tc>
          <w:tcPr>
            <w:tcW w:w="770"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90.27</w:t>
            </w:r>
          </w:p>
        </w:tc>
        <w:tc>
          <w:tcPr>
            <w:tcW w:w="14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399.99</w:t>
            </w:r>
          </w:p>
        </w:tc>
        <w:tc>
          <w:tcPr>
            <w:tcW w:w="20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86.18</w:t>
            </w:r>
          </w:p>
        </w:tc>
        <w:tc>
          <w:tcPr>
            <w:tcW w:w="1383"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29.55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64" w:type="pct"/>
            <w:vAlign w:val="center"/>
          </w:tcPr>
          <w:p>
            <w:pPr>
              <w:spacing w:line="400" w:lineRule="exact"/>
              <w:jc w:val="center"/>
              <w:rPr>
                <w:rFonts w:ascii="仿宋" w:hAnsi="仿宋" w:cs="仿宋"/>
                <w:sz w:val="18"/>
                <w:szCs w:val="18"/>
              </w:rPr>
            </w:pPr>
            <w:r>
              <w:rPr>
                <w:rFonts w:hint="eastAsia" w:ascii="仿宋" w:hAnsi="仿宋" w:cs="仿宋"/>
                <w:sz w:val="18"/>
                <w:szCs w:val="18"/>
              </w:rPr>
              <w:t>5</w:t>
            </w:r>
          </w:p>
        </w:tc>
        <w:tc>
          <w:tcPr>
            <w:tcW w:w="520" w:type="pct"/>
            <w:vAlign w:val="center"/>
          </w:tcPr>
          <w:p>
            <w:pPr>
              <w:spacing w:line="400" w:lineRule="exact"/>
              <w:jc w:val="center"/>
              <w:rPr>
                <w:rFonts w:ascii="仿宋" w:hAnsi="仿宋" w:cs="仿宋"/>
                <w:sz w:val="18"/>
                <w:szCs w:val="18"/>
              </w:rPr>
            </w:pPr>
            <w:r>
              <w:rPr>
                <w:rFonts w:hint="eastAsia" w:ascii="仿宋" w:hAnsi="仿宋" w:cs="仿宋"/>
                <w:sz w:val="18"/>
                <w:szCs w:val="18"/>
              </w:rPr>
              <w:t>蕉岭县</w:t>
            </w:r>
          </w:p>
        </w:tc>
        <w:tc>
          <w:tcPr>
            <w:tcW w:w="794"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376.47</w:t>
            </w:r>
          </w:p>
        </w:tc>
        <w:tc>
          <w:tcPr>
            <w:tcW w:w="770"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180.78</w:t>
            </w:r>
          </w:p>
        </w:tc>
        <w:tc>
          <w:tcPr>
            <w:tcW w:w="14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bidi="ar"/>
              </w:rPr>
              <w:t>342.</w:t>
            </w:r>
            <w:r>
              <w:rPr>
                <w:rFonts w:hint="eastAsia" w:ascii="仿宋" w:hAnsi="仿宋" w:cs="仿宋"/>
                <w:color w:val="000000"/>
                <w:kern w:val="0"/>
                <w:sz w:val="18"/>
                <w:szCs w:val="18"/>
                <w:lang w:val="en-US" w:eastAsia="zh-CN" w:bidi="ar"/>
              </w:rPr>
              <w:t>36</w:t>
            </w:r>
          </w:p>
        </w:tc>
        <w:tc>
          <w:tcPr>
            <w:tcW w:w="20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173.27</w:t>
            </w:r>
          </w:p>
        </w:tc>
        <w:tc>
          <w:tcPr>
            <w:tcW w:w="1383"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41.62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64" w:type="pct"/>
            <w:vAlign w:val="center"/>
          </w:tcPr>
          <w:p>
            <w:pPr>
              <w:spacing w:line="400" w:lineRule="exact"/>
              <w:jc w:val="center"/>
              <w:rPr>
                <w:rFonts w:ascii="仿宋" w:hAnsi="仿宋" w:cs="仿宋"/>
                <w:sz w:val="18"/>
                <w:szCs w:val="18"/>
              </w:rPr>
            </w:pPr>
            <w:r>
              <w:rPr>
                <w:rFonts w:hint="eastAsia" w:ascii="仿宋" w:hAnsi="仿宋" w:cs="仿宋"/>
                <w:sz w:val="18"/>
                <w:szCs w:val="18"/>
              </w:rPr>
              <w:t>6</w:t>
            </w:r>
          </w:p>
        </w:tc>
        <w:tc>
          <w:tcPr>
            <w:tcW w:w="520" w:type="pct"/>
            <w:vAlign w:val="center"/>
          </w:tcPr>
          <w:p>
            <w:pPr>
              <w:spacing w:line="400" w:lineRule="exact"/>
              <w:jc w:val="center"/>
              <w:rPr>
                <w:rFonts w:ascii="仿宋" w:hAnsi="仿宋" w:cs="仿宋"/>
                <w:sz w:val="18"/>
                <w:szCs w:val="18"/>
              </w:rPr>
            </w:pPr>
            <w:r>
              <w:rPr>
                <w:rFonts w:hint="eastAsia" w:ascii="仿宋" w:hAnsi="仿宋" w:cs="仿宋"/>
                <w:sz w:val="18"/>
                <w:szCs w:val="18"/>
              </w:rPr>
              <w:t>大埔县</w:t>
            </w:r>
          </w:p>
        </w:tc>
        <w:tc>
          <w:tcPr>
            <w:tcW w:w="794"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793.94</w:t>
            </w:r>
          </w:p>
        </w:tc>
        <w:tc>
          <w:tcPr>
            <w:tcW w:w="770"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691.94</w:t>
            </w:r>
          </w:p>
        </w:tc>
        <w:tc>
          <w:tcPr>
            <w:tcW w:w="14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bidi="ar"/>
              </w:rPr>
              <w:t>677.4</w:t>
            </w:r>
            <w:r>
              <w:rPr>
                <w:rFonts w:hint="eastAsia" w:ascii="仿宋" w:hAnsi="仿宋" w:cs="仿宋"/>
                <w:color w:val="000000"/>
                <w:kern w:val="0"/>
                <w:sz w:val="18"/>
                <w:szCs w:val="18"/>
                <w:lang w:val="en-US" w:eastAsia="zh-CN" w:bidi="ar"/>
              </w:rPr>
              <w:t>3</w:t>
            </w:r>
          </w:p>
        </w:tc>
        <w:tc>
          <w:tcPr>
            <w:tcW w:w="20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681.06</w:t>
            </w:r>
          </w:p>
        </w:tc>
        <w:tc>
          <w:tcPr>
            <w:tcW w:w="1383"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127.39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64" w:type="pct"/>
            <w:vAlign w:val="center"/>
          </w:tcPr>
          <w:p>
            <w:pPr>
              <w:spacing w:line="400" w:lineRule="exact"/>
              <w:jc w:val="center"/>
              <w:rPr>
                <w:rFonts w:ascii="仿宋" w:hAnsi="仿宋" w:cs="仿宋"/>
                <w:sz w:val="18"/>
                <w:szCs w:val="18"/>
              </w:rPr>
            </w:pPr>
            <w:r>
              <w:rPr>
                <w:rFonts w:hint="eastAsia" w:ascii="仿宋" w:hAnsi="仿宋" w:cs="仿宋"/>
                <w:sz w:val="18"/>
                <w:szCs w:val="18"/>
              </w:rPr>
              <w:t>7</w:t>
            </w:r>
          </w:p>
        </w:tc>
        <w:tc>
          <w:tcPr>
            <w:tcW w:w="520" w:type="pct"/>
            <w:vAlign w:val="center"/>
          </w:tcPr>
          <w:p>
            <w:pPr>
              <w:spacing w:line="400" w:lineRule="exact"/>
              <w:jc w:val="center"/>
              <w:rPr>
                <w:rFonts w:ascii="仿宋" w:hAnsi="仿宋" w:cs="仿宋"/>
                <w:sz w:val="18"/>
                <w:szCs w:val="18"/>
              </w:rPr>
            </w:pPr>
            <w:r>
              <w:rPr>
                <w:rFonts w:hint="eastAsia" w:ascii="仿宋" w:hAnsi="仿宋" w:cs="仿宋"/>
                <w:sz w:val="18"/>
                <w:szCs w:val="18"/>
              </w:rPr>
              <w:t>丰顺县</w:t>
            </w:r>
          </w:p>
        </w:tc>
        <w:tc>
          <w:tcPr>
            <w:tcW w:w="794"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902.13</w:t>
            </w:r>
          </w:p>
        </w:tc>
        <w:tc>
          <w:tcPr>
            <w:tcW w:w="770"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555.54</w:t>
            </w:r>
          </w:p>
        </w:tc>
        <w:tc>
          <w:tcPr>
            <w:tcW w:w="14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bidi="ar"/>
              </w:rPr>
              <w:t>851.26</w:t>
            </w:r>
          </w:p>
        </w:tc>
        <w:tc>
          <w:tcPr>
            <w:tcW w:w="20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548.05</w:t>
            </w:r>
          </w:p>
        </w:tc>
        <w:tc>
          <w:tcPr>
            <w:tcW w:w="1383"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58.36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64" w:type="pct"/>
            <w:vAlign w:val="center"/>
          </w:tcPr>
          <w:p>
            <w:pPr>
              <w:spacing w:line="400" w:lineRule="exact"/>
              <w:jc w:val="center"/>
              <w:rPr>
                <w:rFonts w:ascii="仿宋" w:hAnsi="仿宋" w:cs="仿宋"/>
                <w:sz w:val="18"/>
                <w:szCs w:val="18"/>
              </w:rPr>
            </w:pPr>
            <w:r>
              <w:rPr>
                <w:rFonts w:hint="eastAsia" w:ascii="仿宋" w:hAnsi="仿宋" w:cs="仿宋"/>
                <w:sz w:val="18"/>
                <w:szCs w:val="18"/>
              </w:rPr>
              <w:t>8</w:t>
            </w:r>
          </w:p>
        </w:tc>
        <w:tc>
          <w:tcPr>
            <w:tcW w:w="520" w:type="pct"/>
            <w:vAlign w:val="center"/>
          </w:tcPr>
          <w:p>
            <w:pPr>
              <w:spacing w:line="400" w:lineRule="exact"/>
              <w:jc w:val="center"/>
              <w:rPr>
                <w:rFonts w:ascii="仿宋" w:hAnsi="仿宋" w:cs="仿宋"/>
                <w:sz w:val="18"/>
                <w:szCs w:val="18"/>
              </w:rPr>
            </w:pPr>
            <w:r>
              <w:rPr>
                <w:rFonts w:hint="eastAsia" w:ascii="仿宋" w:hAnsi="仿宋" w:cs="仿宋"/>
                <w:sz w:val="18"/>
                <w:szCs w:val="18"/>
              </w:rPr>
              <w:t>五华县</w:t>
            </w:r>
          </w:p>
        </w:tc>
        <w:tc>
          <w:tcPr>
            <w:tcW w:w="794"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679.69</w:t>
            </w:r>
          </w:p>
        </w:tc>
        <w:tc>
          <w:tcPr>
            <w:tcW w:w="770"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591.98</w:t>
            </w:r>
          </w:p>
        </w:tc>
        <w:tc>
          <w:tcPr>
            <w:tcW w:w="1410" w:type="dxa"/>
            <w:vAlign w:val="center"/>
          </w:tcPr>
          <w:p>
            <w:pPr>
              <w:widowControl/>
              <w:spacing w:line="400" w:lineRule="exact"/>
              <w:jc w:val="center"/>
              <w:textAlignment w:val="center"/>
              <w:rPr>
                <w:rFonts w:hint="default" w:ascii="仿宋" w:hAnsi="仿宋" w:cs="仿宋"/>
                <w:color w:val="000000"/>
                <w:kern w:val="0"/>
                <w:sz w:val="18"/>
                <w:szCs w:val="18"/>
                <w:lang w:val="en-US" w:eastAsia="zh-CN" w:bidi="ar"/>
              </w:rPr>
            </w:pPr>
            <w:r>
              <w:rPr>
                <w:rFonts w:hint="eastAsia" w:ascii="仿宋" w:hAnsi="仿宋" w:cs="仿宋"/>
                <w:color w:val="000000"/>
                <w:kern w:val="0"/>
                <w:sz w:val="18"/>
                <w:szCs w:val="18"/>
                <w:lang w:bidi="ar"/>
              </w:rPr>
              <w:t>624.19</w:t>
            </w:r>
          </w:p>
        </w:tc>
        <w:tc>
          <w:tcPr>
            <w:tcW w:w="20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583.94</w:t>
            </w:r>
          </w:p>
        </w:tc>
        <w:tc>
          <w:tcPr>
            <w:tcW w:w="1383"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63.54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85" w:type="pct"/>
            <w:gridSpan w:val="2"/>
            <w:vAlign w:val="center"/>
          </w:tcPr>
          <w:p>
            <w:pPr>
              <w:spacing w:line="400" w:lineRule="exact"/>
              <w:jc w:val="center"/>
              <w:rPr>
                <w:rFonts w:ascii="仿宋" w:hAnsi="仿宋" w:cs="仿宋"/>
                <w:sz w:val="18"/>
                <w:szCs w:val="18"/>
              </w:rPr>
            </w:pPr>
            <w:r>
              <w:rPr>
                <w:rFonts w:hint="eastAsia" w:ascii="仿宋" w:hAnsi="仿宋" w:cs="仿宋"/>
                <w:sz w:val="18"/>
                <w:szCs w:val="18"/>
              </w:rPr>
              <w:t>全市合计</w:t>
            </w:r>
          </w:p>
        </w:tc>
        <w:tc>
          <w:tcPr>
            <w:tcW w:w="794"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4305.28</w:t>
            </w:r>
          </w:p>
        </w:tc>
        <w:tc>
          <w:tcPr>
            <w:tcW w:w="770" w:type="pct"/>
            <w:vAlign w:val="center"/>
          </w:tcPr>
          <w:p>
            <w:pPr>
              <w:widowControl/>
              <w:spacing w:line="400" w:lineRule="exact"/>
              <w:jc w:val="center"/>
              <w:textAlignment w:val="center"/>
              <w:rPr>
                <w:rFonts w:ascii="仿宋" w:hAnsi="仿宋" w:cs="仿宋"/>
                <w:sz w:val="18"/>
                <w:szCs w:val="18"/>
              </w:rPr>
            </w:pPr>
            <w:r>
              <w:rPr>
                <w:rFonts w:hint="eastAsia" w:ascii="仿宋" w:hAnsi="仿宋" w:cs="仿宋"/>
                <w:color w:val="000000"/>
                <w:kern w:val="0"/>
                <w:sz w:val="18"/>
                <w:szCs w:val="18"/>
                <w:lang w:bidi="ar"/>
              </w:rPr>
              <w:t>2779.59</w:t>
            </w:r>
          </w:p>
        </w:tc>
        <w:tc>
          <w:tcPr>
            <w:tcW w:w="14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bidi="ar"/>
              </w:rPr>
              <w:t>3926.90</w:t>
            </w:r>
          </w:p>
        </w:tc>
        <w:tc>
          <w:tcPr>
            <w:tcW w:w="2010"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2735.30</w:t>
            </w:r>
          </w:p>
        </w:tc>
        <w:tc>
          <w:tcPr>
            <w:tcW w:w="1383" w:type="dxa"/>
            <w:vAlign w:val="center"/>
          </w:tcPr>
          <w:p>
            <w:pPr>
              <w:widowControl/>
              <w:spacing w:line="400" w:lineRule="exact"/>
              <w:jc w:val="center"/>
              <w:textAlignment w:val="center"/>
              <w:rPr>
                <w:rFonts w:hint="eastAsia" w:ascii="仿宋" w:hAnsi="仿宋" w:cs="仿宋"/>
                <w:color w:val="000000"/>
                <w:kern w:val="0"/>
                <w:sz w:val="18"/>
                <w:szCs w:val="18"/>
                <w:lang w:bidi="ar"/>
              </w:rPr>
            </w:pPr>
            <w:r>
              <w:rPr>
                <w:rFonts w:hint="eastAsia" w:ascii="仿宋" w:hAnsi="仿宋" w:cs="仿宋"/>
                <w:color w:val="000000"/>
                <w:kern w:val="0"/>
                <w:sz w:val="18"/>
                <w:szCs w:val="18"/>
                <w:lang w:val="en-US" w:eastAsia="zh-CN" w:bidi="ar"/>
              </w:rPr>
              <w:t>422.67</w:t>
            </w:r>
          </w:p>
        </w:tc>
      </w:tr>
    </w:tbl>
    <w:p>
      <w:pPr>
        <w:spacing w:line="400" w:lineRule="exact"/>
        <w:rPr>
          <w:rFonts w:eastAsiaTheme="minorEastAsia"/>
          <w:sz w:val="24"/>
        </w:rPr>
      </w:pPr>
      <w:r>
        <w:rPr>
          <w:rFonts w:hint="eastAsia" w:eastAsiaTheme="minorEastAsia"/>
          <w:sz w:val="24"/>
        </w:rPr>
        <w:br w:type="page"/>
      </w:r>
    </w:p>
    <w:p>
      <w:pPr>
        <w:bidi w:val="0"/>
        <w:rPr>
          <w:rFonts w:hint="eastAsia"/>
        </w:rPr>
      </w:pPr>
    </w:p>
    <w:p>
      <w:pPr>
        <w:pStyle w:val="7"/>
      </w:pPr>
      <w:r>
        <w:rPr>
          <w:rFonts w:hint="eastAsia"/>
        </w:rPr>
        <w:t>3.2.3.2调入区域类型①——生态保护红线调出区域</w:t>
      </w:r>
    </w:p>
    <w:p>
      <w:pPr>
        <w:ind w:firstLine="664" w:firstLineChars="200"/>
      </w:pPr>
      <w:r>
        <w:rPr>
          <w:rFonts w:hint="eastAsia"/>
        </w:rPr>
        <w:t>将生态保护红线调出区域扣除掉城镇开发边界、各类矿山，和其他重点项目范围之后，筛选出和国土空间规划的生态控制区相重叠部分纳入到一般生态空间。同时考虑到生态空间的完整性和连通性，面积小于0.2km</w:t>
      </w:r>
      <w:r>
        <w:rPr>
          <w:rFonts w:hint="eastAsia"/>
          <w:vertAlign w:val="superscript"/>
        </w:rPr>
        <w:t>2</w:t>
      </w:r>
      <w:r>
        <w:rPr>
          <w:rFonts w:hint="eastAsia"/>
        </w:rPr>
        <w:t>的碎斑</w:t>
      </w:r>
      <w:r>
        <w:rPr>
          <w:rFonts w:hint="eastAsia"/>
          <w:lang w:eastAsia="zh-CN"/>
        </w:rPr>
        <w:t>（多为线状）</w:t>
      </w:r>
      <w:r>
        <w:rPr>
          <w:rFonts w:hint="eastAsia"/>
        </w:rPr>
        <w:t>未补到一般生态空间。梅州市生态保护红线调出区域实际调入一般生态空间面积为243.</w:t>
      </w:r>
      <w:r>
        <w:rPr>
          <w:rFonts w:hint="eastAsia"/>
          <w:lang w:val="en-US" w:eastAsia="zh-CN"/>
        </w:rPr>
        <w:t>48</w:t>
      </w:r>
      <w:r>
        <w:rPr>
          <w:rFonts w:hint="eastAsia"/>
        </w:rPr>
        <w:t>km</w:t>
      </w:r>
      <w:r>
        <w:rPr>
          <w:rFonts w:hint="eastAsia"/>
          <w:vertAlign w:val="superscript"/>
        </w:rPr>
        <w:t>2</w:t>
      </w:r>
      <w:r>
        <w:rPr>
          <w:rFonts w:hint="eastAsia"/>
        </w:rPr>
        <w:t>。</w:t>
      </w:r>
    </w:p>
    <w:p>
      <w:pPr>
        <w:jc w:val="center"/>
      </w:pPr>
      <w:r>
        <w:rPr>
          <w:rFonts w:hint="eastAsia"/>
        </w:rPr>
        <w:drawing>
          <wp:inline distT="0" distB="0" distL="114300" distR="114300">
            <wp:extent cx="4366895" cy="4366895"/>
            <wp:effectExtent l="0" t="0" r="14605" b="14605"/>
            <wp:docPr id="46" name="图片 46" descr="C:\Users\lenovo\Desktop\拟补红线.png拟补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lenovo\Desktop\拟补红线.png拟补红线"/>
                    <pic:cNvPicPr>
                      <a:picLocks noChangeAspect="1"/>
                    </pic:cNvPicPr>
                  </pic:nvPicPr>
                  <pic:blipFill>
                    <a:blip r:embed="rId19"/>
                    <a:srcRect/>
                    <a:stretch>
                      <a:fillRect/>
                    </a:stretch>
                  </pic:blipFill>
                  <pic:spPr>
                    <a:xfrm>
                      <a:off x="0" y="0"/>
                      <a:ext cx="4366895" cy="4366895"/>
                    </a:xfrm>
                    <a:prstGeom prst="rect">
                      <a:avLst/>
                    </a:prstGeom>
                  </pic:spPr>
                </pic:pic>
              </a:graphicData>
            </a:graphic>
          </wp:inline>
        </w:drawing>
      </w:r>
    </w:p>
    <w:p>
      <w:pPr>
        <w:pStyle w:val="10"/>
        <w:jc w:val="center"/>
        <w:rPr>
          <w:rFonts w:eastAsia="宋体"/>
        </w:rPr>
      </w:pPr>
      <w:r>
        <w:t>图</w:t>
      </w:r>
      <w:r>
        <w:rPr>
          <w:rFonts w:hint="eastAsia"/>
        </w:rPr>
        <w:t>3-7拟补充到一般生态空间的红线调出区域</w:t>
      </w:r>
    </w:p>
    <w:p>
      <w:r>
        <w:br w:type="page"/>
      </w:r>
    </w:p>
    <w:p>
      <w:pPr>
        <w:pStyle w:val="10"/>
        <w:jc w:val="center"/>
      </w:pPr>
      <w:r>
        <w:t>表</w:t>
      </w:r>
      <w:r>
        <w:rPr>
          <w:rFonts w:hint="eastAsia"/>
        </w:rPr>
        <w:t>3-</w:t>
      </w:r>
      <w:r>
        <w:rPr>
          <w:rFonts w:hint="eastAsia"/>
          <w:lang w:val="en-US" w:eastAsia="zh-CN"/>
        </w:rPr>
        <w:t>9</w:t>
      </w:r>
      <w:r>
        <w:rPr>
          <w:rFonts w:hint="eastAsia"/>
        </w:rPr>
        <w:t>拟补到一般生态空间的红线调出区域</w:t>
      </w:r>
    </w:p>
    <w:tbl>
      <w:tblPr>
        <w:tblStyle w:val="23"/>
        <w:tblW w:w="0" w:type="auto"/>
        <w:tblInd w:w="91" w:type="dxa"/>
        <w:tblLayout w:type="fixed"/>
        <w:tblCellMar>
          <w:top w:w="0" w:type="dxa"/>
          <w:left w:w="108" w:type="dxa"/>
          <w:bottom w:w="0" w:type="dxa"/>
          <w:right w:w="108" w:type="dxa"/>
        </w:tblCellMar>
      </w:tblPr>
      <w:tblGrid>
        <w:gridCol w:w="797"/>
        <w:gridCol w:w="1457"/>
        <w:gridCol w:w="2505"/>
        <w:gridCol w:w="4209"/>
      </w:tblGrid>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b/>
                <w:bCs/>
                <w:color w:val="000000"/>
                <w:kern w:val="0"/>
                <w:sz w:val="24"/>
                <w:lang w:bidi="ar"/>
              </w:rPr>
            </w:pPr>
            <w:r>
              <w:rPr>
                <w:rFonts w:hint="eastAsia" w:ascii="仿宋" w:hAnsi="仿宋" w:cs="仿宋"/>
                <w:b/>
                <w:bCs/>
                <w:color w:val="000000"/>
                <w:kern w:val="0"/>
                <w:sz w:val="24"/>
                <w:lang w:bidi="ar"/>
              </w:rPr>
              <w:t>序号</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b/>
                <w:bCs/>
                <w:color w:val="000000"/>
                <w:kern w:val="0"/>
                <w:sz w:val="24"/>
                <w:lang w:bidi="ar"/>
              </w:rPr>
            </w:pPr>
            <w:r>
              <w:rPr>
                <w:rFonts w:hint="eastAsia" w:ascii="仿宋" w:hAnsi="仿宋" w:cs="仿宋"/>
                <w:b/>
                <w:bCs/>
                <w:color w:val="000000"/>
                <w:kern w:val="0"/>
                <w:sz w:val="24"/>
                <w:lang w:bidi="ar"/>
              </w:rPr>
              <w:t>行政</w:t>
            </w:r>
          </w:p>
          <w:p>
            <w:pPr>
              <w:widowControl/>
              <w:spacing w:line="400" w:lineRule="exact"/>
              <w:jc w:val="center"/>
              <w:textAlignment w:val="center"/>
              <w:rPr>
                <w:rFonts w:ascii="仿宋" w:hAnsi="仿宋" w:cs="仿宋"/>
                <w:b/>
                <w:bCs/>
                <w:color w:val="000000"/>
                <w:kern w:val="0"/>
                <w:sz w:val="24"/>
                <w:lang w:bidi="ar"/>
              </w:rPr>
            </w:pPr>
            <w:r>
              <w:rPr>
                <w:rFonts w:hint="eastAsia" w:ascii="仿宋" w:hAnsi="仿宋" w:cs="仿宋"/>
                <w:b/>
                <w:bCs/>
                <w:color w:val="000000"/>
                <w:kern w:val="0"/>
                <w:sz w:val="24"/>
                <w:lang w:bidi="ar"/>
              </w:rPr>
              <w:t>区划</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24"/>
                <w:lang w:bidi="ar"/>
              </w:rPr>
            </w:pPr>
            <w:r>
              <w:rPr>
                <w:rFonts w:hint="eastAsia" w:ascii="仿宋" w:hAnsi="仿宋" w:cs="仿宋"/>
                <w:b/>
                <w:bCs/>
                <w:color w:val="000000"/>
                <w:kern w:val="0"/>
                <w:sz w:val="24"/>
                <w:lang w:bidi="ar"/>
              </w:rPr>
              <w:t>生态保护红线</w:t>
            </w:r>
          </w:p>
          <w:p>
            <w:pPr>
              <w:widowControl/>
              <w:spacing w:line="400" w:lineRule="exact"/>
              <w:jc w:val="center"/>
              <w:textAlignment w:val="center"/>
              <w:rPr>
                <w:rFonts w:ascii="仿宋" w:hAnsi="仿宋" w:cs="仿宋"/>
                <w:b/>
                <w:bCs/>
                <w:color w:val="000000"/>
                <w:kern w:val="0"/>
                <w:sz w:val="24"/>
                <w:lang w:bidi="ar"/>
              </w:rPr>
            </w:pPr>
            <w:r>
              <w:rPr>
                <w:rFonts w:hint="eastAsia" w:ascii="仿宋" w:hAnsi="仿宋" w:cs="仿宋"/>
                <w:b/>
                <w:bCs/>
                <w:color w:val="000000"/>
                <w:kern w:val="0"/>
                <w:sz w:val="24"/>
                <w:lang w:bidi="ar"/>
              </w:rPr>
              <w:t>调出区域面积（km</w:t>
            </w:r>
            <w:r>
              <w:rPr>
                <w:rFonts w:hint="eastAsia" w:ascii="仿宋" w:hAnsi="仿宋" w:cs="仿宋"/>
                <w:b/>
                <w:bCs/>
                <w:color w:val="000000"/>
                <w:kern w:val="0"/>
                <w:sz w:val="24"/>
                <w:vertAlign w:val="superscript"/>
                <w:lang w:bidi="ar"/>
              </w:rPr>
              <w:t>2</w:t>
            </w:r>
            <w:r>
              <w:rPr>
                <w:rFonts w:hint="eastAsia" w:ascii="仿宋" w:hAnsi="仿宋" w:cs="仿宋"/>
                <w:b/>
                <w:bCs/>
                <w:color w:val="000000"/>
                <w:kern w:val="0"/>
                <w:sz w:val="24"/>
                <w:lang w:bidi="ar"/>
              </w:rPr>
              <w:t>）</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24"/>
                <w:lang w:bidi="ar"/>
              </w:rPr>
            </w:pPr>
            <w:r>
              <w:rPr>
                <w:rFonts w:hint="eastAsia" w:ascii="仿宋" w:hAnsi="仿宋" w:cs="仿宋"/>
                <w:b/>
                <w:bCs/>
                <w:color w:val="000000"/>
                <w:kern w:val="0"/>
                <w:sz w:val="24"/>
                <w:lang w:bidi="ar"/>
              </w:rPr>
              <w:t>红线调出区域</w:t>
            </w:r>
          </w:p>
          <w:p>
            <w:pPr>
              <w:widowControl/>
              <w:spacing w:line="400" w:lineRule="exact"/>
              <w:jc w:val="center"/>
              <w:textAlignment w:val="center"/>
              <w:rPr>
                <w:rFonts w:ascii="仿宋" w:hAnsi="仿宋" w:cs="仿宋"/>
                <w:b/>
                <w:bCs/>
                <w:color w:val="000000"/>
                <w:kern w:val="0"/>
                <w:sz w:val="24"/>
                <w:lang w:bidi="ar"/>
              </w:rPr>
            </w:pPr>
            <w:r>
              <w:rPr>
                <w:rFonts w:hint="eastAsia" w:ascii="仿宋" w:hAnsi="仿宋" w:cs="仿宋"/>
                <w:b/>
                <w:bCs/>
                <w:color w:val="000000"/>
                <w:kern w:val="0"/>
                <w:sz w:val="24"/>
                <w:lang w:bidi="ar"/>
              </w:rPr>
              <w:t>实际调入一般生态空间面积（km</w:t>
            </w:r>
            <w:r>
              <w:rPr>
                <w:rFonts w:hint="eastAsia" w:ascii="仿宋" w:hAnsi="仿宋" w:cs="仿宋"/>
                <w:b/>
                <w:bCs/>
                <w:color w:val="000000"/>
                <w:kern w:val="0"/>
                <w:sz w:val="24"/>
                <w:vertAlign w:val="superscript"/>
                <w:lang w:bidi="ar"/>
              </w:rPr>
              <w:t>2</w:t>
            </w:r>
            <w:r>
              <w:rPr>
                <w:rFonts w:hint="eastAsia" w:ascii="仿宋" w:hAnsi="仿宋" w:cs="仿宋"/>
                <w:b/>
                <w:bCs/>
                <w:color w:val="000000"/>
                <w:kern w:val="0"/>
                <w:sz w:val="24"/>
                <w:lang w:bidi="ar"/>
              </w:rPr>
              <w:t>）</w:t>
            </w:r>
          </w:p>
        </w:tc>
      </w:tr>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1</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梅江区</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1.97</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1.09</w:t>
            </w:r>
          </w:p>
        </w:tc>
      </w:tr>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2</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梅县区</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57.76</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36.28</w:t>
            </w:r>
          </w:p>
        </w:tc>
      </w:tr>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3</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兴宁市</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35.93</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hint="default" w:ascii="仿宋" w:hAnsi="仿宋" w:eastAsia="仿宋" w:cs="仿宋"/>
                <w:color w:val="000000"/>
                <w:kern w:val="0"/>
                <w:sz w:val="24"/>
                <w:lang w:val="en-US" w:eastAsia="zh-CN" w:bidi="ar"/>
              </w:rPr>
            </w:pPr>
            <w:r>
              <w:rPr>
                <w:rFonts w:hint="eastAsia" w:ascii="仿宋" w:hAnsi="仿宋" w:cs="仿宋"/>
                <w:color w:val="000000"/>
                <w:kern w:val="0"/>
                <w:sz w:val="24"/>
                <w:lang w:bidi="ar"/>
              </w:rPr>
              <w:t>17.</w:t>
            </w:r>
            <w:r>
              <w:rPr>
                <w:rFonts w:hint="eastAsia" w:ascii="仿宋" w:hAnsi="仿宋" w:cs="仿宋"/>
                <w:color w:val="000000"/>
                <w:kern w:val="0"/>
                <w:sz w:val="24"/>
                <w:lang w:val="en-US" w:eastAsia="zh-CN" w:bidi="ar"/>
              </w:rPr>
              <w:t>85</w:t>
            </w:r>
          </w:p>
        </w:tc>
      </w:tr>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4</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平远县</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25.35</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11.92</w:t>
            </w:r>
          </w:p>
        </w:tc>
      </w:tr>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5</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蕉岭县</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34.06</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27.21</w:t>
            </w:r>
          </w:p>
        </w:tc>
      </w:tr>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6</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大埔县</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116.55</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87.12</w:t>
            </w:r>
          </w:p>
        </w:tc>
      </w:tr>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7</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丰顺县</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50.74</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sz w:val="24"/>
              </w:rPr>
              <w:t>32.07</w:t>
            </w:r>
          </w:p>
        </w:tc>
      </w:tr>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8</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五华县</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57.69</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29.94</w:t>
            </w:r>
          </w:p>
        </w:tc>
      </w:tr>
      <w:tr>
        <w:tblPrEx>
          <w:tblCellMar>
            <w:top w:w="0" w:type="dxa"/>
            <w:left w:w="108" w:type="dxa"/>
            <w:bottom w:w="0" w:type="dxa"/>
            <w:right w:w="108" w:type="dxa"/>
          </w:tblCellMar>
        </w:tblPrEx>
        <w:trPr>
          <w:trHeight w:val="23" w:hRule="atLeast"/>
        </w:trPr>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9</w:t>
            </w:r>
          </w:p>
        </w:tc>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全市合计</w:t>
            </w:r>
          </w:p>
        </w:tc>
        <w:tc>
          <w:tcPr>
            <w:tcW w:w="250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380.06</w:t>
            </w:r>
          </w:p>
        </w:tc>
        <w:tc>
          <w:tcPr>
            <w:tcW w:w="42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400" w:lineRule="exact"/>
              <w:jc w:val="center"/>
              <w:textAlignment w:val="center"/>
              <w:rPr>
                <w:rFonts w:hint="default" w:ascii="仿宋" w:hAnsi="仿宋" w:eastAsia="仿宋" w:cs="仿宋"/>
                <w:color w:val="000000"/>
                <w:kern w:val="0"/>
                <w:sz w:val="24"/>
                <w:lang w:val="en-US" w:eastAsia="zh-CN" w:bidi="ar"/>
              </w:rPr>
            </w:pPr>
            <w:r>
              <w:rPr>
                <w:rFonts w:hint="eastAsia" w:ascii="仿宋" w:hAnsi="仿宋" w:cs="仿宋"/>
                <w:color w:val="000000"/>
                <w:kern w:val="0"/>
                <w:sz w:val="24"/>
                <w:lang w:bidi="ar"/>
              </w:rPr>
              <w:t>243.</w:t>
            </w:r>
            <w:r>
              <w:rPr>
                <w:rFonts w:hint="eastAsia" w:ascii="仿宋" w:hAnsi="仿宋" w:cs="仿宋"/>
                <w:color w:val="000000"/>
                <w:kern w:val="0"/>
                <w:sz w:val="24"/>
                <w:lang w:val="en-US" w:eastAsia="zh-CN" w:bidi="ar"/>
              </w:rPr>
              <w:t>48</w:t>
            </w:r>
          </w:p>
        </w:tc>
      </w:tr>
    </w:tbl>
    <w:p>
      <w:pPr>
        <w:spacing w:line="400" w:lineRule="exact"/>
        <w:rPr>
          <w:rFonts w:eastAsiaTheme="minorEastAsia"/>
          <w:sz w:val="24"/>
        </w:rPr>
      </w:pPr>
      <w:r>
        <w:rPr>
          <w:rFonts w:hint="eastAsia" w:eastAsiaTheme="minorEastAsia"/>
          <w:sz w:val="24"/>
        </w:rPr>
        <w:br w:type="page"/>
      </w:r>
    </w:p>
    <w:p>
      <w:pPr>
        <w:pStyle w:val="7"/>
      </w:pPr>
      <w:r>
        <w:rPr>
          <w:rFonts w:hint="eastAsia"/>
        </w:rPr>
        <w:t>3.2.3.3调入区域类型②——补充划定的一般生态空间</w:t>
      </w:r>
    </w:p>
    <w:p>
      <w:pPr>
        <w:ind w:firstLine="664" w:firstLineChars="200"/>
      </w:pPr>
      <w:r>
        <w:rPr>
          <w:rFonts w:hint="eastAsia"/>
        </w:rPr>
        <w:t>结合上述分析结果，为实现生态空间占补平衡，在将调出的生态保护红线</w:t>
      </w:r>
      <w:r>
        <w:rPr>
          <w:rFonts w:hint="eastAsia"/>
          <w:lang w:eastAsia="zh-CN"/>
        </w:rPr>
        <w:t>（</w:t>
      </w:r>
      <w:r>
        <w:rPr>
          <w:rFonts w:hint="eastAsia"/>
        </w:rPr>
        <w:t>筛选出和国土空间规划的生态控制区相重叠部分</w:t>
      </w:r>
      <w:r>
        <w:rPr>
          <w:rFonts w:hint="eastAsia"/>
          <w:lang w:eastAsia="zh-CN"/>
        </w:rPr>
        <w:t>）</w:t>
      </w:r>
      <w:r>
        <w:rPr>
          <w:rFonts w:hint="eastAsia"/>
        </w:rPr>
        <w:t>纳入到一般生态空间之后，仍需补划一般生态空间179.1</w:t>
      </w:r>
      <w:r>
        <w:rPr>
          <w:rFonts w:hint="eastAsia"/>
          <w:lang w:val="en-US" w:eastAsia="zh-CN"/>
        </w:rPr>
        <w:t>9</w:t>
      </w:r>
      <w:r>
        <w:rPr>
          <w:rFonts w:hint="eastAsia"/>
        </w:rPr>
        <w:t>km</w:t>
      </w:r>
      <w:r>
        <w:rPr>
          <w:rFonts w:hint="eastAsia"/>
          <w:vertAlign w:val="superscript"/>
        </w:rPr>
        <w:t>2</w:t>
      </w:r>
      <w:r>
        <w:rPr>
          <w:rFonts w:hint="eastAsia"/>
        </w:rPr>
        <w:t>。</w:t>
      </w:r>
    </w:p>
    <w:p>
      <w:pPr>
        <w:pStyle w:val="10"/>
        <w:jc w:val="center"/>
      </w:pPr>
      <w:r>
        <w:t>表</w:t>
      </w:r>
      <w:r>
        <w:rPr>
          <w:rFonts w:hint="eastAsia"/>
        </w:rPr>
        <w:t>3-</w:t>
      </w:r>
      <w:r>
        <w:rPr>
          <w:rFonts w:hint="eastAsia"/>
          <w:lang w:val="en-US" w:eastAsia="zh-CN"/>
        </w:rPr>
        <w:t>10</w:t>
      </w:r>
      <w:r>
        <w:rPr>
          <w:rFonts w:hint="eastAsia"/>
        </w:rPr>
        <w:t>需补划的一般生态空间情况</w:t>
      </w:r>
    </w:p>
    <w:tbl>
      <w:tblPr>
        <w:tblStyle w:val="23"/>
        <w:tblW w:w="4999" w:type="pct"/>
        <w:tblInd w:w="0" w:type="dxa"/>
        <w:tblLayout w:type="autofit"/>
        <w:tblCellMar>
          <w:top w:w="0" w:type="dxa"/>
          <w:left w:w="108" w:type="dxa"/>
          <w:bottom w:w="0" w:type="dxa"/>
          <w:right w:w="108" w:type="dxa"/>
        </w:tblCellMar>
      </w:tblPr>
      <w:tblGrid>
        <w:gridCol w:w="1033"/>
        <w:gridCol w:w="1631"/>
        <w:gridCol w:w="3197"/>
        <w:gridCol w:w="3198"/>
      </w:tblGrid>
      <w:tr>
        <w:tblPrEx>
          <w:tblCellMar>
            <w:top w:w="0" w:type="dxa"/>
            <w:left w:w="108" w:type="dxa"/>
            <w:bottom w:w="0" w:type="dxa"/>
            <w:right w:w="108" w:type="dxa"/>
          </w:tblCellMar>
        </w:tblPrEx>
        <w:trPr>
          <w:trHeight w:val="90" w:hRule="atLeast"/>
        </w:trPr>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sz w:val="22"/>
                <w:szCs w:val="22"/>
              </w:rPr>
            </w:pPr>
            <w:r>
              <w:rPr>
                <w:rFonts w:hint="eastAsia" w:ascii="仿宋" w:hAnsi="仿宋" w:cs="仿宋"/>
                <w:b/>
                <w:bCs/>
                <w:color w:val="000000"/>
                <w:kern w:val="0"/>
                <w:sz w:val="22"/>
                <w:szCs w:val="22"/>
                <w:lang w:bidi="ar"/>
              </w:rPr>
              <w:t>序号</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22"/>
                <w:szCs w:val="22"/>
                <w:lang w:bidi="ar"/>
              </w:rPr>
            </w:pPr>
            <w:r>
              <w:rPr>
                <w:rFonts w:hint="eastAsia" w:ascii="仿宋" w:hAnsi="仿宋" w:cs="仿宋"/>
                <w:b/>
                <w:bCs/>
                <w:color w:val="000000"/>
                <w:kern w:val="0"/>
                <w:sz w:val="22"/>
                <w:szCs w:val="22"/>
                <w:lang w:bidi="ar"/>
              </w:rPr>
              <w:t>行政</w:t>
            </w:r>
          </w:p>
          <w:p>
            <w:pPr>
              <w:widowControl/>
              <w:spacing w:line="400" w:lineRule="exact"/>
              <w:jc w:val="center"/>
              <w:textAlignment w:val="center"/>
              <w:rPr>
                <w:rFonts w:ascii="仿宋" w:hAnsi="仿宋" w:cs="仿宋"/>
                <w:b/>
                <w:bCs/>
                <w:color w:val="000000"/>
                <w:sz w:val="22"/>
                <w:szCs w:val="22"/>
              </w:rPr>
            </w:pPr>
            <w:r>
              <w:rPr>
                <w:rFonts w:hint="eastAsia" w:ascii="仿宋" w:hAnsi="仿宋" w:cs="仿宋"/>
                <w:b/>
                <w:bCs/>
                <w:color w:val="000000"/>
                <w:kern w:val="0"/>
                <w:sz w:val="22"/>
                <w:szCs w:val="22"/>
                <w:lang w:bidi="ar"/>
              </w:rPr>
              <w:t>区划</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sz w:val="22"/>
                <w:szCs w:val="22"/>
              </w:rPr>
            </w:pPr>
            <w:r>
              <w:rPr>
                <w:rFonts w:hint="eastAsia" w:ascii="仿宋" w:hAnsi="仿宋" w:cs="仿宋"/>
                <w:b/>
                <w:bCs/>
                <w:color w:val="000000"/>
                <w:kern w:val="0"/>
                <w:sz w:val="22"/>
                <w:szCs w:val="22"/>
                <w:lang w:bidi="ar"/>
              </w:rPr>
              <w:t>保证生态空间总体占补平衡需补充的一般生态空间面积（km</w:t>
            </w:r>
            <w:r>
              <w:rPr>
                <w:rFonts w:hint="eastAsia" w:ascii="仿宋" w:hAnsi="仿宋" w:cs="仿宋"/>
                <w:b/>
                <w:bCs/>
                <w:color w:val="000000"/>
                <w:kern w:val="0"/>
                <w:sz w:val="22"/>
                <w:szCs w:val="22"/>
                <w:vertAlign w:val="superscript"/>
                <w:lang w:bidi="ar"/>
              </w:rPr>
              <w:t>2</w:t>
            </w:r>
            <w:r>
              <w:rPr>
                <w:rFonts w:hint="eastAsia" w:ascii="仿宋" w:hAnsi="仿宋" w:cs="仿宋"/>
                <w:b/>
                <w:bCs/>
                <w:color w:val="000000"/>
                <w:kern w:val="0"/>
                <w:sz w:val="22"/>
                <w:szCs w:val="22"/>
                <w:lang w:bidi="ar"/>
              </w:rPr>
              <w:t>）</w:t>
            </w:r>
          </w:p>
        </w:tc>
        <w:tc>
          <w:tcPr>
            <w:tcW w:w="176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sz w:val="22"/>
                <w:szCs w:val="22"/>
              </w:rPr>
            </w:pPr>
            <w:r>
              <w:rPr>
                <w:rFonts w:hint="eastAsia" w:ascii="仿宋" w:hAnsi="仿宋" w:cs="仿宋"/>
                <w:b/>
                <w:bCs/>
                <w:color w:val="000000"/>
                <w:kern w:val="0"/>
                <w:sz w:val="22"/>
                <w:szCs w:val="22"/>
                <w:lang w:bidi="ar"/>
              </w:rPr>
              <w:t>调出的生态保护红线纳入一般生态空间的面积（km</w:t>
            </w:r>
            <w:r>
              <w:rPr>
                <w:rFonts w:hint="eastAsia" w:ascii="仿宋" w:hAnsi="仿宋" w:cs="仿宋"/>
                <w:b/>
                <w:bCs/>
                <w:color w:val="000000"/>
                <w:kern w:val="0"/>
                <w:sz w:val="22"/>
                <w:szCs w:val="22"/>
                <w:vertAlign w:val="superscript"/>
                <w:lang w:bidi="ar"/>
              </w:rPr>
              <w:t>2</w:t>
            </w:r>
            <w:r>
              <w:rPr>
                <w:rFonts w:hint="eastAsia" w:ascii="仿宋" w:hAnsi="仿宋" w:cs="仿宋"/>
                <w:b/>
                <w:bCs/>
                <w:color w:val="000000"/>
                <w:kern w:val="0"/>
                <w:sz w:val="22"/>
                <w:szCs w:val="22"/>
                <w:lang w:bidi="ar"/>
              </w:rPr>
              <w:t>）</w:t>
            </w:r>
          </w:p>
        </w:tc>
      </w:tr>
      <w:tr>
        <w:tblPrEx>
          <w:tblCellMar>
            <w:top w:w="0" w:type="dxa"/>
            <w:left w:w="108" w:type="dxa"/>
            <w:bottom w:w="0" w:type="dxa"/>
            <w:right w:w="108" w:type="dxa"/>
          </w:tblCellMar>
        </w:tblPrEx>
        <w:trPr>
          <w:trHeight w:val="23" w:hRule="atLeast"/>
        </w:trPr>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1</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梅江区</w:t>
            </w:r>
          </w:p>
        </w:tc>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2.00</w:t>
            </w:r>
          </w:p>
        </w:tc>
        <w:tc>
          <w:tcPr>
            <w:tcW w:w="3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1.09</w:t>
            </w:r>
          </w:p>
        </w:tc>
      </w:tr>
      <w:tr>
        <w:tblPrEx>
          <w:tblCellMar>
            <w:top w:w="0" w:type="dxa"/>
            <w:left w:w="108" w:type="dxa"/>
            <w:bottom w:w="0" w:type="dxa"/>
            <w:right w:w="108" w:type="dxa"/>
          </w:tblCellMar>
        </w:tblPrEx>
        <w:trPr>
          <w:trHeight w:val="23" w:hRule="atLeast"/>
        </w:trPr>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2</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梅县区</w:t>
            </w:r>
          </w:p>
        </w:tc>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63.53</w:t>
            </w:r>
          </w:p>
        </w:tc>
        <w:tc>
          <w:tcPr>
            <w:tcW w:w="3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36.28</w:t>
            </w:r>
          </w:p>
        </w:tc>
      </w:tr>
      <w:tr>
        <w:tblPrEx>
          <w:tblCellMar>
            <w:top w:w="0" w:type="dxa"/>
            <w:left w:w="108" w:type="dxa"/>
            <w:bottom w:w="0" w:type="dxa"/>
            <w:right w:w="108" w:type="dxa"/>
          </w:tblCellMar>
        </w:tblPrEx>
        <w:trPr>
          <w:trHeight w:val="23" w:hRule="atLeast"/>
        </w:trPr>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3</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兴宁市</w:t>
            </w:r>
          </w:p>
        </w:tc>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36.69</w:t>
            </w:r>
          </w:p>
        </w:tc>
        <w:tc>
          <w:tcPr>
            <w:tcW w:w="3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default" w:ascii="仿宋" w:hAnsi="仿宋" w:eastAsia="仿宋" w:cs="仿宋"/>
                <w:color w:val="000000"/>
                <w:kern w:val="0"/>
                <w:sz w:val="24"/>
                <w:lang w:val="en-US" w:eastAsia="zh-CN" w:bidi="ar"/>
              </w:rPr>
            </w:pPr>
            <w:r>
              <w:rPr>
                <w:rFonts w:hint="eastAsia" w:ascii="仿宋" w:hAnsi="仿宋" w:cs="仿宋"/>
                <w:color w:val="000000"/>
                <w:kern w:val="0"/>
                <w:sz w:val="24"/>
                <w:lang w:bidi="ar"/>
              </w:rPr>
              <w:t>17.</w:t>
            </w:r>
            <w:r>
              <w:rPr>
                <w:rFonts w:hint="eastAsia" w:ascii="仿宋" w:hAnsi="仿宋" w:cs="仿宋"/>
                <w:color w:val="000000"/>
                <w:kern w:val="0"/>
                <w:sz w:val="24"/>
                <w:lang w:val="en-US" w:eastAsia="zh-CN" w:bidi="ar"/>
              </w:rPr>
              <w:t>85</w:t>
            </w:r>
          </w:p>
        </w:tc>
      </w:tr>
      <w:tr>
        <w:tblPrEx>
          <w:tblCellMar>
            <w:top w:w="0" w:type="dxa"/>
            <w:left w:w="108" w:type="dxa"/>
            <w:bottom w:w="0" w:type="dxa"/>
            <w:right w:w="108" w:type="dxa"/>
          </w:tblCellMar>
        </w:tblPrEx>
        <w:trPr>
          <w:trHeight w:val="23" w:hRule="atLeast"/>
        </w:trPr>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4</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平远县</w:t>
            </w:r>
          </w:p>
        </w:tc>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29.55</w:t>
            </w:r>
          </w:p>
        </w:tc>
        <w:tc>
          <w:tcPr>
            <w:tcW w:w="3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11.92</w:t>
            </w:r>
          </w:p>
        </w:tc>
      </w:tr>
      <w:tr>
        <w:tblPrEx>
          <w:tblCellMar>
            <w:top w:w="0" w:type="dxa"/>
            <w:left w:w="108" w:type="dxa"/>
            <w:bottom w:w="0" w:type="dxa"/>
            <w:right w:w="108" w:type="dxa"/>
          </w:tblCellMar>
        </w:tblPrEx>
        <w:trPr>
          <w:trHeight w:val="23" w:hRule="atLeast"/>
        </w:trPr>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5</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蕉岭县</w:t>
            </w:r>
          </w:p>
        </w:tc>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41.62</w:t>
            </w:r>
          </w:p>
        </w:tc>
        <w:tc>
          <w:tcPr>
            <w:tcW w:w="3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27.21</w:t>
            </w:r>
          </w:p>
        </w:tc>
      </w:tr>
      <w:tr>
        <w:tblPrEx>
          <w:tblCellMar>
            <w:top w:w="0" w:type="dxa"/>
            <w:left w:w="108" w:type="dxa"/>
            <w:bottom w:w="0" w:type="dxa"/>
            <w:right w:w="108" w:type="dxa"/>
          </w:tblCellMar>
        </w:tblPrEx>
        <w:trPr>
          <w:trHeight w:val="23" w:hRule="atLeast"/>
        </w:trPr>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6</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大埔县</w:t>
            </w:r>
          </w:p>
        </w:tc>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127.39</w:t>
            </w:r>
          </w:p>
        </w:tc>
        <w:tc>
          <w:tcPr>
            <w:tcW w:w="3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87.12</w:t>
            </w:r>
          </w:p>
        </w:tc>
      </w:tr>
      <w:tr>
        <w:tblPrEx>
          <w:tblCellMar>
            <w:top w:w="0" w:type="dxa"/>
            <w:left w:w="108" w:type="dxa"/>
            <w:bottom w:w="0" w:type="dxa"/>
            <w:right w:w="108" w:type="dxa"/>
          </w:tblCellMar>
        </w:tblPrEx>
        <w:trPr>
          <w:trHeight w:val="23" w:hRule="atLeast"/>
        </w:trPr>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7</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丰顺县</w:t>
            </w:r>
          </w:p>
        </w:tc>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58.36</w:t>
            </w:r>
          </w:p>
        </w:tc>
        <w:tc>
          <w:tcPr>
            <w:tcW w:w="3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32.07</w:t>
            </w:r>
          </w:p>
        </w:tc>
      </w:tr>
      <w:tr>
        <w:tblPrEx>
          <w:tblCellMar>
            <w:top w:w="0" w:type="dxa"/>
            <w:left w:w="108" w:type="dxa"/>
            <w:bottom w:w="0" w:type="dxa"/>
            <w:right w:w="108" w:type="dxa"/>
          </w:tblCellMar>
        </w:tblPrEx>
        <w:trPr>
          <w:trHeight w:val="23" w:hRule="atLeast"/>
        </w:trPr>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8</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五华县</w:t>
            </w:r>
          </w:p>
        </w:tc>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63.54</w:t>
            </w:r>
          </w:p>
        </w:tc>
        <w:tc>
          <w:tcPr>
            <w:tcW w:w="3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color w:val="000000"/>
                <w:kern w:val="0"/>
                <w:sz w:val="24"/>
                <w:lang w:bidi="ar"/>
              </w:rPr>
              <w:t>29.94</w:t>
            </w:r>
          </w:p>
        </w:tc>
      </w:tr>
      <w:tr>
        <w:tblPrEx>
          <w:tblCellMar>
            <w:top w:w="0" w:type="dxa"/>
            <w:left w:w="108" w:type="dxa"/>
            <w:bottom w:w="0" w:type="dxa"/>
            <w:right w:w="108" w:type="dxa"/>
          </w:tblCellMar>
        </w:tblPrEx>
        <w:trPr>
          <w:trHeight w:val="23" w:hRule="atLeast"/>
        </w:trPr>
        <w:tc>
          <w:tcPr>
            <w:tcW w:w="14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全市合计</w:t>
            </w:r>
          </w:p>
        </w:tc>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24"/>
                <w:lang w:bidi="ar"/>
              </w:rPr>
            </w:pPr>
            <w:r>
              <w:rPr>
                <w:rFonts w:hint="eastAsia" w:ascii="仿宋" w:hAnsi="仿宋" w:cs="仿宋"/>
                <w:color w:val="000000"/>
                <w:kern w:val="0"/>
                <w:sz w:val="24"/>
                <w:lang w:val="en-US" w:eastAsia="zh-CN" w:bidi="ar"/>
              </w:rPr>
              <w:t>422.67</w:t>
            </w:r>
          </w:p>
        </w:tc>
        <w:tc>
          <w:tcPr>
            <w:tcW w:w="31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eastAsia="仿宋" w:cs="仿宋"/>
                <w:color w:val="000000"/>
                <w:kern w:val="0"/>
                <w:sz w:val="24"/>
                <w:lang w:eastAsia="zh-CN" w:bidi="ar"/>
              </w:rPr>
            </w:pPr>
            <w:r>
              <w:rPr>
                <w:rFonts w:hint="eastAsia" w:ascii="仿宋" w:hAnsi="仿宋" w:cs="仿宋"/>
                <w:color w:val="000000"/>
                <w:kern w:val="0"/>
                <w:sz w:val="24"/>
                <w:lang w:bidi="ar"/>
              </w:rPr>
              <w:t>243.4</w:t>
            </w:r>
            <w:r>
              <w:rPr>
                <w:rFonts w:hint="eastAsia" w:ascii="仿宋" w:hAnsi="仿宋" w:cs="仿宋"/>
                <w:color w:val="000000"/>
                <w:kern w:val="0"/>
                <w:sz w:val="24"/>
                <w:lang w:val="en-US" w:eastAsia="zh-CN" w:bidi="ar"/>
              </w:rPr>
              <w:t>8</w:t>
            </w:r>
          </w:p>
        </w:tc>
      </w:tr>
    </w:tbl>
    <w:p>
      <w:r>
        <w:br w:type="page"/>
      </w:r>
    </w:p>
    <w:p>
      <w:pPr>
        <w:ind w:firstLine="664" w:firstLineChars="200"/>
      </w:pPr>
      <w:r>
        <w:t>拟</w:t>
      </w:r>
      <w:r>
        <w:rPr>
          <w:rFonts w:hint="eastAsia"/>
        </w:rPr>
        <w:t>选取梅州市生态控制区补划入一般生态空间，补划区域充分避让之前衔接的城镇开发边界、矿山和其他重点项目</w:t>
      </w:r>
      <w:r>
        <w:rPr>
          <w:rFonts w:hint="eastAsia"/>
          <w:lang w:eastAsia="zh-CN"/>
        </w:rPr>
        <w:t>，实际</w:t>
      </w:r>
      <w:r>
        <w:rPr>
          <w:rFonts w:hint="eastAsia"/>
        </w:rPr>
        <w:t>补划了179.1</w:t>
      </w:r>
      <w:r>
        <w:rPr>
          <w:rFonts w:hint="eastAsia"/>
          <w:lang w:val="en-US" w:eastAsia="zh-CN"/>
        </w:rPr>
        <w:t>9</w:t>
      </w:r>
      <w:r>
        <w:rPr>
          <w:rFonts w:hint="eastAsia"/>
        </w:rPr>
        <w:t>km</w:t>
      </w:r>
      <w:r>
        <w:rPr>
          <w:rFonts w:hint="eastAsia"/>
          <w:vertAlign w:val="superscript"/>
        </w:rPr>
        <w:t>2</w:t>
      </w:r>
      <w:r>
        <w:rPr>
          <w:rFonts w:hint="eastAsia"/>
        </w:rPr>
        <w:t>的生态控制区以保证生态空间总体面积稳定。</w:t>
      </w:r>
    </w:p>
    <w:p>
      <w:pPr>
        <w:jc w:val="center"/>
      </w:pPr>
      <w:r>
        <w:rPr>
          <w:rFonts w:hint="eastAsia"/>
        </w:rPr>
        <w:drawing>
          <wp:inline distT="0" distB="0" distL="114300" distR="114300">
            <wp:extent cx="4352290" cy="4352290"/>
            <wp:effectExtent l="0" t="0" r="10160" b="10160"/>
            <wp:docPr id="48" name="图片 48" descr="C:\Users\lenovo\Desktop\调整.png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lenovo\Desktop\调整.png调整"/>
                    <pic:cNvPicPr>
                      <a:picLocks noChangeAspect="1"/>
                    </pic:cNvPicPr>
                  </pic:nvPicPr>
                  <pic:blipFill>
                    <a:blip r:embed="rId20"/>
                    <a:srcRect/>
                    <a:stretch>
                      <a:fillRect/>
                    </a:stretch>
                  </pic:blipFill>
                  <pic:spPr>
                    <a:xfrm>
                      <a:off x="0" y="0"/>
                      <a:ext cx="4352290" cy="4352290"/>
                    </a:xfrm>
                    <a:prstGeom prst="rect">
                      <a:avLst/>
                    </a:prstGeom>
                  </pic:spPr>
                </pic:pic>
              </a:graphicData>
            </a:graphic>
          </wp:inline>
        </w:drawing>
      </w:r>
    </w:p>
    <w:p>
      <w:pPr>
        <w:pStyle w:val="10"/>
        <w:jc w:val="center"/>
        <w:rPr>
          <w:rFonts w:eastAsia="宋体"/>
        </w:rPr>
      </w:pPr>
      <w:r>
        <w:t>图</w:t>
      </w:r>
      <w:r>
        <w:rPr>
          <w:rFonts w:hint="eastAsia"/>
        </w:rPr>
        <w:t>3-</w:t>
      </w:r>
      <w:r>
        <w:rPr>
          <w:rFonts w:hint="eastAsia"/>
          <w:lang w:val="en-US" w:eastAsia="zh-CN"/>
        </w:rPr>
        <w:t>8</w:t>
      </w:r>
      <w:r>
        <w:rPr>
          <w:rFonts w:hint="eastAsia"/>
        </w:rPr>
        <w:t>实际补划一般生态空间情况</w:t>
      </w:r>
    </w:p>
    <w:p>
      <w:r>
        <w:br w:type="page"/>
      </w:r>
    </w:p>
    <w:p>
      <w:pPr>
        <w:pStyle w:val="10"/>
        <w:jc w:val="center"/>
      </w:pPr>
      <w:r>
        <w:t>表</w:t>
      </w:r>
      <w:r>
        <w:rPr>
          <w:rFonts w:hint="eastAsia"/>
        </w:rPr>
        <w:t>3-1</w:t>
      </w:r>
      <w:r>
        <w:rPr>
          <w:rFonts w:hint="eastAsia"/>
          <w:lang w:val="en-US" w:eastAsia="zh-CN"/>
        </w:rPr>
        <w:t>1</w:t>
      </w:r>
      <w:r>
        <w:rPr>
          <w:rFonts w:hint="eastAsia"/>
        </w:rPr>
        <w:t>实际补划的一般生态空间</w:t>
      </w:r>
    </w:p>
    <w:tbl>
      <w:tblPr>
        <w:tblStyle w:val="23"/>
        <w:tblW w:w="4999" w:type="pct"/>
        <w:tblInd w:w="0" w:type="dxa"/>
        <w:tblLayout w:type="autofit"/>
        <w:tblCellMar>
          <w:top w:w="0" w:type="dxa"/>
          <w:left w:w="108" w:type="dxa"/>
          <w:bottom w:w="0" w:type="dxa"/>
          <w:right w:w="108" w:type="dxa"/>
        </w:tblCellMar>
      </w:tblPr>
      <w:tblGrid>
        <w:gridCol w:w="1100"/>
        <w:gridCol w:w="1856"/>
        <w:gridCol w:w="6103"/>
      </w:tblGrid>
      <w:tr>
        <w:tblPrEx>
          <w:tblCellMar>
            <w:top w:w="0" w:type="dxa"/>
            <w:left w:w="108" w:type="dxa"/>
            <w:bottom w:w="0" w:type="dxa"/>
            <w:right w:w="108" w:type="dxa"/>
          </w:tblCellMar>
        </w:tblPrEx>
        <w:trPr>
          <w:trHeight w:val="300" w:hRule="atLeast"/>
        </w:trPr>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b/>
                <w:bCs/>
                <w:color w:val="000000"/>
                <w:kern w:val="0"/>
                <w:sz w:val="24"/>
                <w:lang w:bidi="ar"/>
              </w:rPr>
              <w:t>序号</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b/>
                <w:bCs/>
                <w:color w:val="000000"/>
                <w:kern w:val="0"/>
                <w:sz w:val="24"/>
                <w:lang w:bidi="ar"/>
              </w:rPr>
              <w:t>行政区划</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kern w:val="0"/>
                <w:sz w:val="24"/>
                <w:lang w:bidi="ar"/>
              </w:rPr>
            </w:pPr>
            <w:r>
              <w:rPr>
                <w:rFonts w:hint="eastAsia" w:ascii="仿宋" w:hAnsi="仿宋" w:cs="仿宋"/>
                <w:b/>
                <w:bCs/>
                <w:color w:val="000000"/>
                <w:kern w:val="0"/>
                <w:sz w:val="24"/>
                <w:lang w:bidi="ar"/>
              </w:rPr>
              <w:t>实际补划一般生态空间面积（km</w:t>
            </w:r>
            <w:r>
              <w:rPr>
                <w:rFonts w:hint="eastAsia" w:ascii="仿宋" w:hAnsi="仿宋" w:cs="仿宋"/>
                <w:b/>
                <w:bCs/>
                <w:color w:val="000000"/>
                <w:kern w:val="0"/>
                <w:sz w:val="24"/>
                <w:vertAlign w:val="superscript"/>
                <w:lang w:bidi="ar"/>
              </w:rPr>
              <w:t>2</w:t>
            </w:r>
            <w:r>
              <w:rPr>
                <w:rFonts w:hint="eastAsia" w:ascii="仿宋" w:hAnsi="仿宋" w:cs="仿宋"/>
                <w:b/>
                <w:bCs/>
                <w:color w:val="000000"/>
                <w:kern w:val="0"/>
                <w:sz w:val="24"/>
                <w:lang w:bidi="ar"/>
              </w:rPr>
              <w:t>）</w:t>
            </w:r>
          </w:p>
        </w:tc>
      </w:tr>
      <w:tr>
        <w:tblPrEx>
          <w:tblCellMar>
            <w:top w:w="0" w:type="dxa"/>
            <w:left w:w="108" w:type="dxa"/>
            <w:bottom w:w="0" w:type="dxa"/>
            <w:right w:w="108" w:type="dxa"/>
          </w:tblCellMar>
        </w:tblPrEx>
        <w:trPr>
          <w:trHeight w:val="300" w:hRule="atLeast"/>
        </w:trPr>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1</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梅江区</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0</w:t>
            </w:r>
          </w:p>
        </w:tc>
      </w:tr>
      <w:tr>
        <w:tblPrEx>
          <w:tblCellMar>
            <w:top w:w="0" w:type="dxa"/>
            <w:left w:w="108" w:type="dxa"/>
            <w:bottom w:w="0" w:type="dxa"/>
            <w:right w:w="108" w:type="dxa"/>
          </w:tblCellMar>
        </w:tblPrEx>
        <w:trPr>
          <w:trHeight w:val="300" w:hRule="atLeast"/>
        </w:trPr>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2</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梅县区</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26.07</w:t>
            </w:r>
          </w:p>
        </w:tc>
      </w:tr>
      <w:tr>
        <w:tblPrEx>
          <w:tblCellMar>
            <w:top w:w="0" w:type="dxa"/>
            <w:left w:w="108" w:type="dxa"/>
            <w:bottom w:w="0" w:type="dxa"/>
            <w:right w:w="108" w:type="dxa"/>
          </w:tblCellMar>
        </w:tblPrEx>
        <w:trPr>
          <w:trHeight w:val="300" w:hRule="atLeast"/>
        </w:trPr>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3</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兴宁市</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28.67</w:t>
            </w:r>
          </w:p>
        </w:tc>
      </w:tr>
      <w:tr>
        <w:tblPrEx>
          <w:tblCellMar>
            <w:top w:w="0" w:type="dxa"/>
            <w:left w:w="108" w:type="dxa"/>
            <w:bottom w:w="0" w:type="dxa"/>
            <w:right w:w="108" w:type="dxa"/>
          </w:tblCellMar>
        </w:tblPrEx>
        <w:trPr>
          <w:trHeight w:val="300" w:hRule="atLeast"/>
        </w:trPr>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4</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平远县</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36.93</w:t>
            </w:r>
          </w:p>
        </w:tc>
      </w:tr>
      <w:tr>
        <w:tblPrEx>
          <w:tblCellMar>
            <w:top w:w="0" w:type="dxa"/>
            <w:left w:w="108" w:type="dxa"/>
            <w:bottom w:w="0" w:type="dxa"/>
            <w:right w:w="108" w:type="dxa"/>
          </w:tblCellMar>
        </w:tblPrEx>
        <w:trPr>
          <w:trHeight w:val="300" w:hRule="atLeast"/>
        </w:trPr>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5</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蕉岭县</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22.92</w:t>
            </w:r>
          </w:p>
        </w:tc>
      </w:tr>
      <w:tr>
        <w:tblPrEx>
          <w:tblCellMar>
            <w:top w:w="0" w:type="dxa"/>
            <w:left w:w="108" w:type="dxa"/>
            <w:bottom w:w="0" w:type="dxa"/>
            <w:right w:w="108" w:type="dxa"/>
          </w:tblCellMar>
        </w:tblPrEx>
        <w:trPr>
          <w:trHeight w:val="300" w:hRule="atLeast"/>
        </w:trPr>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6</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大埔县</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default" w:ascii="仿宋" w:hAnsi="仿宋" w:eastAsia="仿宋" w:cs="仿宋"/>
                <w:color w:val="000000"/>
                <w:sz w:val="24"/>
                <w:lang w:val="en-US" w:eastAsia="zh-CN"/>
              </w:rPr>
            </w:pPr>
            <w:r>
              <w:rPr>
                <w:rFonts w:hint="eastAsia" w:ascii="仿宋" w:hAnsi="仿宋" w:cs="仿宋"/>
                <w:color w:val="000000"/>
                <w:kern w:val="0"/>
                <w:sz w:val="24"/>
                <w:lang w:val="en-US" w:eastAsia="zh-CN" w:bidi="ar"/>
              </w:rPr>
              <w:t>5.61</w:t>
            </w:r>
          </w:p>
        </w:tc>
      </w:tr>
      <w:tr>
        <w:tblPrEx>
          <w:tblCellMar>
            <w:top w:w="0" w:type="dxa"/>
            <w:left w:w="108" w:type="dxa"/>
            <w:bottom w:w="0" w:type="dxa"/>
            <w:right w:w="108" w:type="dxa"/>
          </w:tblCellMar>
        </w:tblPrEx>
        <w:trPr>
          <w:trHeight w:val="300" w:hRule="atLeast"/>
        </w:trPr>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7</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丰顺县</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default" w:ascii="仿宋" w:hAnsi="仿宋" w:eastAsia="仿宋" w:cs="仿宋"/>
                <w:color w:val="000000"/>
                <w:sz w:val="24"/>
                <w:lang w:val="en-US" w:eastAsia="zh-CN"/>
              </w:rPr>
            </w:pPr>
            <w:r>
              <w:rPr>
                <w:rFonts w:hint="eastAsia" w:ascii="仿宋" w:hAnsi="仿宋" w:cs="仿宋"/>
                <w:color w:val="000000"/>
                <w:kern w:val="0"/>
                <w:sz w:val="24"/>
                <w:lang w:val="en-US" w:eastAsia="zh-CN" w:bidi="ar"/>
              </w:rPr>
              <w:t>43.26</w:t>
            </w:r>
          </w:p>
        </w:tc>
      </w:tr>
      <w:tr>
        <w:tblPrEx>
          <w:tblCellMar>
            <w:top w:w="0" w:type="dxa"/>
            <w:left w:w="108" w:type="dxa"/>
            <w:bottom w:w="0" w:type="dxa"/>
            <w:right w:w="108" w:type="dxa"/>
          </w:tblCellMar>
        </w:tblPrEx>
        <w:trPr>
          <w:trHeight w:val="300" w:hRule="atLeast"/>
        </w:trPr>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8</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五华县</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sz w:val="24"/>
              </w:rPr>
              <w:t>15.74</w:t>
            </w:r>
          </w:p>
        </w:tc>
      </w:tr>
      <w:tr>
        <w:tblPrEx>
          <w:tblCellMar>
            <w:top w:w="0" w:type="dxa"/>
            <w:left w:w="108" w:type="dxa"/>
            <w:bottom w:w="0" w:type="dxa"/>
            <w:right w:w="108" w:type="dxa"/>
          </w:tblCellMar>
        </w:tblPrEx>
        <w:trPr>
          <w:trHeight w:val="300" w:hRule="atLeast"/>
        </w:trPr>
        <w:tc>
          <w:tcPr>
            <w:tcW w:w="163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24"/>
              </w:rPr>
            </w:pPr>
            <w:r>
              <w:rPr>
                <w:rFonts w:hint="eastAsia" w:ascii="仿宋" w:hAnsi="仿宋" w:cs="仿宋"/>
                <w:color w:val="000000"/>
                <w:kern w:val="0"/>
                <w:sz w:val="24"/>
                <w:lang w:bidi="ar"/>
              </w:rPr>
              <w:t>全市合计</w:t>
            </w:r>
          </w:p>
        </w:tc>
        <w:tc>
          <w:tcPr>
            <w:tcW w:w="336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eastAsia="仿宋" w:cs="仿宋"/>
                <w:color w:val="000000"/>
                <w:sz w:val="24"/>
                <w:lang w:eastAsia="zh-CN"/>
              </w:rPr>
            </w:pPr>
            <w:r>
              <w:rPr>
                <w:rFonts w:hint="eastAsia" w:ascii="仿宋" w:hAnsi="仿宋" w:cs="仿宋"/>
                <w:color w:val="000000"/>
                <w:kern w:val="0"/>
                <w:sz w:val="24"/>
                <w:lang w:bidi="ar"/>
              </w:rPr>
              <w:t>179.1</w:t>
            </w:r>
            <w:r>
              <w:rPr>
                <w:rFonts w:hint="eastAsia" w:ascii="仿宋" w:hAnsi="仿宋" w:cs="仿宋"/>
                <w:color w:val="000000"/>
                <w:kern w:val="0"/>
                <w:sz w:val="24"/>
                <w:lang w:val="en-US" w:eastAsia="zh-CN" w:bidi="ar"/>
              </w:rPr>
              <w:t>9</w:t>
            </w:r>
          </w:p>
        </w:tc>
      </w:tr>
    </w:tbl>
    <w:p>
      <w:pPr>
        <w:spacing w:line="400" w:lineRule="exact"/>
      </w:pPr>
    </w:p>
    <w:p>
      <w:r>
        <w:rPr>
          <w:rFonts w:hint="eastAsia"/>
        </w:rPr>
        <w:br w:type="page"/>
      </w:r>
    </w:p>
    <w:p>
      <w:pPr>
        <w:pStyle w:val="6"/>
      </w:pPr>
      <w:bookmarkStart w:id="41" w:name="_Toc7533"/>
      <w:bookmarkStart w:id="42" w:name="_Toc25493"/>
      <w:r>
        <w:rPr>
          <w:rFonts w:hint="eastAsia"/>
        </w:rPr>
        <w:t>3.2.</w:t>
      </w:r>
      <w:r>
        <w:rPr>
          <w:rFonts w:hint="eastAsia"/>
          <w:lang w:val="en-US" w:eastAsia="zh-CN"/>
        </w:rPr>
        <w:t>4</w:t>
      </w:r>
      <w:r>
        <w:rPr>
          <w:rFonts w:hint="eastAsia"/>
        </w:rPr>
        <w:t>更新后一般生态空间</w:t>
      </w:r>
      <w:bookmarkEnd w:id="41"/>
      <w:bookmarkEnd w:id="42"/>
    </w:p>
    <w:p>
      <w:pPr>
        <w:ind w:firstLine="664" w:firstLineChars="200"/>
      </w:pPr>
      <w:r>
        <w:rPr>
          <w:rFonts w:hint="eastAsia"/>
        </w:rPr>
        <w:t>更新后的梅州市一般生态空间面积为3157.97km</w:t>
      </w:r>
      <w:r>
        <w:rPr>
          <w:rFonts w:hint="eastAsia"/>
          <w:vertAlign w:val="superscript"/>
        </w:rPr>
        <w:t>2</w:t>
      </w:r>
      <w:r>
        <w:rPr>
          <w:rFonts w:hint="eastAsia"/>
        </w:rPr>
        <w:t>，占市域面积的比例为19.</w:t>
      </w:r>
      <w:r>
        <w:rPr>
          <w:rFonts w:hint="eastAsia"/>
          <w:lang w:val="en-US" w:eastAsia="zh-CN"/>
        </w:rPr>
        <w:t>90</w:t>
      </w:r>
      <w:r>
        <w:rPr>
          <w:rFonts w:hint="eastAsia"/>
        </w:rPr>
        <w:t>%，一般生态空间面积相较旧版一般生态空间上升了378.</w:t>
      </w:r>
      <w:r>
        <w:rPr>
          <w:rFonts w:hint="eastAsia"/>
          <w:lang w:val="en-US" w:eastAsia="zh-CN"/>
        </w:rPr>
        <w:t>38</w:t>
      </w:r>
      <w:r>
        <w:rPr>
          <w:rFonts w:hint="eastAsia"/>
        </w:rPr>
        <w:t>km</w:t>
      </w:r>
      <w:r>
        <w:rPr>
          <w:rFonts w:hint="eastAsia"/>
          <w:vertAlign w:val="superscript"/>
        </w:rPr>
        <w:t>2</w:t>
      </w:r>
      <w:r>
        <w:rPr>
          <w:rFonts w:hint="eastAsia"/>
        </w:rPr>
        <w:t>。总体的生态空间面积为7084.87km</w:t>
      </w:r>
      <w:r>
        <w:rPr>
          <w:rFonts w:hint="eastAsia"/>
          <w:vertAlign w:val="superscript"/>
        </w:rPr>
        <w:t>2</w:t>
      </w:r>
      <w:r>
        <w:rPr>
          <w:rFonts w:hint="eastAsia"/>
        </w:rPr>
        <w:t>，占市域面积的比例为44.65%，生态空间（生态保护红线+一般生态空间）的面积和比例均保持不变。</w:t>
      </w:r>
    </w:p>
    <w:p>
      <w:pPr>
        <w:jc w:val="center"/>
      </w:pPr>
      <w:r>
        <w:drawing>
          <wp:inline distT="0" distB="0" distL="114300" distR="114300">
            <wp:extent cx="3780155" cy="3780155"/>
            <wp:effectExtent l="0" t="0" r="10795" b="10795"/>
            <wp:docPr id="55" name="图片 55" descr="C:\Users\lenovo\Desktop\更新后的一般生态空间.png更新后的一般生态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lenovo\Desktop\更新后的一般生态空间.png更新后的一般生态空间"/>
                    <pic:cNvPicPr>
                      <a:picLocks noChangeAspect="1"/>
                    </pic:cNvPicPr>
                  </pic:nvPicPr>
                  <pic:blipFill>
                    <a:blip r:embed="rId21"/>
                    <a:srcRect/>
                    <a:stretch>
                      <a:fillRect/>
                    </a:stretch>
                  </pic:blipFill>
                  <pic:spPr>
                    <a:xfrm>
                      <a:off x="0" y="0"/>
                      <a:ext cx="3780155" cy="3780155"/>
                    </a:xfrm>
                    <a:prstGeom prst="rect">
                      <a:avLst/>
                    </a:prstGeom>
                  </pic:spPr>
                </pic:pic>
              </a:graphicData>
            </a:graphic>
          </wp:inline>
        </w:drawing>
      </w:r>
    </w:p>
    <w:p>
      <w:pPr>
        <w:pStyle w:val="10"/>
        <w:jc w:val="center"/>
      </w:pPr>
      <w:r>
        <w:t>图</w:t>
      </w:r>
      <w:r>
        <w:rPr>
          <w:rFonts w:hint="eastAsia"/>
        </w:rPr>
        <w:t>3-9更新后的一般生态空间</w:t>
      </w:r>
    </w:p>
    <w:p>
      <w:pPr>
        <w:ind w:firstLine="664" w:firstLineChars="200"/>
        <w:sectPr>
          <w:pgSz w:w="11906" w:h="16838"/>
          <w:pgMar w:top="2098" w:right="1474" w:bottom="1984" w:left="1587" w:header="851" w:footer="1587" w:gutter="0"/>
          <w:pgNumType w:fmt="decimal"/>
          <w:cols w:space="0" w:num="1"/>
          <w:docGrid w:type="linesAndChars" w:linePitch="589" w:charSpace="2603"/>
        </w:sectPr>
      </w:pPr>
    </w:p>
    <w:p>
      <w:pPr>
        <w:pStyle w:val="10"/>
        <w:jc w:val="center"/>
      </w:pPr>
      <w:r>
        <w:t>表</w:t>
      </w:r>
      <w:r>
        <w:rPr>
          <w:rFonts w:hint="eastAsia"/>
        </w:rPr>
        <w:t>3-1</w:t>
      </w:r>
      <w:r>
        <w:rPr>
          <w:rFonts w:hint="eastAsia"/>
          <w:lang w:val="en-US" w:eastAsia="zh-CN"/>
        </w:rPr>
        <w:t>2</w:t>
      </w:r>
      <w:r>
        <w:rPr>
          <w:rFonts w:hint="eastAsia"/>
        </w:rPr>
        <w:t>生态空间更新情况</w:t>
      </w:r>
    </w:p>
    <w:tbl>
      <w:tblPr>
        <w:tblStyle w:val="23"/>
        <w:tblW w:w="4998" w:type="pct"/>
        <w:tblInd w:w="0" w:type="dxa"/>
        <w:tblLayout w:type="autofit"/>
        <w:tblCellMar>
          <w:top w:w="0" w:type="dxa"/>
          <w:left w:w="108" w:type="dxa"/>
          <w:bottom w:w="0" w:type="dxa"/>
          <w:right w:w="108" w:type="dxa"/>
        </w:tblCellMar>
      </w:tblPr>
      <w:tblGrid>
        <w:gridCol w:w="664"/>
        <w:gridCol w:w="856"/>
        <w:gridCol w:w="1375"/>
        <w:gridCol w:w="854"/>
        <w:gridCol w:w="1012"/>
        <w:gridCol w:w="856"/>
        <w:gridCol w:w="1012"/>
        <w:gridCol w:w="856"/>
        <w:gridCol w:w="1012"/>
        <w:gridCol w:w="856"/>
        <w:gridCol w:w="890"/>
        <w:gridCol w:w="856"/>
        <w:gridCol w:w="1012"/>
        <w:gridCol w:w="856"/>
      </w:tblGrid>
      <w:tr>
        <w:tblPrEx>
          <w:tblCellMar>
            <w:top w:w="0" w:type="dxa"/>
            <w:left w:w="108" w:type="dxa"/>
            <w:bottom w:w="0" w:type="dxa"/>
            <w:right w:w="108" w:type="dxa"/>
          </w:tblCellMar>
        </w:tblPrEx>
        <w:trPr>
          <w:trHeight w:val="827" w:hRule="atLeast"/>
        </w:trPr>
        <w:tc>
          <w:tcPr>
            <w:tcW w:w="2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序号</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行政</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分区</w:t>
            </w:r>
          </w:p>
        </w:tc>
        <w:tc>
          <w:tcPr>
            <w:tcW w:w="8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生态保护红线</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（更新前）</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一般生态空间</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（更新前）</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生态空间</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（更新前）</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生态保护红线</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（更新后）</w:t>
            </w:r>
          </w:p>
        </w:tc>
        <w:tc>
          <w:tcPr>
            <w:tcW w:w="6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一般生态空间</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（更新后）</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生态空间</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（更新后）</w:t>
            </w:r>
          </w:p>
        </w:tc>
      </w:tr>
      <w:tr>
        <w:tblPrEx>
          <w:tblCellMar>
            <w:top w:w="0" w:type="dxa"/>
            <w:left w:w="108" w:type="dxa"/>
            <w:bottom w:w="0" w:type="dxa"/>
            <w:right w:w="108" w:type="dxa"/>
          </w:tblCellMar>
        </w:tblPrEx>
        <w:trPr>
          <w:trHeight w:val="630" w:hRule="atLeast"/>
        </w:trPr>
        <w:tc>
          <w:tcPr>
            <w:tcW w:w="2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ascii="仿宋" w:hAnsi="仿宋" w:cs="仿宋"/>
                <w:b/>
                <w:bCs/>
                <w:color w:val="000000"/>
                <w:sz w:val="16"/>
                <w:szCs w:val="16"/>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ascii="仿宋" w:hAnsi="仿宋" w:cs="仿宋"/>
                <w:b/>
                <w:bCs/>
                <w:color w:val="000000"/>
                <w:sz w:val="16"/>
                <w:szCs w:val="16"/>
              </w:rPr>
            </w:pP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面积（</w:t>
            </w:r>
            <w:r>
              <w:rPr>
                <w:rStyle w:val="38"/>
                <w:rFonts w:hint="eastAsia" w:ascii="仿宋" w:hAnsi="仿宋" w:cs="仿宋"/>
                <w:b/>
                <w:bCs/>
                <w:sz w:val="16"/>
                <w:szCs w:val="16"/>
                <w:lang w:bidi="ar"/>
              </w:rPr>
              <w:t>km2</w:t>
            </w:r>
            <w:r>
              <w:rPr>
                <w:rFonts w:hint="eastAsia" w:ascii="仿宋" w:hAnsi="仿宋" w:cs="仿宋"/>
                <w:b/>
                <w:bCs/>
                <w:color w:val="000000"/>
                <w:kern w:val="0"/>
                <w:sz w:val="16"/>
                <w:szCs w:val="16"/>
                <w:lang w:bidi="ar"/>
              </w:rPr>
              <w:t>）</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比例</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w:t>
            </w:r>
            <w:r>
              <w:rPr>
                <w:rFonts w:hint="eastAsia" w:ascii="仿宋" w:hAnsi="仿宋" w:cs="仿宋"/>
                <w:b/>
                <w:bCs/>
                <w:color w:val="000000"/>
                <w:kern w:val="0"/>
                <w:sz w:val="16"/>
                <w:szCs w:val="16"/>
                <w:lang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面积</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km</w:t>
            </w:r>
            <w:r>
              <w:rPr>
                <w:rStyle w:val="38"/>
                <w:rFonts w:hint="eastAsia" w:ascii="仿宋" w:hAnsi="仿宋" w:cs="仿宋"/>
                <w:b/>
                <w:bCs/>
                <w:sz w:val="16"/>
                <w:szCs w:val="16"/>
                <w:vertAlign w:val="superscript"/>
                <w:lang w:bidi="ar"/>
              </w:rPr>
              <w:t>2</w:t>
            </w:r>
            <w:r>
              <w:rPr>
                <w:rFonts w:hint="eastAsia" w:ascii="仿宋" w:hAnsi="仿宋" w:cs="仿宋"/>
                <w:b/>
                <w:bCs/>
                <w:color w:val="000000"/>
                <w:kern w:val="0"/>
                <w:sz w:val="16"/>
                <w:szCs w:val="16"/>
                <w:lang w:bidi="ar"/>
              </w:rPr>
              <w:t>）</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比例</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w:t>
            </w:r>
            <w:r>
              <w:rPr>
                <w:rFonts w:hint="eastAsia" w:ascii="仿宋" w:hAnsi="仿宋" w:cs="仿宋"/>
                <w:b/>
                <w:bCs/>
                <w:color w:val="000000"/>
                <w:kern w:val="0"/>
                <w:sz w:val="16"/>
                <w:szCs w:val="16"/>
                <w:lang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面积</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km</w:t>
            </w:r>
            <w:r>
              <w:rPr>
                <w:rStyle w:val="38"/>
                <w:rFonts w:hint="eastAsia" w:ascii="仿宋" w:hAnsi="仿宋" w:cs="仿宋"/>
                <w:b/>
                <w:bCs/>
                <w:sz w:val="16"/>
                <w:szCs w:val="16"/>
                <w:vertAlign w:val="superscript"/>
                <w:lang w:bidi="ar"/>
              </w:rPr>
              <w:t>2</w:t>
            </w:r>
            <w:r>
              <w:rPr>
                <w:rFonts w:hint="eastAsia" w:ascii="仿宋" w:hAnsi="仿宋" w:cs="仿宋"/>
                <w:b/>
                <w:bCs/>
                <w:color w:val="000000"/>
                <w:kern w:val="0"/>
                <w:sz w:val="16"/>
                <w:szCs w:val="16"/>
                <w:lang w:bidi="ar"/>
              </w:rPr>
              <w:t>）</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比例</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w:t>
            </w:r>
            <w:r>
              <w:rPr>
                <w:rFonts w:hint="eastAsia" w:ascii="仿宋" w:hAnsi="仿宋" w:cs="仿宋"/>
                <w:b/>
                <w:bCs/>
                <w:color w:val="000000"/>
                <w:kern w:val="0"/>
                <w:sz w:val="16"/>
                <w:szCs w:val="16"/>
                <w:lang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面积</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km</w:t>
            </w:r>
            <w:r>
              <w:rPr>
                <w:rStyle w:val="38"/>
                <w:rFonts w:hint="eastAsia" w:ascii="仿宋" w:hAnsi="仿宋" w:cs="仿宋"/>
                <w:b/>
                <w:bCs/>
                <w:sz w:val="16"/>
                <w:szCs w:val="16"/>
                <w:vertAlign w:val="superscript"/>
                <w:lang w:bidi="ar"/>
              </w:rPr>
              <w:t>2</w:t>
            </w:r>
            <w:r>
              <w:rPr>
                <w:rFonts w:hint="eastAsia" w:ascii="仿宋" w:hAnsi="仿宋" w:cs="仿宋"/>
                <w:b/>
                <w:bCs/>
                <w:color w:val="000000"/>
                <w:kern w:val="0"/>
                <w:sz w:val="16"/>
                <w:szCs w:val="16"/>
                <w:lang w:bidi="ar"/>
              </w:rPr>
              <w:t>）</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比例</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w:t>
            </w:r>
            <w:r>
              <w:rPr>
                <w:rFonts w:hint="eastAsia" w:ascii="仿宋" w:hAnsi="仿宋" w:cs="仿宋"/>
                <w:b/>
                <w:bCs/>
                <w:color w:val="000000"/>
                <w:kern w:val="0"/>
                <w:sz w:val="16"/>
                <w:szCs w:val="16"/>
                <w:lang w:bidi="ar"/>
              </w:rPr>
              <w:t>）</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面积</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km</w:t>
            </w:r>
            <w:r>
              <w:rPr>
                <w:rStyle w:val="38"/>
                <w:rFonts w:hint="eastAsia" w:ascii="仿宋" w:hAnsi="仿宋" w:cs="仿宋"/>
                <w:b/>
                <w:bCs/>
                <w:sz w:val="16"/>
                <w:szCs w:val="16"/>
                <w:vertAlign w:val="superscript"/>
                <w:lang w:bidi="ar"/>
              </w:rPr>
              <w:t>2</w:t>
            </w:r>
            <w:r>
              <w:rPr>
                <w:rFonts w:hint="eastAsia" w:ascii="仿宋" w:hAnsi="仿宋" w:cs="仿宋"/>
                <w:b/>
                <w:bCs/>
                <w:color w:val="000000"/>
                <w:kern w:val="0"/>
                <w:sz w:val="16"/>
                <w:szCs w:val="16"/>
                <w:lang w:bidi="ar"/>
              </w:rPr>
              <w:t>）</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比例</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w:t>
            </w:r>
            <w:r>
              <w:rPr>
                <w:rFonts w:hint="eastAsia" w:ascii="仿宋" w:hAnsi="仿宋" w:cs="仿宋"/>
                <w:b/>
                <w:bCs/>
                <w:color w:val="000000"/>
                <w:kern w:val="0"/>
                <w:sz w:val="16"/>
                <w:szCs w:val="16"/>
                <w:lang w:bidi="ar"/>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面积</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km</w:t>
            </w:r>
            <w:r>
              <w:rPr>
                <w:rStyle w:val="38"/>
                <w:rFonts w:hint="eastAsia" w:ascii="仿宋" w:hAnsi="仿宋" w:cs="仿宋"/>
                <w:b/>
                <w:bCs/>
                <w:sz w:val="16"/>
                <w:szCs w:val="16"/>
                <w:vertAlign w:val="superscript"/>
                <w:lang w:bidi="ar"/>
              </w:rPr>
              <w:t>2</w:t>
            </w:r>
            <w:r>
              <w:rPr>
                <w:rFonts w:hint="eastAsia" w:ascii="仿宋" w:hAnsi="仿宋" w:cs="仿宋"/>
                <w:b/>
                <w:bCs/>
                <w:color w:val="000000"/>
                <w:kern w:val="0"/>
                <w:sz w:val="16"/>
                <w:szCs w:val="16"/>
                <w:lang w:bidi="ar"/>
              </w:rPr>
              <w:t>）</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b/>
                <w:bCs/>
                <w:color w:val="000000"/>
                <w:kern w:val="0"/>
                <w:sz w:val="16"/>
                <w:szCs w:val="16"/>
                <w:lang w:bidi="ar"/>
              </w:rPr>
            </w:pPr>
            <w:r>
              <w:rPr>
                <w:rFonts w:hint="eastAsia" w:ascii="仿宋" w:hAnsi="仿宋" w:cs="仿宋"/>
                <w:b/>
                <w:bCs/>
                <w:color w:val="000000"/>
                <w:kern w:val="0"/>
                <w:sz w:val="16"/>
                <w:szCs w:val="16"/>
                <w:lang w:bidi="ar"/>
              </w:rPr>
              <w:t>比例</w:t>
            </w:r>
          </w:p>
          <w:p>
            <w:pPr>
              <w:widowControl/>
              <w:spacing w:line="400" w:lineRule="exact"/>
              <w:jc w:val="center"/>
              <w:textAlignment w:val="center"/>
              <w:rPr>
                <w:rFonts w:ascii="仿宋" w:hAnsi="仿宋" w:cs="仿宋"/>
                <w:b/>
                <w:bCs/>
                <w:color w:val="000000"/>
                <w:sz w:val="16"/>
                <w:szCs w:val="16"/>
              </w:rPr>
            </w:pPr>
            <w:r>
              <w:rPr>
                <w:rFonts w:hint="eastAsia" w:ascii="仿宋" w:hAnsi="仿宋" w:cs="仿宋"/>
                <w:b/>
                <w:bCs/>
                <w:color w:val="000000"/>
                <w:kern w:val="0"/>
                <w:sz w:val="16"/>
                <w:szCs w:val="16"/>
                <w:lang w:bidi="ar"/>
              </w:rPr>
              <w:t>（</w:t>
            </w:r>
            <w:r>
              <w:rPr>
                <w:rStyle w:val="38"/>
                <w:rFonts w:hint="eastAsia" w:ascii="仿宋" w:hAnsi="仿宋" w:cs="仿宋"/>
                <w:b/>
                <w:bCs/>
                <w:sz w:val="16"/>
                <w:szCs w:val="16"/>
                <w:lang w:bidi="ar"/>
              </w:rPr>
              <w:t>%</w:t>
            </w:r>
            <w:r>
              <w:rPr>
                <w:rFonts w:hint="eastAsia" w:ascii="仿宋" w:hAnsi="仿宋" w:cs="仿宋"/>
                <w:b/>
                <w:bCs/>
                <w:color w:val="000000"/>
                <w:kern w:val="0"/>
                <w:sz w:val="16"/>
                <w:szCs w:val="16"/>
                <w:lang w:bidi="ar"/>
              </w:rPr>
              <w:t>）</w:t>
            </w:r>
          </w:p>
        </w:tc>
      </w:tr>
      <w:tr>
        <w:tblPrEx>
          <w:tblCellMar>
            <w:top w:w="0" w:type="dxa"/>
            <w:left w:w="108" w:type="dxa"/>
            <w:bottom w:w="0" w:type="dxa"/>
            <w:right w:w="108" w:type="dxa"/>
          </w:tblCellMar>
        </w:tblPrEx>
        <w:trPr>
          <w:trHeight w:val="30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梅江区</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169.19</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29.65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169.19</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29.65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167.19</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29.29</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1.09</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0.19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168.28</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29.48 </w:t>
            </w:r>
          </w:p>
        </w:tc>
      </w:tr>
      <w:tr>
        <w:tblPrEx>
          <w:tblCellMar>
            <w:top w:w="0" w:type="dxa"/>
            <w:left w:w="108" w:type="dxa"/>
            <w:bottom w:w="0" w:type="dxa"/>
            <w:right w:w="108" w:type="dxa"/>
          </w:tblCellMar>
        </w:tblPrEx>
        <w:trPr>
          <w:trHeight w:val="30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梅县区</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446.94</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18.04</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542.62</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21.9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989.56</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39.94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389.13</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15.71</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599.25</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24.19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988.38</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39.90 </w:t>
            </w:r>
          </w:p>
        </w:tc>
      </w:tr>
      <w:tr>
        <w:tblPrEx>
          <w:tblCellMar>
            <w:top w:w="0" w:type="dxa"/>
            <w:left w:w="108" w:type="dxa"/>
            <w:bottom w:w="0" w:type="dxa"/>
            <w:right w:w="108" w:type="dxa"/>
          </w:tblCellMar>
        </w:tblPrEx>
        <w:trPr>
          <w:trHeight w:val="30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兴宁市</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511.47</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24.63</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126.46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6.09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637.93</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30.72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475.34</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22.89</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172.42</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8.30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647.76</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31.20 </w:t>
            </w:r>
          </w:p>
        </w:tc>
      </w:tr>
      <w:tr>
        <w:tblPrEx>
          <w:tblCellMar>
            <w:top w:w="0" w:type="dxa"/>
            <w:left w:w="108" w:type="dxa"/>
            <w:bottom w:w="0" w:type="dxa"/>
            <w:right w:w="108" w:type="dxa"/>
          </w:tblCellMar>
        </w:tblPrEx>
        <w:trPr>
          <w:trHeight w:val="30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平远县</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425.45</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30.95</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90.27</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6.57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515.72</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37.52</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399.99</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29.1</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135.03</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9.82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535.02</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38.93 </w:t>
            </w:r>
          </w:p>
        </w:tc>
      </w:tr>
      <w:tr>
        <w:tblPrEx>
          <w:tblCellMar>
            <w:top w:w="0" w:type="dxa"/>
            <w:left w:w="108" w:type="dxa"/>
            <w:bottom w:w="0" w:type="dxa"/>
            <w:right w:w="108" w:type="dxa"/>
          </w:tblCellMar>
        </w:tblPrEx>
        <w:trPr>
          <w:trHeight w:val="30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蕉岭县</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376.47</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39.14</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180.78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18.79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557.25</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57.93</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342.36</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35.59</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223.4</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23.23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565.76</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58.82 </w:t>
            </w:r>
          </w:p>
        </w:tc>
      </w:tr>
      <w:tr>
        <w:tblPrEx>
          <w:tblCellMar>
            <w:top w:w="0" w:type="dxa"/>
            <w:left w:w="108" w:type="dxa"/>
            <w:bottom w:w="0" w:type="dxa"/>
            <w:right w:w="108" w:type="dxa"/>
          </w:tblCellMar>
        </w:tblPrEx>
        <w:trPr>
          <w:trHeight w:val="30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大埔县</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793.94</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32.24</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691.94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28.1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1485.88</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60.34</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677.43</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27.52</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773.79</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31.43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1451.22</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58.95 </w:t>
            </w:r>
          </w:p>
        </w:tc>
      </w:tr>
      <w:tr>
        <w:tblPrEx>
          <w:tblCellMar>
            <w:top w:w="0" w:type="dxa"/>
            <w:left w:w="108" w:type="dxa"/>
            <w:bottom w:w="0" w:type="dxa"/>
            <w:right w:w="108" w:type="dxa"/>
          </w:tblCellMar>
        </w:tblPrEx>
        <w:trPr>
          <w:trHeight w:val="30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7</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丰顺县</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902.13</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33.33</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555.54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20.52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1457.67</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53.85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851.26</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31.45</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623.38</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23.03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1474.64</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54.48 </w:t>
            </w:r>
          </w:p>
        </w:tc>
      </w:tr>
      <w:tr>
        <w:tblPrEx>
          <w:tblCellMar>
            <w:top w:w="0" w:type="dxa"/>
            <w:left w:w="108" w:type="dxa"/>
            <w:bottom w:w="0" w:type="dxa"/>
            <w:right w:w="108" w:type="dxa"/>
          </w:tblCellMar>
        </w:tblPrEx>
        <w:trPr>
          <w:trHeight w:val="30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8</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五华县</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679.69</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20.98</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591.98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18.28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1271.67</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39.26</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default"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624.19</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19.27</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629.62</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19.44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1253.81</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38.71 </w:t>
            </w:r>
          </w:p>
        </w:tc>
      </w:tr>
      <w:tr>
        <w:tblPrEx>
          <w:tblCellMar>
            <w:top w:w="0" w:type="dxa"/>
            <w:left w:w="108" w:type="dxa"/>
            <w:bottom w:w="0" w:type="dxa"/>
            <w:right w:w="108" w:type="dxa"/>
          </w:tblCellMar>
        </w:tblPrEx>
        <w:trPr>
          <w:trHeight w:val="345" w:hRule="atLeast"/>
        </w:trPr>
        <w:tc>
          <w:tcPr>
            <w:tcW w:w="5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全市合计</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4305.28</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27.13</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2779.59</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17.52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7084.87</w:t>
            </w:r>
          </w:p>
        </w:tc>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sz w:val="16"/>
                <w:szCs w:val="16"/>
              </w:rPr>
            </w:pPr>
            <w:r>
              <w:rPr>
                <w:rFonts w:hint="eastAsia" w:ascii="仿宋" w:hAnsi="仿宋" w:cs="仿宋"/>
                <w:color w:val="000000"/>
                <w:kern w:val="0"/>
                <w:sz w:val="16"/>
                <w:szCs w:val="16"/>
                <w:lang w:bidi="ar"/>
              </w:rPr>
              <w:t>44.65</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default"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3926.90</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24.75</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3157.97</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19.90 </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7084.87</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eastAsia" w:ascii="仿宋" w:hAnsi="仿宋" w:cs="仿宋"/>
                <w:color w:val="000000"/>
                <w:kern w:val="0"/>
                <w:sz w:val="16"/>
                <w:szCs w:val="16"/>
                <w:lang w:val="en-US" w:eastAsia="zh-CN" w:bidi="ar"/>
              </w:rPr>
            </w:pPr>
            <w:r>
              <w:rPr>
                <w:rFonts w:hint="eastAsia" w:ascii="仿宋" w:hAnsi="仿宋" w:cs="仿宋"/>
                <w:color w:val="000000"/>
                <w:kern w:val="0"/>
                <w:sz w:val="16"/>
                <w:szCs w:val="16"/>
                <w:lang w:val="en-US" w:eastAsia="zh-CN" w:bidi="ar"/>
              </w:rPr>
              <w:t xml:space="preserve">44.65 </w:t>
            </w:r>
          </w:p>
        </w:tc>
      </w:tr>
    </w:tbl>
    <w:p>
      <w:pPr>
        <w:spacing w:line="400" w:lineRule="exact"/>
      </w:pPr>
      <w:r>
        <w:rPr>
          <w:rFonts w:hint="eastAsia"/>
        </w:rPr>
        <w:br w:type="page"/>
      </w:r>
    </w:p>
    <w:p>
      <w:pPr>
        <w:pStyle w:val="4"/>
        <w:ind w:left="333" w:right="333"/>
        <w:sectPr>
          <w:pgSz w:w="16838" w:h="11906" w:orient="landscape"/>
          <w:pgMar w:top="1587" w:right="2098" w:bottom="1474" w:left="1984" w:header="851" w:footer="1587" w:gutter="0"/>
          <w:pgNumType w:fmt="decimal"/>
          <w:cols w:space="0" w:num="1"/>
          <w:docGrid w:type="linesAndChars" w:linePitch="589" w:charSpace="2603"/>
        </w:sectPr>
      </w:pPr>
    </w:p>
    <w:p>
      <w:pPr>
        <w:pStyle w:val="4"/>
        <w:ind w:left="335" w:right="335"/>
      </w:pPr>
      <w:bookmarkStart w:id="43" w:name="_Toc20883"/>
      <w:r>
        <w:rPr>
          <w:rFonts w:hint="eastAsia"/>
        </w:rPr>
        <w:t>4、环境质量底线更新</w:t>
      </w:r>
      <w:bookmarkEnd w:id="43"/>
    </w:p>
    <w:p>
      <w:pPr>
        <w:pStyle w:val="5"/>
      </w:pPr>
      <w:bookmarkStart w:id="44" w:name="_Toc26634"/>
      <w:r>
        <w:rPr>
          <w:rFonts w:hint="eastAsia"/>
        </w:rPr>
        <w:t>4</w:t>
      </w:r>
      <w:r>
        <w:t>.1水环境质量底线更新</w:t>
      </w:r>
      <w:bookmarkEnd w:id="44"/>
    </w:p>
    <w:p>
      <w:pPr>
        <w:pStyle w:val="6"/>
      </w:pPr>
      <w:bookmarkStart w:id="45" w:name="_Toc22831"/>
      <w:bookmarkStart w:id="46" w:name="_Toc25280"/>
      <w:r>
        <w:rPr>
          <w:rFonts w:hint="eastAsia"/>
        </w:rPr>
        <w:t>4.1.1目标更新</w:t>
      </w:r>
      <w:bookmarkEnd w:id="45"/>
      <w:bookmarkEnd w:id="46"/>
    </w:p>
    <w:p>
      <w:pPr>
        <w:ind w:firstLine="668" w:firstLineChars="200"/>
      </w:pPr>
      <w:r>
        <w:rPr>
          <w:rFonts w:hint="eastAsia"/>
        </w:rPr>
        <w:t>根据“十四五”地表水国考（控）、省考（控）断面水质目标要求和《广东省水生态环境保护“十四五”规划》《广东省碧水保卫战五年行动计划（2021-2025年）》等文件，对“十四五”水质目标的断面所在水环境管控分区的2025年水质目标进行更新，共调整清凉山水库、大麻、水口英勤、五丰渡口</w:t>
      </w:r>
      <w:r>
        <w:rPr>
          <w:rFonts w:hint="eastAsia"/>
          <w:lang w:eastAsia="zh-CN"/>
        </w:rPr>
        <w:t>、</w:t>
      </w:r>
      <w:r>
        <w:rPr>
          <w:rFonts w:hint="eastAsia"/>
          <w:lang w:val="en-US" w:eastAsia="zh-CN"/>
        </w:rPr>
        <w:t>热柘、程江、新铺（白渡沙坪）7</w:t>
      </w:r>
      <w:r>
        <w:rPr>
          <w:rFonts w:hint="eastAsia"/>
        </w:rPr>
        <w:t>个水质断面的水质目标，涉及</w:t>
      </w:r>
      <w:r>
        <w:rPr>
          <w:rFonts w:hint="eastAsia"/>
          <w:lang w:val="en-US" w:eastAsia="zh-CN"/>
        </w:rPr>
        <w:t>9</w:t>
      </w:r>
      <w:r>
        <w:rPr>
          <w:rFonts w:hint="eastAsia"/>
        </w:rPr>
        <w:t>个水环境控制单元。</w:t>
      </w:r>
    </w:p>
    <w:p>
      <w:pPr>
        <w:jc w:val="both"/>
      </w:pPr>
    </w:p>
    <w:p>
      <w:pPr>
        <w:pStyle w:val="10"/>
        <w:jc w:val="center"/>
        <w:sectPr>
          <w:pgSz w:w="11906" w:h="16838"/>
          <w:pgMar w:top="2098" w:right="1474" w:bottom="1984" w:left="1587" w:header="851" w:footer="1587" w:gutter="0"/>
          <w:pgNumType w:fmt="decimal"/>
          <w:cols w:space="0" w:num="1"/>
          <w:docGrid w:type="linesAndChars" w:linePitch="589" w:charSpace="3037"/>
        </w:sectPr>
      </w:pPr>
    </w:p>
    <w:p>
      <w:pPr>
        <w:pStyle w:val="10"/>
        <w:jc w:val="center"/>
      </w:pPr>
      <w:r>
        <w:t>表</w:t>
      </w:r>
      <w:r>
        <w:rPr>
          <w:rFonts w:hint="eastAsia"/>
        </w:rPr>
        <w:t>4-1</w:t>
      </w:r>
      <w:r>
        <w:rPr>
          <w:rFonts w:hint="eastAsia"/>
          <w:lang w:val="en-US" w:eastAsia="zh-CN"/>
        </w:rPr>
        <w:t xml:space="preserve"> </w:t>
      </w:r>
      <w:r>
        <w:rPr>
          <w:rFonts w:hint="eastAsia"/>
        </w:rPr>
        <w:t>2025年水环境管控分区水质目标更新调整情况</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2086"/>
        <w:gridCol w:w="5323"/>
        <w:gridCol w:w="1247"/>
        <w:gridCol w:w="1131"/>
        <w:gridCol w:w="1447"/>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序号</w:t>
            </w:r>
          </w:p>
        </w:tc>
        <w:tc>
          <w:tcPr>
            <w:tcW w:w="804" w:type="pct"/>
            <w:vAlign w:val="center"/>
          </w:tcPr>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水环境</w:t>
            </w:r>
          </w:p>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管控分区</w:t>
            </w:r>
          </w:p>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编码</w:t>
            </w:r>
          </w:p>
        </w:tc>
        <w:tc>
          <w:tcPr>
            <w:tcW w:w="2052" w:type="pct"/>
            <w:vAlign w:val="center"/>
          </w:tcPr>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水环境</w:t>
            </w:r>
          </w:p>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管控分区</w:t>
            </w:r>
          </w:p>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名称</w:t>
            </w:r>
          </w:p>
        </w:tc>
        <w:tc>
          <w:tcPr>
            <w:tcW w:w="480" w:type="pct"/>
            <w:vAlign w:val="center"/>
          </w:tcPr>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原</w:t>
            </w:r>
          </w:p>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2025年</w:t>
            </w:r>
          </w:p>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水质目标</w:t>
            </w:r>
          </w:p>
        </w:tc>
        <w:tc>
          <w:tcPr>
            <w:tcW w:w="436" w:type="pct"/>
            <w:vAlign w:val="center"/>
          </w:tcPr>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调整后2025年</w:t>
            </w:r>
          </w:p>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水质目标</w:t>
            </w:r>
          </w:p>
        </w:tc>
        <w:tc>
          <w:tcPr>
            <w:tcW w:w="557" w:type="pct"/>
            <w:vAlign w:val="center"/>
          </w:tcPr>
          <w:p>
            <w:pPr>
              <w:widowControl/>
              <w:spacing w:line="400" w:lineRule="exact"/>
              <w:jc w:val="center"/>
              <w:textAlignment w:val="center"/>
              <w:rPr>
                <w:rFonts w:ascii="仿宋" w:hAnsi="仿宋" w:cs="仿宋"/>
                <w:b/>
                <w:bCs/>
                <w:color w:val="000000"/>
                <w:kern w:val="0"/>
                <w:sz w:val="21"/>
                <w:szCs w:val="21"/>
                <w:lang w:bidi="ar"/>
              </w:rPr>
            </w:pPr>
            <w:r>
              <w:rPr>
                <w:rFonts w:ascii="仿宋" w:hAnsi="仿宋" w:cs="仿宋"/>
                <w:b/>
                <w:bCs/>
                <w:color w:val="000000"/>
                <w:kern w:val="0"/>
                <w:sz w:val="21"/>
                <w:szCs w:val="21"/>
                <w:lang w:bidi="ar"/>
              </w:rPr>
              <w:t>断面名称</w:t>
            </w:r>
          </w:p>
        </w:tc>
        <w:tc>
          <w:tcPr>
            <w:tcW w:w="448" w:type="pct"/>
            <w:vAlign w:val="center"/>
          </w:tcPr>
          <w:p>
            <w:pPr>
              <w:widowControl/>
              <w:spacing w:line="400" w:lineRule="exact"/>
              <w:jc w:val="center"/>
              <w:textAlignment w:val="center"/>
              <w:rPr>
                <w:rFonts w:ascii="仿宋" w:hAnsi="仿宋" w:cs="仿宋"/>
                <w:color w:val="000000"/>
                <w:kern w:val="0"/>
                <w:sz w:val="21"/>
                <w:szCs w:val="21"/>
                <w:lang w:bidi="ar"/>
              </w:rPr>
            </w:pPr>
            <w:bookmarkStart w:id="47" w:name="_Toc22236"/>
            <w:r>
              <w:rPr>
                <w:rFonts w:ascii="仿宋" w:hAnsi="仿宋" w:cs="仿宋"/>
                <w:b/>
                <w:bCs/>
                <w:color w:val="000000"/>
                <w:kern w:val="0"/>
                <w:sz w:val="21"/>
                <w:szCs w:val="21"/>
                <w:lang w:bidi="ar"/>
              </w:rPr>
              <w:t>依据</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w:t>
            </w:r>
          </w:p>
        </w:tc>
        <w:tc>
          <w:tcPr>
            <w:tcW w:w="804"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YS4414021210001</w:t>
            </w:r>
          </w:p>
        </w:tc>
        <w:tc>
          <w:tcPr>
            <w:tcW w:w="2052"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清凉山水库梅州市长沙镇-西阳镇-三角镇控制单元</w:t>
            </w:r>
          </w:p>
        </w:tc>
        <w:tc>
          <w:tcPr>
            <w:tcW w:w="480"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Ⅲ类</w:t>
            </w:r>
          </w:p>
        </w:tc>
        <w:tc>
          <w:tcPr>
            <w:tcW w:w="436"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Ⅱ类</w:t>
            </w:r>
          </w:p>
        </w:tc>
        <w:tc>
          <w:tcPr>
            <w:tcW w:w="557"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清凉山水库</w:t>
            </w:r>
          </w:p>
        </w:tc>
        <w:tc>
          <w:tcPr>
            <w:tcW w:w="448" w:type="pct"/>
            <w:vMerge w:val="restart"/>
            <w:vAlign w:val="center"/>
          </w:tcPr>
          <w:p>
            <w:pPr>
              <w:widowControl/>
              <w:spacing w:line="400" w:lineRule="exact"/>
              <w:jc w:val="center"/>
              <w:textAlignment w:val="center"/>
              <w:rPr>
                <w:rFonts w:ascii="仿宋" w:hAnsi="仿宋" w:cs="仿宋"/>
                <w:color w:val="000000"/>
                <w:kern w:val="0"/>
                <w:sz w:val="21"/>
                <w:szCs w:val="21"/>
                <w:lang w:bidi="ar"/>
              </w:rPr>
            </w:pPr>
            <w:bookmarkStart w:id="48" w:name="_Toc22890"/>
            <w:r>
              <w:rPr>
                <w:rFonts w:ascii="仿宋" w:hAnsi="仿宋" w:cs="仿宋"/>
                <w:color w:val="000000"/>
                <w:kern w:val="0"/>
                <w:sz w:val="21"/>
                <w:szCs w:val="21"/>
                <w:lang w:bidi="ar"/>
              </w:rPr>
              <w:t>省厅下达的“十四五”梅州市国考省考断面水质考核目标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w:t>
            </w:r>
          </w:p>
        </w:tc>
        <w:tc>
          <w:tcPr>
            <w:tcW w:w="804"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YS4414223210003</w:t>
            </w:r>
          </w:p>
        </w:tc>
        <w:tc>
          <w:tcPr>
            <w:tcW w:w="2052"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韩江干流梅州市大麻镇-三河镇控制单元</w:t>
            </w:r>
          </w:p>
        </w:tc>
        <w:tc>
          <w:tcPr>
            <w:tcW w:w="480"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Ⅲ类</w:t>
            </w:r>
          </w:p>
        </w:tc>
        <w:tc>
          <w:tcPr>
            <w:tcW w:w="436"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Ⅱ类</w:t>
            </w:r>
          </w:p>
        </w:tc>
        <w:tc>
          <w:tcPr>
            <w:tcW w:w="557"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大麻</w:t>
            </w:r>
          </w:p>
        </w:tc>
        <w:tc>
          <w:tcPr>
            <w:tcW w:w="448" w:type="pct"/>
            <w:vMerge w:val="continue"/>
            <w:vAlign w:val="center"/>
          </w:tcPr>
          <w:p>
            <w:pPr>
              <w:pStyle w:val="6"/>
              <w:spacing w:beforeAutospacing="0" w:afterAutospacing="0" w:line="400" w:lineRule="exact"/>
              <w:jc w:val="center"/>
              <w:outlineLvl w:val="2"/>
              <w:rPr>
                <w:b w:val="0"/>
                <w:bCs w:val="0"/>
                <w:sz w:val="4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w:t>
            </w:r>
          </w:p>
        </w:tc>
        <w:tc>
          <w:tcPr>
            <w:tcW w:w="804"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YS4414813210005</w:t>
            </w:r>
          </w:p>
        </w:tc>
        <w:tc>
          <w:tcPr>
            <w:tcW w:w="2052"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琴江干流梅州市水口镇控制单元</w:t>
            </w:r>
          </w:p>
        </w:tc>
        <w:tc>
          <w:tcPr>
            <w:tcW w:w="480"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Ⅲ类</w:t>
            </w:r>
          </w:p>
        </w:tc>
        <w:tc>
          <w:tcPr>
            <w:tcW w:w="436"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Ⅱ类</w:t>
            </w:r>
          </w:p>
        </w:tc>
        <w:tc>
          <w:tcPr>
            <w:tcW w:w="557"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水口英勤</w:t>
            </w:r>
          </w:p>
        </w:tc>
        <w:tc>
          <w:tcPr>
            <w:tcW w:w="448" w:type="pct"/>
            <w:vMerge w:val="continue"/>
            <w:vAlign w:val="center"/>
          </w:tcPr>
          <w:p>
            <w:pPr>
              <w:pStyle w:val="6"/>
              <w:spacing w:beforeAutospacing="0" w:afterAutospacing="0" w:line="400" w:lineRule="exact"/>
              <w:jc w:val="center"/>
              <w:outlineLvl w:val="2"/>
              <w:rPr>
                <w:b w:val="0"/>
                <w:bCs w:val="0"/>
                <w:sz w:val="4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w:t>
            </w:r>
          </w:p>
        </w:tc>
        <w:tc>
          <w:tcPr>
            <w:tcW w:w="804"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YS4414243210001</w:t>
            </w:r>
          </w:p>
        </w:tc>
        <w:tc>
          <w:tcPr>
            <w:tcW w:w="2052"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琴江干流梅州市郭田镇-河东镇-水寨镇控制单元</w:t>
            </w:r>
          </w:p>
        </w:tc>
        <w:tc>
          <w:tcPr>
            <w:tcW w:w="480"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Ⅲ类</w:t>
            </w:r>
          </w:p>
        </w:tc>
        <w:tc>
          <w:tcPr>
            <w:tcW w:w="436"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Ⅱ类</w:t>
            </w:r>
          </w:p>
        </w:tc>
        <w:tc>
          <w:tcPr>
            <w:tcW w:w="557"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水口英勤</w:t>
            </w:r>
          </w:p>
        </w:tc>
        <w:tc>
          <w:tcPr>
            <w:tcW w:w="448" w:type="pct"/>
            <w:vMerge w:val="continue"/>
            <w:vAlign w:val="center"/>
          </w:tcPr>
          <w:p>
            <w:pPr>
              <w:pStyle w:val="6"/>
              <w:spacing w:beforeAutospacing="0" w:afterAutospacing="0" w:line="400" w:lineRule="exact"/>
              <w:jc w:val="center"/>
              <w:outlineLvl w:val="2"/>
              <w:rPr>
                <w:b w:val="0"/>
                <w:bCs w:val="0"/>
                <w:sz w:val="4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w:t>
            </w:r>
          </w:p>
        </w:tc>
        <w:tc>
          <w:tcPr>
            <w:tcW w:w="804"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YS4414243210001</w:t>
            </w:r>
          </w:p>
        </w:tc>
        <w:tc>
          <w:tcPr>
            <w:tcW w:w="2052"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梅潭河梅州市湖寮镇-三河镇控制单元</w:t>
            </w:r>
          </w:p>
        </w:tc>
        <w:tc>
          <w:tcPr>
            <w:tcW w:w="480"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Ⅲ类</w:t>
            </w:r>
          </w:p>
        </w:tc>
        <w:tc>
          <w:tcPr>
            <w:tcW w:w="436"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Ⅱ类</w:t>
            </w:r>
          </w:p>
        </w:tc>
        <w:tc>
          <w:tcPr>
            <w:tcW w:w="557"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五丰渡口</w:t>
            </w:r>
          </w:p>
        </w:tc>
        <w:tc>
          <w:tcPr>
            <w:tcW w:w="448" w:type="pct"/>
            <w:vMerge w:val="continue"/>
            <w:vAlign w:val="center"/>
          </w:tcPr>
          <w:p>
            <w:pPr>
              <w:pStyle w:val="6"/>
              <w:spacing w:beforeAutospacing="0" w:afterAutospacing="0" w:line="400" w:lineRule="exact"/>
              <w:jc w:val="center"/>
              <w:outlineLvl w:val="2"/>
              <w:rPr>
                <w:b w:val="0"/>
                <w:bCs w:val="0"/>
                <w:sz w:val="4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w:t>
            </w:r>
          </w:p>
        </w:tc>
        <w:tc>
          <w:tcPr>
            <w:tcW w:w="804"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YS4414223210012</w:t>
            </w:r>
          </w:p>
        </w:tc>
        <w:tc>
          <w:tcPr>
            <w:tcW w:w="2052"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梅潭河梅州市西河镇-湖寮镇控制单元</w:t>
            </w:r>
          </w:p>
        </w:tc>
        <w:tc>
          <w:tcPr>
            <w:tcW w:w="480"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Ⅲ类</w:t>
            </w:r>
          </w:p>
        </w:tc>
        <w:tc>
          <w:tcPr>
            <w:tcW w:w="436"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Ⅱ类</w:t>
            </w:r>
          </w:p>
        </w:tc>
        <w:tc>
          <w:tcPr>
            <w:tcW w:w="557" w:type="pct"/>
            <w:vAlign w:val="center"/>
          </w:tcPr>
          <w:p>
            <w:pPr>
              <w:widowControl/>
              <w:spacing w:line="400" w:lineRule="exact"/>
              <w:jc w:val="center"/>
              <w:textAlignment w:val="center"/>
              <w:rPr>
                <w:rFonts w:ascii="仿宋" w:hAnsi="仿宋" w:cs="仿宋"/>
                <w:color w:val="000000"/>
                <w:kern w:val="0"/>
                <w:sz w:val="21"/>
                <w:szCs w:val="21"/>
                <w:lang w:bidi="ar"/>
              </w:rPr>
            </w:pPr>
            <w:r>
              <w:rPr>
                <w:rFonts w:ascii="仿宋" w:hAnsi="仿宋" w:cs="仿宋"/>
                <w:color w:val="000000"/>
                <w:kern w:val="0"/>
                <w:sz w:val="21"/>
                <w:szCs w:val="21"/>
                <w:lang w:bidi="ar"/>
              </w:rPr>
              <w:t>五丰渡口</w:t>
            </w:r>
          </w:p>
        </w:tc>
        <w:tc>
          <w:tcPr>
            <w:tcW w:w="448" w:type="pct"/>
            <w:vMerge w:val="continue"/>
            <w:vAlign w:val="center"/>
          </w:tcPr>
          <w:p>
            <w:pPr>
              <w:pStyle w:val="6"/>
              <w:spacing w:beforeAutospacing="0" w:afterAutospacing="0" w:line="400" w:lineRule="exact"/>
              <w:jc w:val="center"/>
              <w:outlineLvl w:val="2"/>
              <w:rPr>
                <w:b w:val="0"/>
                <w:bCs w:val="0"/>
                <w:sz w:val="40"/>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hint="eastAsia" w:ascii="仿宋" w:hAnsi="仿宋" w:eastAsia="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7</w:t>
            </w:r>
          </w:p>
        </w:tc>
        <w:tc>
          <w:tcPr>
            <w:tcW w:w="804"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YS4414263210005</w:t>
            </w:r>
          </w:p>
        </w:tc>
        <w:tc>
          <w:tcPr>
            <w:tcW w:w="2052"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程江梅州市石正镇-大柘镇控制单元</w:t>
            </w:r>
          </w:p>
        </w:tc>
        <w:tc>
          <w:tcPr>
            <w:tcW w:w="480" w:type="pct"/>
            <w:vAlign w:val="center"/>
          </w:tcPr>
          <w:p>
            <w:pPr>
              <w:widowControl/>
              <w:spacing w:line="400" w:lineRule="exact"/>
              <w:jc w:val="center"/>
              <w:textAlignment w:val="center"/>
              <w:rPr>
                <w:rFonts w:hint="eastAsia" w:ascii="仿宋" w:hAnsi="仿宋" w:cs="仿宋"/>
                <w:color w:val="000000"/>
                <w:kern w:val="0"/>
                <w:sz w:val="21"/>
                <w:szCs w:val="21"/>
                <w:lang w:bidi="ar"/>
              </w:rPr>
            </w:pPr>
            <w:r>
              <w:rPr>
                <w:rFonts w:hint="eastAsia" w:ascii="仿宋" w:hAnsi="仿宋" w:cs="仿宋"/>
                <w:color w:val="000000"/>
                <w:kern w:val="0"/>
                <w:sz w:val="21"/>
                <w:szCs w:val="21"/>
                <w:lang w:bidi="ar"/>
              </w:rPr>
              <w:t>Ⅲ类</w:t>
            </w:r>
          </w:p>
        </w:tc>
        <w:tc>
          <w:tcPr>
            <w:tcW w:w="436" w:type="pct"/>
            <w:vAlign w:val="center"/>
          </w:tcPr>
          <w:p>
            <w:pPr>
              <w:widowControl/>
              <w:spacing w:line="400" w:lineRule="exact"/>
              <w:jc w:val="center"/>
              <w:textAlignment w:val="center"/>
              <w:rPr>
                <w:rFonts w:hint="eastAsia" w:ascii="仿宋" w:hAnsi="仿宋" w:cs="仿宋"/>
                <w:color w:val="000000"/>
                <w:kern w:val="0"/>
                <w:sz w:val="21"/>
                <w:szCs w:val="21"/>
                <w:lang w:bidi="ar"/>
              </w:rPr>
            </w:pPr>
            <w:r>
              <w:rPr>
                <w:rFonts w:hint="eastAsia" w:ascii="仿宋" w:hAnsi="仿宋" w:cs="仿宋"/>
                <w:color w:val="000000"/>
                <w:kern w:val="0"/>
                <w:sz w:val="21"/>
                <w:szCs w:val="21"/>
                <w:lang w:bidi="ar"/>
              </w:rPr>
              <w:t>Ⅱ类</w:t>
            </w:r>
          </w:p>
        </w:tc>
        <w:tc>
          <w:tcPr>
            <w:tcW w:w="557"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热柘</w:t>
            </w:r>
          </w:p>
        </w:tc>
        <w:tc>
          <w:tcPr>
            <w:tcW w:w="448" w:type="pct"/>
            <w:vMerge w:val="continue"/>
            <w:vAlign w:val="center"/>
          </w:tcPr>
          <w:p>
            <w:pPr>
              <w:widowControl/>
              <w:spacing w:line="400" w:lineRule="exact"/>
              <w:jc w:val="center"/>
              <w:textAlignment w:val="center"/>
              <w:rPr>
                <w:rFonts w:hint="eastAsia" w:ascii="仿宋" w:hAnsi="仿宋" w:cs="仿宋"/>
                <w:color w:val="000000"/>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hint="eastAsia" w:ascii="仿宋" w:hAnsi="仿宋" w:eastAsia="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8</w:t>
            </w:r>
          </w:p>
        </w:tc>
        <w:tc>
          <w:tcPr>
            <w:tcW w:w="804"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YS4414023210006</w:t>
            </w:r>
          </w:p>
        </w:tc>
        <w:tc>
          <w:tcPr>
            <w:tcW w:w="2052"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程江梅州市城北镇-西郊街道控制单元</w:t>
            </w:r>
          </w:p>
        </w:tc>
        <w:tc>
          <w:tcPr>
            <w:tcW w:w="480" w:type="pct"/>
            <w:vAlign w:val="center"/>
          </w:tcPr>
          <w:p>
            <w:pPr>
              <w:widowControl/>
              <w:spacing w:line="400" w:lineRule="exact"/>
              <w:jc w:val="center"/>
              <w:textAlignment w:val="center"/>
              <w:rPr>
                <w:rFonts w:hint="eastAsia" w:ascii="仿宋" w:hAnsi="仿宋" w:cs="仿宋"/>
                <w:color w:val="000000"/>
                <w:kern w:val="0"/>
                <w:sz w:val="21"/>
                <w:szCs w:val="21"/>
                <w:lang w:eastAsia="zh-CN" w:bidi="ar"/>
              </w:rPr>
            </w:pPr>
            <w:r>
              <w:rPr>
                <w:rFonts w:hint="eastAsia" w:ascii="仿宋" w:hAnsi="仿宋" w:cs="仿宋"/>
                <w:color w:val="000000"/>
                <w:kern w:val="0"/>
                <w:sz w:val="21"/>
                <w:szCs w:val="21"/>
                <w:lang w:eastAsia="zh-CN" w:bidi="ar"/>
              </w:rPr>
              <w:t>Ⅴ</w:t>
            </w:r>
            <w:r>
              <w:rPr>
                <w:rFonts w:hint="eastAsia" w:ascii="仿宋" w:hAnsi="仿宋" w:cs="仿宋"/>
                <w:color w:val="000000"/>
                <w:kern w:val="0"/>
                <w:sz w:val="21"/>
                <w:szCs w:val="21"/>
                <w:lang w:bidi="ar"/>
              </w:rPr>
              <w:t>类</w:t>
            </w:r>
          </w:p>
        </w:tc>
        <w:tc>
          <w:tcPr>
            <w:tcW w:w="436"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Ⅳ类</w:t>
            </w:r>
          </w:p>
        </w:tc>
        <w:tc>
          <w:tcPr>
            <w:tcW w:w="557"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程江</w:t>
            </w:r>
          </w:p>
        </w:tc>
        <w:tc>
          <w:tcPr>
            <w:tcW w:w="448" w:type="pct"/>
            <w:vMerge w:val="continue"/>
            <w:vAlign w:val="center"/>
          </w:tcPr>
          <w:p>
            <w:pPr>
              <w:widowControl/>
              <w:spacing w:line="400" w:lineRule="exact"/>
              <w:jc w:val="center"/>
              <w:textAlignment w:val="center"/>
              <w:rPr>
                <w:rFonts w:hint="eastAsia" w:ascii="仿宋" w:hAnsi="仿宋" w:cs="仿宋"/>
                <w:color w:val="000000"/>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 w:type="pct"/>
            <w:vAlign w:val="center"/>
          </w:tcPr>
          <w:p>
            <w:pPr>
              <w:widowControl/>
              <w:spacing w:line="400" w:lineRule="exact"/>
              <w:jc w:val="center"/>
              <w:textAlignment w:val="center"/>
              <w:rPr>
                <w:rFonts w:hint="eastAsia" w:ascii="仿宋" w:hAnsi="仿宋" w:eastAsia="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9</w:t>
            </w:r>
          </w:p>
        </w:tc>
        <w:tc>
          <w:tcPr>
            <w:tcW w:w="804"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YS4414273210005</w:t>
            </w:r>
          </w:p>
        </w:tc>
        <w:tc>
          <w:tcPr>
            <w:tcW w:w="2052"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石窟河梅州市新铺镇控制单元</w:t>
            </w:r>
          </w:p>
        </w:tc>
        <w:tc>
          <w:tcPr>
            <w:tcW w:w="480" w:type="pct"/>
            <w:vAlign w:val="center"/>
          </w:tcPr>
          <w:p>
            <w:pPr>
              <w:widowControl/>
              <w:spacing w:line="400" w:lineRule="exact"/>
              <w:jc w:val="center"/>
              <w:textAlignment w:val="center"/>
              <w:rPr>
                <w:rFonts w:hint="eastAsia" w:ascii="仿宋" w:hAnsi="仿宋" w:cs="仿宋"/>
                <w:color w:val="000000"/>
                <w:kern w:val="0"/>
                <w:sz w:val="21"/>
                <w:szCs w:val="21"/>
                <w:lang w:bidi="ar"/>
              </w:rPr>
            </w:pPr>
            <w:r>
              <w:rPr>
                <w:rFonts w:hint="eastAsia" w:ascii="仿宋" w:hAnsi="仿宋" w:cs="仿宋"/>
                <w:color w:val="000000"/>
                <w:kern w:val="0"/>
                <w:sz w:val="21"/>
                <w:szCs w:val="21"/>
                <w:lang w:bidi="ar"/>
              </w:rPr>
              <w:t>Ⅲ类</w:t>
            </w:r>
          </w:p>
        </w:tc>
        <w:tc>
          <w:tcPr>
            <w:tcW w:w="436" w:type="pct"/>
            <w:vAlign w:val="center"/>
          </w:tcPr>
          <w:p>
            <w:pPr>
              <w:widowControl/>
              <w:spacing w:line="400" w:lineRule="exact"/>
              <w:jc w:val="center"/>
              <w:textAlignment w:val="center"/>
              <w:rPr>
                <w:rFonts w:hint="eastAsia" w:ascii="仿宋" w:hAnsi="仿宋" w:cs="仿宋"/>
                <w:color w:val="000000"/>
                <w:kern w:val="0"/>
                <w:sz w:val="21"/>
                <w:szCs w:val="21"/>
                <w:lang w:bidi="ar"/>
              </w:rPr>
            </w:pPr>
            <w:r>
              <w:rPr>
                <w:rFonts w:hint="eastAsia" w:ascii="仿宋" w:hAnsi="仿宋" w:cs="仿宋"/>
                <w:color w:val="000000"/>
                <w:kern w:val="0"/>
                <w:sz w:val="21"/>
                <w:szCs w:val="21"/>
                <w:lang w:bidi="ar"/>
              </w:rPr>
              <w:t>Ⅱ类</w:t>
            </w:r>
          </w:p>
        </w:tc>
        <w:tc>
          <w:tcPr>
            <w:tcW w:w="557" w:type="pct"/>
            <w:vAlign w:val="center"/>
          </w:tcPr>
          <w:p>
            <w:pPr>
              <w:widowControl/>
              <w:spacing w:line="400" w:lineRule="exact"/>
              <w:jc w:val="center"/>
              <w:textAlignment w:val="center"/>
              <w:rPr>
                <w:rFonts w:hint="eastAsia" w:ascii="仿宋" w:hAnsi="仿宋" w:cs="仿宋"/>
                <w:color w:val="000000"/>
                <w:kern w:val="0"/>
                <w:sz w:val="21"/>
                <w:szCs w:val="21"/>
                <w:lang w:val="en-US" w:eastAsia="zh-CN" w:bidi="ar"/>
              </w:rPr>
            </w:pPr>
            <w:r>
              <w:rPr>
                <w:rFonts w:hint="eastAsia" w:ascii="仿宋" w:hAnsi="仿宋" w:cs="仿宋"/>
                <w:color w:val="000000"/>
                <w:kern w:val="0"/>
                <w:sz w:val="21"/>
                <w:szCs w:val="21"/>
                <w:lang w:val="en-US" w:eastAsia="zh-CN" w:bidi="ar"/>
              </w:rPr>
              <w:t>新铺（白渡沙坪）</w:t>
            </w:r>
          </w:p>
        </w:tc>
        <w:tc>
          <w:tcPr>
            <w:tcW w:w="448" w:type="pct"/>
            <w:vMerge w:val="continue"/>
            <w:vAlign w:val="center"/>
          </w:tcPr>
          <w:p>
            <w:pPr>
              <w:widowControl/>
              <w:spacing w:line="400" w:lineRule="exact"/>
              <w:jc w:val="center"/>
              <w:textAlignment w:val="center"/>
              <w:rPr>
                <w:rFonts w:hint="eastAsia" w:ascii="仿宋" w:hAnsi="仿宋" w:cs="仿宋"/>
                <w:color w:val="000000"/>
                <w:kern w:val="0"/>
                <w:sz w:val="21"/>
                <w:szCs w:val="21"/>
                <w:lang w:bidi="ar"/>
              </w:rPr>
            </w:pPr>
          </w:p>
        </w:tc>
      </w:tr>
    </w:tbl>
    <w:p>
      <w:pPr>
        <w:spacing w:line="400" w:lineRule="exact"/>
        <w:sectPr>
          <w:pgSz w:w="16838" w:h="11906" w:orient="landscape"/>
          <w:pgMar w:top="1587" w:right="2098" w:bottom="1474" w:left="1984" w:header="851" w:footer="1587" w:gutter="0"/>
          <w:pgNumType w:fmt="decimal"/>
          <w:cols w:space="0" w:num="1"/>
          <w:docGrid w:type="linesAndChars" w:linePitch="589" w:charSpace="3037"/>
        </w:sectPr>
      </w:pPr>
    </w:p>
    <w:p>
      <w:pPr>
        <w:pStyle w:val="6"/>
      </w:pPr>
      <w:bookmarkStart w:id="49" w:name="_Toc28784"/>
      <w:bookmarkStart w:id="50" w:name="_Toc23033"/>
      <w:r>
        <w:rPr>
          <w:rFonts w:hint="eastAsia"/>
        </w:rPr>
        <w:t>4.1.2分区更新</w:t>
      </w:r>
      <w:bookmarkEnd w:id="49"/>
      <w:bookmarkEnd w:id="50"/>
    </w:p>
    <w:p>
      <w:pPr>
        <w:ind w:firstLine="668" w:firstLineChars="200"/>
      </w:pPr>
      <w:r>
        <w:rPr>
          <w:rFonts w:hint="eastAsia"/>
        </w:rPr>
        <w:t>采用最新省下发的行政边界，对水环境控制单元的边界进行更新。水环境优先保护区面积由1814.26km</w:t>
      </w:r>
      <w:r>
        <w:rPr>
          <w:rFonts w:hint="eastAsia"/>
          <w:vertAlign w:val="superscript"/>
        </w:rPr>
        <w:t>2</w:t>
      </w:r>
      <w:r>
        <w:rPr>
          <w:rFonts w:hint="eastAsia"/>
        </w:rPr>
        <w:t>更新为1814.23km</w:t>
      </w:r>
      <w:r>
        <w:rPr>
          <w:rFonts w:hint="eastAsia"/>
          <w:vertAlign w:val="superscript"/>
        </w:rPr>
        <w:t>2</w:t>
      </w:r>
      <w:r>
        <w:rPr>
          <w:rFonts w:hint="eastAsia"/>
        </w:rPr>
        <w:t>，水环境一般管控区面积由14054.88km</w:t>
      </w:r>
      <w:r>
        <w:rPr>
          <w:rFonts w:hint="eastAsia"/>
          <w:vertAlign w:val="superscript"/>
        </w:rPr>
        <w:t>2</w:t>
      </w:r>
      <w:r>
        <w:rPr>
          <w:rFonts w:hint="eastAsia"/>
        </w:rPr>
        <w:t>更新为14054.28km</w:t>
      </w:r>
      <w:r>
        <w:rPr>
          <w:rFonts w:hint="eastAsia"/>
          <w:vertAlign w:val="superscript"/>
        </w:rPr>
        <w:t>2</w:t>
      </w:r>
      <w:r>
        <w:rPr>
          <w:rFonts w:hint="eastAsia"/>
        </w:rPr>
        <w:t>。</w:t>
      </w:r>
    </w:p>
    <w:p>
      <w:pPr>
        <w:jc w:val="center"/>
      </w:pPr>
      <w:r>
        <w:rPr>
          <w:rFonts w:hint="eastAsia"/>
        </w:rPr>
        <w:drawing>
          <wp:inline distT="0" distB="0" distL="114300" distR="114300">
            <wp:extent cx="4535805" cy="4535805"/>
            <wp:effectExtent l="0" t="0" r="17145" b="17145"/>
            <wp:docPr id="57" name="图片 57" descr="水单元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水单元更新"/>
                    <pic:cNvPicPr>
                      <a:picLocks noChangeAspect="1"/>
                    </pic:cNvPicPr>
                  </pic:nvPicPr>
                  <pic:blipFill>
                    <a:blip r:embed="rId22"/>
                    <a:stretch>
                      <a:fillRect/>
                    </a:stretch>
                  </pic:blipFill>
                  <pic:spPr>
                    <a:xfrm>
                      <a:off x="0" y="0"/>
                      <a:ext cx="4535805" cy="4535805"/>
                    </a:xfrm>
                    <a:prstGeom prst="rect">
                      <a:avLst/>
                    </a:prstGeom>
                  </pic:spPr>
                </pic:pic>
              </a:graphicData>
            </a:graphic>
          </wp:inline>
        </w:drawing>
      </w:r>
    </w:p>
    <w:p>
      <w:pPr>
        <w:pStyle w:val="10"/>
        <w:jc w:val="center"/>
        <w:sectPr>
          <w:pgSz w:w="11906" w:h="16838"/>
          <w:pgMar w:top="2098" w:right="1474" w:bottom="1984" w:left="1587" w:header="851" w:footer="1587" w:gutter="0"/>
          <w:pgNumType w:fmt="decimal"/>
          <w:cols w:space="0" w:num="1"/>
          <w:docGrid w:type="linesAndChars" w:linePitch="589" w:charSpace="3037"/>
        </w:sectPr>
      </w:pPr>
      <w:r>
        <w:t>图</w:t>
      </w:r>
      <w:r>
        <w:rPr>
          <w:rFonts w:hint="eastAsia"/>
        </w:rPr>
        <w:t>4-2按省下发行政边界更新水环境控制单元</w:t>
      </w:r>
    </w:p>
    <w:p>
      <w:pPr>
        <w:pStyle w:val="10"/>
        <w:jc w:val="center"/>
      </w:pPr>
      <w:r>
        <w:t>表</w:t>
      </w:r>
      <w:r>
        <w:rPr>
          <w:rFonts w:hint="eastAsia"/>
        </w:rPr>
        <w:t>4-2按省下发行政边界更新水环境控制单元</w:t>
      </w:r>
    </w:p>
    <w:tbl>
      <w:tblPr>
        <w:tblStyle w:val="23"/>
        <w:tblW w:w="13689" w:type="dxa"/>
        <w:tblInd w:w="93" w:type="dxa"/>
        <w:tblLayout w:type="fixed"/>
        <w:tblCellMar>
          <w:top w:w="0" w:type="dxa"/>
          <w:left w:w="108" w:type="dxa"/>
          <w:bottom w:w="0" w:type="dxa"/>
          <w:right w:w="108" w:type="dxa"/>
        </w:tblCellMar>
      </w:tblPr>
      <w:tblGrid>
        <w:gridCol w:w="573"/>
        <w:gridCol w:w="1986"/>
        <w:gridCol w:w="3417"/>
        <w:gridCol w:w="1050"/>
        <w:gridCol w:w="1333"/>
        <w:gridCol w:w="1417"/>
        <w:gridCol w:w="2055"/>
        <w:gridCol w:w="929"/>
        <w:gridCol w:w="929"/>
      </w:tblGrid>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序号</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单元编码</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单元名称</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流域名称</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断面名称</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管控单元类型</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更新前</w:t>
            </w:r>
          </w:p>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面积</w:t>
            </w:r>
          </w:p>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（km</w:t>
            </w:r>
            <w:r>
              <w:rPr>
                <w:rFonts w:hint="eastAsia" w:ascii="仿宋" w:hAnsi="仿宋" w:cs="仿宋"/>
                <w:b/>
                <w:bCs/>
                <w:color w:val="000000"/>
                <w:kern w:val="0"/>
                <w:sz w:val="21"/>
                <w:szCs w:val="21"/>
                <w:vertAlign w:val="superscript"/>
                <w:lang w:bidi="ar"/>
              </w:rPr>
              <w:t>2</w:t>
            </w:r>
            <w:r>
              <w:rPr>
                <w:rFonts w:hint="eastAsia" w:ascii="仿宋" w:hAnsi="仿宋" w:cs="仿宋"/>
                <w:b/>
                <w:bCs/>
                <w:color w:val="000000"/>
                <w:kern w:val="0"/>
                <w:sz w:val="21"/>
                <w:szCs w:val="21"/>
                <w:lang w:bidi="ar"/>
              </w:rPr>
              <w:t>）</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更新后</w:t>
            </w:r>
          </w:p>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面积</w:t>
            </w:r>
          </w:p>
          <w:p>
            <w:pPr>
              <w:widowControl/>
              <w:spacing w:line="36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（km</w:t>
            </w:r>
            <w:r>
              <w:rPr>
                <w:rFonts w:hint="eastAsia" w:ascii="仿宋" w:hAnsi="仿宋" w:cs="仿宋"/>
                <w:b/>
                <w:bCs/>
                <w:color w:val="000000"/>
                <w:kern w:val="0"/>
                <w:sz w:val="21"/>
                <w:szCs w:val="21"/>
                <w:vertAlign w:val="superscript"/>
                <w:lang w:bidi="ar"/>
              </w:rPr>
              <w:t>2</w:t>
            </w:r>
            <w:r>
              <w:rPr>
                <w:rFonts w:hint="eastAsia" w:ascii="仿宋" w:hAnsi="仿宋" w:cs="仿宋"/>
                <w:b/>
                <w:bCs/>
                <w:color w:val="000000"/>
                <w:kern w:val="0"/>
                <w:sz w:val="21"/>
                <w:szCs w:val="21"/>
                <w:lang w:bidi="ar"/>
              </w:rPr>
              <w:t>）</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YS4414021210001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清凉山水库梅州市长沙镇-西阳镇-三角镇控制单元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清凉山水库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102.13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102.13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YS4414021210002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梅江干流梅州市长沙镇-三角镇-江南街道控制单元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4.68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4.68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YS4414031210001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梅江干流梅州市程江镇控制单元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4.71</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4.71</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YS4414221210001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梅潭河梅州市湖寮镇-百侯镇控制单元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梅潭河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8.00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YS4414221210002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山丰水库梅州市湖寮镇控制单元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山丰水库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0.82</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0.82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YS4414231210001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虎局水库梅州市汤坑镇控制单元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虎局水库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48.98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48.98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YS4414241210001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桂田水库梅州市双华镇-河东镇-郭田镇控制单元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桂田水库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25.63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25.63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YS4414241210002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益塘水库梅州市长布镇-潭下镇-横陂镇-华城镇-转水镇控制单元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益塘水库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278.86</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278.86</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YS4414241210003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蕉州河梅州市河东镇控制单元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蕉州河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4.98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4.98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YS4414261210001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黄田水库梅州市八尺镇-仁居镇-河头镇控制单元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黄田水库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141.10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141.08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YS4414261210002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中行河梅州市中行镇控制单元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中行河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38.99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38.99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YS4414261210003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柚树河梅州市中行镇-河头镇-大柘镇控制单元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柚树河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89.34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89.34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YS4414261210004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长潭水库梅州市上举镇-泗水镇控制单元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长潭水库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141.23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141.32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YS4414271210001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路亭水梅州市广福镇-文福镇-蓝坊镇-长潭镇控制单元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路亭水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182.63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182.54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YS4414271210002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龙潭黄竹坪水库梅州市蓝坊镇-林场-文福镇控制单元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龙潭黄竹坪水库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8.03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8.03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YS4414271210003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长潭水库梅州市广福镇-文福镇-长潭镇控制单元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长潭水库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97.64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97.64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YS4414811210001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1"/>
              <w:jc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合水水库梅州市罗浮镇-黄槐镇-罗岗镇-黄陂镇-大坪镇-叶塘镇-合水镇控制单元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合水水库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605.72</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605.69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YS4414811210002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和山岩水库梅州市龙田镇-石马镇-径南镇-永和镇-宁中镇控制单元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和山岩水库</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水环境优先保护区</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30.81</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30.81</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YS4414023210001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梅江干流梅州市长沙镇控制单元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93.63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93.63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YS4414023210002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白宫水梅州市西阳镇控制单元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白宫水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137.04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137.04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YS4414023210003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周溪水梅州市城北镇控制单元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周溪水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29.98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29.98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YS4414023210004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梅江干流梅州市西阳镇控制单元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27.60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27.60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YS4414023210005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梅江干流梅州市三角镇-江南街道-西郊街道-城北镇-金山街道-三角镇-西阳镇控制单元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93.65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93.65</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YS4414023210006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程江梅州市城北镇-西郊街道控制单元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程江</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81.89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81.89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梅江干流梅州市丙村镇-雁洋镇-松口镇控制单元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396.83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396.81</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梅江干流梅州市畲江镇-水车镇控制单元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219.39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219.39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高思水梅州市白渡镇控制单元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高思水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62.87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62.87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YS4414033210004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松源水梅州市松源镇-桃尧镇-隆文镇-松口镇控制单元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松源水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312.41</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312.43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YS4414033210005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隆文水梅州市松源镇-隆文镇-松口镇控制单元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隆文水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175.65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175.65</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YS4414033210006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三乡水梅州市雁洋镇-丙村镇控制单元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三乡水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126.53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126.53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YS4414033210007</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龙虎水梅州市石坑镇-梅西镇控制单元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龙虎水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124.79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124.79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YS4414033210008</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程江梅州市梅西镇-石坑镇-梅西水库管理局-大坪镇-南口镇-程江镇控制单元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程江</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206.07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206.07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YS4414033210009</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南口水梅州市南口镇控制单元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南口水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123.53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123.53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YS4414033210010</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荷泗水梅州市兴宁市飞地-南口镇-梅南镇控制单元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荷泗水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92.62</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92.62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YS4414033210011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古屋水梅州市梅南镇-梅州市梅南林场控制单元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古屋水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119.56</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119.56</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YS4414033210012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周溪水梅州市石扇镇-城东镇控制单元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周溪水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139.60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139.60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YS4414033210013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梅江干流梅州市南口镇-程江镇控制单元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67.50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67.50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YS4414033210014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石窟河梅州市白渡镇-城东镇-丙村镇-雁洋镇控制单元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石窟河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203.21</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203.21</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YS4414033210015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梅江干流梅州市畲江镇控制单元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15.70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15.70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YS4414033210016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梅江干流梅州市水车镇-梅南镇控制单元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73.98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73.98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YS4414033210017</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梅江干流梅州市程江镇控制单元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12.47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12.47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梅潭河梅州市湖寮镇-百侯镇-西河镇-枫朗镇-大东镇控制单元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梅潭河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445.54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445.36</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梅江干流梅州市三河镇-大麻镇控制单元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172.94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172.94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韩江干流梅州市大麻镇-三河镇控制单元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韩江干流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140.65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140.65</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YS4414223210004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合溪水梅州市国营大埔林场-桃源镇-光德镇-高陂镇控制单元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合溪水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236.33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236.33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YS4414223210005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小靖河梅州市国营丰溪林场-茶阳镇控制单元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小靖河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125.94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125.92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YS4414223210006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漳溪梅州市西河镇-茶阳镇控制单元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漳溪</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149.78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149.72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YS4414223210007</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汀江梅州市青溪镇-茶阳镇-三河镇控制单元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汀江</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178.39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178.39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YS4414223210008</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银江梅州市银江镇控制单元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银江</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208.09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208.09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YS4414223210009</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韩江干流梅州市大麻镇-湖寮镇-洲瑞镇-国营洲瑞林场-高陂镇-桃源镇控制单元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韩江干流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395.34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395.34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YS4414223210010</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汀江梅州市茶阳镇-青溪镇控制单元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汀江</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168.03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167.87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YS4414223210011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梅潭河梅州市湖寮镇-三河镇控制单元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梅潭河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73.00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73.00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YS4414223210012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梅潭河梅州市西河镇-湖寮镇控制单元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梅潭河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159.48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159.48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蔗溪梅州市隍镇控制单元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蔗溪</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141.75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141.75</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沙田水梅州市砂田镇-潭江镇-小胜镇控制单元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沙田水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115.10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115.10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大胜溪梅州市潭江镇控制单元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大胜溪</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119.63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119.63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YS4414233210004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白溪梅州市大龙华镇-龙港镇-黄金镇控制单元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白溪</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194.97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194.97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YS4414233210005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龙溪梅州市砂田镇-大龙华镇-黄金镇控制单元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龙溪</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143.29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143.29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YS4414233210006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南溪背水梅州市潘田镇-隍镇控制单元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南溪背水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216.94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216.94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YS4414233210007</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韩江干流梅州市隍镇控制单元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韩江干流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9.57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9.57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YS4414233210008</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韩江干流梅州市砂田镇-潭江镇-小胜镇-隍镇控制单元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韩江干流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373.22</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373.22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YS4414233210009</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五经富水梅州市八乡山镇-汤西镇-埔寨镇控制单元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五经富水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247.91</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247.92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YS4414233210010</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丰良河梅州市建桥镇-丰良镇-龙岗镇-黄金镇-潘田镇-隍镇控制单元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丰良河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524.39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524.39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YS4414233210011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北河梅州市北斗镇-丰良镇-汤坑镇控制单元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北河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110.56</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110.56</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YS4414233210012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北河梅州市汤西镇控制单元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北河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49.75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49.75</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YS4414233210013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南礤水梅州市汤西镇控制单元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南礤水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62.57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62.57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YS4414233210014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北河梅州市汤坑镇控制单元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北河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22.28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22.28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YS4414233210015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汤东河梅州市大坝林场-汤坑镇控制单元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汤东河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124.96</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124.96</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YS4414233210016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汤西河梅州市汤南镇-埔寨镇-汤西镇控制单元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汤西河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153.13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153.13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YS4414233210017</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北河梅州市汤坑镇-汤南镇控制单元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北河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47.80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47.80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琴江干流梅州市郭田镇-河东镇-水寨镇控制单元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116.86</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116.86</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矮车河梅州市华城镇-转水镇控制单元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矮车河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60.71</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60.71</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潭下河梅州市岐岭镇-潭下镇-华城镇控制单元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潭下河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161.33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161.33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YS4414243210004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横陂水梅州市横陂镇控制单元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横陂水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117.02</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117.02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YS4414243210005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周江水梅州市长布镇-周江镇控制单元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周江水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228.64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228.64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YS4414243210006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大都水梅州市双华镇-安流镇控制单元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大都水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172.32</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172.32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YS4414243210007</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周江水梅州市周江镇-安流镇控制单元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周江水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88.84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88.84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YS4414243210008</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平安水梅州市棉洋镇-安流镇控制单元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平安水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127.30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127.30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YS4414243210009</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白泥坑水梅州市棉洋镇-梅林镇控制单元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白泥坑水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100.18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100.18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YS4414243210010</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华阳水梅州市周江镇-华阳镇控制单元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华阳水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176.74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176.75</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YS4414243210011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琴江干流梅州市龙村镇-梅林镇-周江镇-棉洋镇-安流镇-横陂镇-河东镇控制单元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813.07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813.06</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YS4414243210012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五华河梅州市岐岭镇-华城镇-转水镇控制单元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342.44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342.44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YS4414243210013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鹤市河梅州市岐岭镇控制单元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鹤市河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51.75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51.75</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YS4414243210014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蕉州河梅州市郭田镇-双华镇-河东镇-安流镇-横陂镇控制单元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蕉州河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228.06</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228.06</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YS4414243210015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琴江干流梅州市河东镇-水寨镇控制单元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37.57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37.57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YS4414243210016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五华河梅州市转水镇-横陂镇-水寨镇控制单元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79.80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79.80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YS4414243210017</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琴江干流梅州市水寨镇-河东镇控制单元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27.23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27.23</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YS4414263210001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差干河梅州市仁居镇-差干河-上举镇控制单元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大拓水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122.89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122.90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YS4414263210002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东石水梅州市东石镇-大柘镇控制单元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差干河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364.03</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363.91</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YS4414263210003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柚树河梅州市大柘镇控制单元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东石水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151.84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151.84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YS4414263210004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柚树河梅州市东石镇-大柘镇-长田镇-热柘镇控制单元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柚树河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9.07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9.07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YS4414263210005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程江梅州市石正镇-大柘镇控制单元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柚树河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217.04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217.04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YS4414263210006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大拓水梅州市中行镇-石正镇-大柘镇控制单元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程江</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98.89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98.88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YS4414273210001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溪峰水梅州市蕉城镇-蓝坊镇-南磜镇控制单元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溪峰水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95.20</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95.20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YS4414273210002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高思水梅州市蓝坊镇控制单元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高思水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61.72</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61.72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YS4414273210003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松源水梅州市林场-南磜镇控制单元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松源水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150.64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150.62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YS4414273210004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柚树河梅州市三圳镇-新铺镇控制单元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柚树河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133.81</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133.81</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YS4414273210005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石窟河梅州市新铺镇控制单元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石窟河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86.34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86.34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YS4414273210006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石窟河梅州市长潭镇-蕉城镇控制单元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石窟河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23.98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23.98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100</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YS4414273210007</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石窟河梅州市蕉城镇-长潭镇-华侨农场-蕉岭县天主教圣山-三圳镇-新铺镇控制单元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石窟河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121.94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121.94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101</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YS4414813210001</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石马河梅州市石马镇-径南镇-合水镇-龙田镇控制单元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石马河</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148.18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148.18</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102</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YS4414813210002</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梅江干流梅州市水口镇控制单元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56.42</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56.42</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103</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YS4414813210003</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东江干流梅州市罗浮镇控制单元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东江干流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133.55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133.50</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104</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YS4414813210004</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罗浮水梅州市罗浮镇控制单元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罗浮水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124.15</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124.15</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105</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YS4414813210005</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琴江干流梅州市水口镇控制单元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琴江干流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73.09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73.09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106</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YS4414813210006</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荷泗水梅州市新圩镇-径南镇控制单元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荷泗水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158.27</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158.27</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107</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YS4414813210007</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梅江干流梅州市水口镇控制单元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73.74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73.74</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108</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YS4414813210008</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永和水梅州市永和镇-宁中镇-宁新街道控制单元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永和水</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126.89</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126.89</w:t>
            </w:r>
          </w:p>
        </w:tc>
      </w:tr>
      <w:tr>
        <w:tblPrEx>
          <w:tblCellMar>
            <w:top w:w="0" w:type="dxa"/>
            <w:left w:w="108" w:type="dxa"/>
            <w:bottom w:w="0" w:type="dxa"/>
            <w:right w:w="108" w:type="dxa"/>
          </w:tblCellMar>
        </w:tblPrEx>
        <w:trPr>
          <w:trHeight w:val="270" w:hRule="atLeast"/>
        </w:trPr>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109</w:t>
            </w:r>
          </w:p>
        </w:tc>
        <w:tc>
          <w:tcPr>
            <w:tcW w:w="19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YS4414813210009</w:t>
            </w:r>
          </w:p>
        </w:tc>
        <w:tc>
          <w:tcPr>
            <w:tcW w:w="3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宁江梅州市合水镇-大坪镇-叶塘镇-宁中镇-新陂镇-兴田街道-福兴街道控制单元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珠江流域</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宁江干流</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545.48</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545.48</w:t>
            </w:r>
          </w:p>
        </w:tc>
      </w:tr>
      <w:tr>
        <w:tblPrEx>
          <w:tblCellMar>
            <w:top w:w="0" w:type="dxa"/>
            <w:left w:w="108" w:type="dxa"/>
            <w:bottom w:w="0" w:type="dxa"/>
            <w:right w:w="108" w:type="dxa"/>
          </w:tblCellMar>
        </w:tblPrEx>
        <w:trPr>
          <w:trHeight w:val="270" w:hRule="atLeast"/>
        </w:trPr>
        <w:tc>
          <w:tcPr>
            <w:tcW w:w="1183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合计</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15869.14</w:t>
            </w:r>
          </w:p>
        </w:tc>
        <w:tc>
          <w:tcPr>
            <w:tcW w:w="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15868.51</w:t>
            </w:r>
          </w:p>
        </w:tc>
      </w:tr>
    </w:tbl>
    <w:p>
      <w:pPr>
        <w:spacing w:line="360" w:lineRule="exact"/>
        <w:sectPr>
          <w:pgSz w:w="16838" w:h="11906" w:orient="landscape"/>
          <w:pgMar w:top="1587" w:right="2098" w:bottom="1474" w:left="1984" w:header="851" w:footer="1587" w:gutter="0"/>
          <w:pgNumType w:fmt="decimal"/>
          <w:cols w:space="0" w:num="1"/>
          <w:docGrid w:type="linesAndChars" w:linePitch="589" w:charSpace="3037"/>
        </w:sectPr>
      </w:pPr>
    </w:p>
    <w:p>
      <w:pPr>
        <w:pStyle w:val="5"/>
      </w:pPr>
      <w:bookmarkStart w:id="51" w:name="_Toc6448"/>
      <w:r>
        <w:rPr>
          <w:rFonts w:hint="eastAsia"/>
        </w:rPr>
        <w:t>4</w:t>
      </w:r>
      <w:r>
        <w:t>.1</w:t>
      </w:r>
      <w:r>
        <w:rPr>
          <w:rFonts w:hint="eastAsia"/>
        </w:rPr>
        <w:t>大气</w:t>
      </w:r>
      <w:r>
        <w:t>环境质量底线更新</w:t>
      </w:r>
      <w:bookmarkEnd w:id="51"/>
    </w:p>
    <w:p>
      <w:pPr>
        <w:pStyle w:val="6"/>
      </w:pPr>
      <w:bookmarkStart w:id="52" w:name="_Toc10585"/>
      <w:bookmarkStart w:id="53" w:name="_Toc7188"/>
      <w:r>
        <w:rPr>
          <w:rFonts w:hint="eastAsia"/>
        </w:rPr>
        <w:t>4.1.1分区更新</w:t>
      </w:r>
      <w:bookmarkEnd w:id="52"/>
      <w:bookmarkEnd w:id="53"/>
    </w:p>
    <w:p>
      <w:pPr>
        <w:ind w:firstLine="668" w:firstLineChars="200"/>
      </w:pPr>
      <w:r>
        <w:rPr>
          <w:rFonts w:hint="eastAsia"/>
        </w:rPr>
        <w:t>采用最新省下发的行政边界，对大气环境控制单元的边界进行更新。大气环境优先保护区面积由1593.38km</w:t>
      </w:r>
      <w:r>
        <w:rPr>
          <w:rFonts w:hint="eastAsia"/>
          <w:vertAlign w:val="superscript"/>
        </w:rPr>
        <w:t>2</w:t>
      </w:r>
      <w:r>
        <w:rPr>
          <w:rFonts w:hint="eastAsia"/>
        </w:rPr>
        <w:t>更新为1593.34km</w:t>
      </w:r>
      <w:r>
        <w:rPr>
          <w:rFonts w:hint="eastAsia"/>
          <w:vertAlign w:val="superscript"/>
        </w:rPr>
        <w:t>2</w:t>
      </w:r>
      <w:r>
        <w:rPr>
          <w:rFonts w:hint="eastAsia"/>
        </w:rPr>
        <w:t>；大气环境高排放重点管控区、大气环境布局敏感重点管控区、大气环境受体敏感重点管控区面积保持不变分别为683.01km</w:t>
      </w:r>
      <w:r>
        <w:rPr>
          <w:rFonts w:hint="eastAsia"/>
          <w:vertAlign w:val="superscript"/>
        </w:rPr>
        <w:t>2</w:t>
      </w:r>
      <w:r>
        <w:rPr>
          <w:rFonts w:hint="eastAsia"/>
        </w:rPr>
        <w:t>、1488.15km</w:t>
      </w:r>
      <w:r>
        <w:rPr>
          <w:rFonts w:hint="eastAsia"/>
          <w:vertAlign w:val="superscript"/>
        </w:rPr>
        <w:t>2</w:t>
      </w:r>
      <w:r>
        <w:rPr>
          <w:rFonts w:hint="eastAsia"/>
        </w:rPr>
        <w:t>和305.24km</w:t>
      </w:r>
      <w:r>
        <w:rPr>
          <w:rFonts w:hint="eastAsia"/>
          <w:vertAlign w:val="superscript"/>
        </w:rPr>
        <w:t>2</w:t>
      </w:r>
      <w:r>
        <w:rPr>
          <w:rFonts w:hint="eastAsia"/>
        </w:rPr>
        <w:t>；大气环境弱扩散重点管控区面积由2263.79km</w:t>
      </w:r>
      <w:r>
        <w:rPr>
          <w:rFonts w:hint="eastAsia"/>
          <w:vertAlign w:val="superscript"/>
        </w:rPr>
        <w:t>2</w:t>
      </w:r>
      <w:r>
        <w:rPr>
          <w:rFonts w:hint="eastAsia"/>
        </w:rPr>
        <w:t>更新为2263.80km</w:t>
      </w:r>
      <w:r>
        <w:rPr>
          <w:rFonts w:hint="eastAsia"/>
          <w:vertAlign w:val="superscript"/>
        </w:rPr>
        <w:t>2</w:t>
      </w:r>
      <w:r>
        <w:rPr>
          <w:rFonts w:hint="eastAsia"/>
        </w:rPr>
        <w:t>；大气环境一般管控区面积由9535.56km</w:t>
      </w:r>
      <w:r>
        <w:rPr>
          <w:rFonts w:hint="eastAsia"/>
          <w:vertAlign w:val="superscript"/>
        </w:rPr>
        <w:t>2</w:t>
      </w:r>
      <w:r>
        <w:rPr>
          <w:rFonts w:hint="eastAsia"/>
        </w:rPr>
        <w:t>更新为9534.97km</w:t>
      </w:r>
      <w:r>
        <w:rPr>
          <w:rFonts w:hint="eastAsia"/>
          <w:vertAlign w:val="superscript"/>
        </w:rPr>
        <w:t>2</w:t>
      </w:r>
      <w:r>
        <w:rPr>
          <w:rFonts w:hint="eastAsia"/>
        </w:rPr>
        <w:t>。</w:t>
      </w:r>
    </w:p>
    <w:p>
      <w:pPr>
        <w:jc w:val="center"/>
      </w:pPr>
      <w:r>
        <w:drawing>
          <wp:inline distT="0" distB="0" distL="114300" distR="114300">
            <wp:extent cx="4352290" cy="4352290"/>
            <wp:effectExtent l="0" t="0" r="10160" b="10160"/>
            <wp:docPr id="58" name="图片 58" descr="大气单元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大气单元更新"/>
                    <pic:cNvPicPr>
                      <a:picLocks noChangeAspect="1"/>
                    </pic:cNvPicPr>
                  </pic:nvPicPr>
                  <pic:blipFill>
                    <a:blip r:embed="rId23"/>
                    <a:stretch>
                      <a:fillRect/>
                    </a:stretch>
                  </pic:blipFill>
                  <pic:spPr>
                    <a:xfrm>
                      <a:off x="0" y="0"/>
                      <a:ext cx="4352290" cy="4352290"/>
                    </a:xfrm>
                    <a:prstGeom prst="rect">
                      <a:avLst/>
                    </a:prstGeom>
                  </pic:spPr>
                </pic:pic>
              </a:graphicData>
            </a:graphic>
          </wp:inline>
        </w:drawing>
      </w:r>
    </w:p>
    <w:p>
      <w:pPr>
        <w:pStyle w:val="10"/>
        <w:jc w:val="center"/>
      </w:pPr>
      <w:r>
        <w:t>图</w:t>
      </w:r>
      <w:r>
        <w:rPr>
          <w:rFonts w:hint="eastAsia"/>
        </w:rPr>
        <w:t>4-3大气环境管控单元更新</w:t>
      </w:r>
    </w:p>
    <w:p>
      <w:pPr>
        <w:sectPr>
          <w:pgSz w:w="11906" w:h="16838"/>
          <w:pgMar w:top="2098" w:right="1474" w:bottom="1984" w:left="1587" w:header="851" w:footer="1587" w:gutter="0"/>
          <w:pgNumType w:fmt="decimal"/>
          <w:cols w:space="0" w:num="1"/>
          <w:docGrid w:type="linesAndChars" w:linePitch="589" w:charSpace="3037"/>
        </w:sectPr>
      </w:pPr>
    </w:p>
    <w:p>
      <w:pPr>
        <w:pStyle w:val="10"/>
        <w:jc w:val="center"/>
      </w:pPr>
      <w:r>
        <w:t>表</w:t>
      </w:r>
      <w:r>
        <w:rPr>
          <w:rFonts w:hint="eastAsia"/>
        </w:rPr>
        <w:t>4-3大气环境管控单元更新</w:t>
      </w:r>
    </w:p>
    <w:tbl>
      <w:tblPr>
        <w:tblStyle w:val="23"/>
        <w:tblW w:w="4998" w:type="pct"/>
        <w:tblInd w:w="0" w:type="dxa"/>
        <w:tblLayout w:type="autofit"/>
        <w:tblCellMar>
          <w:top w:w="0" w:type="dxa"/>
          <w:left w:w="108" w:type="dxa"/>
          <w:bottom w:w="0" w:type="dxa"/>
          <w:right w:w="108" w:type="dxa"/>
        </w:tblCellMar>
      </w:tblPr>
      <w:tblGrid>
        <w:gridCol w:w="703"/>
        <w:gridCol w:w="934"/>
        <w:gridCol w:w="1974"/>
        <w:gridCol w:w="3767"/>
        <w:gridCol w:w="3259"/>
        <w:gridCol w:w="1165"/>
        <w:gridCol w:w="1165"/>
      </w:tblGrid>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序号</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区县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单元编码</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单元名称</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单元类型</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更新前</w:t>
            </w:r>
          </w:p>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面积</w:t>
            </w:r>
          </w:p>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（km2）</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更新后</w:t>
            </w:r>
          </w:p>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面积</w:t>
            </w:r>
          </w:p>
          <w:p>
            <w:pPr>
              <w:widowControl/>
              <w:spacing w:line="38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（km2）</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YS4414021310001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大气环境优先保护区1</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126.15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126.15</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YS4414031310001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大气环境优先保护区2</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69.15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69.16</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YS4414031310002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大气环境优先保护区3</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45.21</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45.21</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YS4414221310001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大气环境优先保护区4</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295.70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295.65</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YS4414231310001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大气环境优先保护区5</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155.06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155.06</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YS4414241310001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大气环境优先保护区6</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418.27</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418.27</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YS4414261310001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大气环境优先保护区7</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137.32</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137.32</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YS4414271310001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大气环境优先保护区8</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141.46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141.46</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YS4414811310001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大气环境优先保护区9</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大气环境优先保护区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205.06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205.06</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YS4414022310001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23.07</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23.07</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YS4414032310001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大气环境高污染排放重点管控区2</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48.72</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48.72</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YS4414032310002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大气环境高污染排放重点管控区3</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20.17</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20.17</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YS4414032310003</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大气环境高污染排放重点管控区4</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51.89</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51.89</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YS4414222310001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大气环境高污染排放重点管控区5</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48.99</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48.99</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YS4414222310002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大气环境高污染排放重点管控区6</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33.61</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33.61</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YS4414222310003</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大气环境高污染排放重点管控区7</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76.76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76.76</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YS4414242310001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大气环境高污染排放重点管控区7</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44.68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44.68</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18</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YS4414242310002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大气环境高污染排放重点管控区8</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43.98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43.98</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19</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YS4414242310003</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大气环境高污染排放重点管控区9</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38.41</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38.41</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YS4414242310004</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大气环境高污染排放重点管控区10</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35.45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35.45</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YS4414262310001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大气环境高污染排放重点管控区11</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27.20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27.20</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22</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YS4414272310001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大气环境高污染排放重点管控区12</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48.43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48.43</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YS4414272310002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大气环境高污染排放重点管控区13</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52.62</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52.62</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24</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YS4414272310003</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大气环境高污染排放重点管控区14</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1.85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1.85</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YS4414272310004</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大气环境高污染排放重点管控区15</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5.98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5.99</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26</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YS4414812310001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大气环境高污染排放重点管控区16</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57.00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57.00</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YS4414812310002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大气环境高污染排放重点管控区17</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21.16</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21.16</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28</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YS4414812310003</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大气环境高污染排放重点管控区18</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大气环境高排放重点管控区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3.03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3.03</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29</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YS4414022340001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大气环境受体敏感重点管控区1</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59.98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59.98</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YS4414032340001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大气环境受体敏感重点管控区2</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10.33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10.33</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YS4414232340001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大气环境受体敏感重点管控区3</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130.25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130.25</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32</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YS4414272340001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大气环境受体敏感重点管控区4</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23.35</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23.35</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33</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YS4414812340001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大气环境受体敏感重点管控区5</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大气环境受体敏感重点管控区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81.33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81.33</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34</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YS4414242330001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大气环境弱扩散重点管控区3</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大气环境弱扩散重点管控区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1793.99</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1794.00</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35</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YS4414812330001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大气环境弱扩散重点管控区1</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大气环境弱扩散重点管控区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143.47</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143.47</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36</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YS4414812330002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大气环境弱扩散重点管控区2</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大气环境弱扩散重点管控区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326.33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326.33</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YS4414022320001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大气环境布局敏感重点管控区1</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254.84</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254.84</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YS4414032320001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大气环境布局敏感重点管控区2</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38.63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38.63</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YS4414032320002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大气环境布局敏感重点管控区3</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90.92</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90.92</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YS4414232320001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大气环境布局敏感重点管控区5</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792.80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792.80</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YS4414272320001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大气环境布局敏感重点管控区6</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大气环境布局敏感重点管控区</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310.97</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310.97</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42</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YS4414023310001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大气环境一般管控区1</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106.57</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106.57</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43</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大气环境一般管控区2</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935.88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935.88</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44</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YS4414033310002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大气环境一般管控区3</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1166.51</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1166.50</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45</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YS4414223310001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大气环境一般管控区4</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2007.28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2006.92</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46</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YS4414233310001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大气环境一般管控区5</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1628.69</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1628.69</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47</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大气环境一般管控区6</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107.08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107.08</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YS4414243310002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大气环境一般管控区7</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305.83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305.83</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49</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YS4414243310003</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大气环境一般管控区8</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311.83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311.83</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50</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YS4414243310004</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大气环境一般管控区9</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83.98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83.98</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51</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YS4414243310005</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大气环境一般管控区10</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55.83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55.83</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52</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YS4414263310001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大气环境一般管控区11</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1209.90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1209.86</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53</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YS4414273310001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大气环境一般管控区12</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377.27</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377.15</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54</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YS4414813310001</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大气环境一般管控区13</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1213.49</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1213.41</w:t>
            </w:r>
          </w:p>
        </w:tc>
      </w:tr>
      <w:tr>
        <w:tblPrEx>
          <w:tblCellMar>
            <w:top w:w="0" w:type="dxa"/>
            <w:left w:w="108" w:type="dxa"/>
            <w:bottom w:w="0" w:type="dxa"/>
            <w:right w:w="108" w:type="dxa"/>
          </w:tblCellMar>
        </w:tblPrEx>
        <w:trPr>
          <w:trHeight w:val="270"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55</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YS4414813310002</w:t>
            </w:r>
          </w:p>
        </w:tc>
        <w:tc>
          <w:tcPr>
            <w:tcW w:w="14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大气环境一般管控区14</w:t>
            </w:r>
          </w:p>
        </w:tc>
        <w:tc>
          <w:tcPr>
            <w:tcW w:w="1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其他区域</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25.42</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25.42</w:t>
            </w:r>
          </w:p>
        </w:tc>
      </w:tr>
      <w:tr>
        <w:tblPrEx>
          <w:tblCellMar>
            <w:top w:w="0" w:type="dxa"/>
            <w:left w:w="108" w:type="dxa"/>
            <w:bottom w:w="0" w:type="dxa"/>
            <w:right w:w="108" w:type="dxa"/>
          </w:tblCellMar>
        </w:tblPrEx>
        <w:trPr>
          <w:trHeight w:val="270" w:hRule="atLeast"/>
        </w:trPr>
        <w:tc>
          <w:tcPr>
            <w:tcW w:w="41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合计</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15869.14</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8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15868.51</w:t>
            </w:r>
          </w:p>
        </w:tc>
      </w:tr>
    </w:tbl>
    <w:p>
      <w:pPr>
        <w:spacing w:line="380" w:lineRule="exact"/>
        <w:ind w:firstLine="632"/>
        <w:rPr>
          <w:rFonts w:eastAsia="黑体"/>
        </w:rPr>
        <w:sectPr>
          <w:pgSz w:w="16838" w:h="11906" w:orient="landscape"/>
          <w:pgMar w:top="1587" w:right="2098" w:bottom="1474" w:left="1984" w:header="851" w:footer="1587" w:gutter="0"/>
          <w:pgNumType w:fmt="decimal"/>
          <w:cols w:space="0" w:num="1"/>
          <w:docGrid w:type="linesAndChars" w:linePitch="589" w:charSpace="3037"/>
        </w:sectPr>
      </w:pPr>
    </w:p>
    <w:p>
      <w:pPr>
        <w:pStyle w:val="4"/>
        <w:ind w:left="335" w:right="335"/>
      </w:pPr>
      <w:bookmarkStart w:id="54" w:name="_Toc1084"/>
      <w:r>
        <w:rPr>
          <w:rFonts w:hint="eastAsia"/>
        </w:rPr>
        <w:t>5、</w:t>
      </w:r>
      <w:r>
        <w:t>资源利用上线更新</w:t>
      </w:r>
      <w:bookmarkEnd w:id="54"/>
    </w:p>
    <w:p>
      <w:pPr>
        <w:pStyle w:val="5"/>
      </w:pPr>
      <w:bookmarkStart w:id="55" w:name="_Toc18541"/>
      <w:bookmarkStart w:id="56" w:name="_Toc8700"/>
      <w:r>
        <w:rPr>
          <w:rFonts w:hint="eastAsia"/>
        </w:rPr>
        <w:t>5.1高污染燃料禁燃区更新</w:t>
      </w:r>
      <w:bookmarkEnd w:id="55"/>
      <w:bookmarkEnd w:id="56"/>
    </w:p>
    <w:p>
      <w:pPr>
        <w:ind w:firstLine="668" w:firstLineChars="200"/>
      </w:pPr>
      <w:r>
        <w:rPr>
          <w:rFonts w:hint="eastAsia"/>
        </w:rPr>
        <w:t>更新前梅州市高污染燃料禁燃区面积为130.98km</w:t>
      </w:r>
      <w:r>
        <w:rPr>
          <w:rFonts w:hint="eastAsia"/>
          <w:vertAlign w:val="superscript"/>
        </w:rPr>
        <w:t>2</w:t>
      </w:r>
      <w:r>
        <w:rPr>
          <w:rFonts w:hint="eastAsia"/>
        </w:rPr>
        <w:t>，依据五华、平远、蕉岭、兴宁4个县区高污染燃料禁燃区的调整方案，对“三线一单”中的高污染燃料禁燃区进行更新。更新后梅州市高污染燃料禁燃区面积为171.43km</w:t>
      </w:r>
      <w:r>
        <w:rPr>
          <w:rFonts w:hint="eastAsia"/>
          <w:vertAlign w:val="superscript"/>
        </w:rPr>
        <w:t>2</w:t>
      </w:r>
      <w:r>
        <w:rPr>
          <w:rFonts w:hint="eastAsia"/>
        </w:rPr>
        <w:t>，较更新前增加了40.45km</w:t>
      </w:r>
      <w:r>
        <w:rPr>
          <w:rFonts w:hint="eastAsia"/>
          <w:vertAlign w:val="superscript"/>
        </w:rPr>
        <w:t>2</w:t>
      </w:r>
      <w:r>
        <w:rPr>
          <w:rFonts w:hint="eastAsia"/>
        </w:rPr>
        <w:t>。</w:t>
      </w:r>
    </w:p>
    <w:p>
      <w:pPr>
        <w:jc w:val="center"/>
      </w:pPr>
      <w:r>
        <w:drawing>
          <wp:inline distT="0" distB="0" distL="114300" distR="114300">
            <wp:extent cx="4535805" cy="4535805"/>
            <wp:effectExtent l="0" t="0" r="17145" b="17145"/>
            <wp:docPr id="59" name="图片 59" descr="C:\Users\lenovo\Desktop\高污染燃料禁燃区.png高污染燃料禁燃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lenovo\Desktop\高污染燃料禁燃区.png高污染燃料禁燃区"/>
                    <pic:cNvPicPr>
                      <a:picLocks noChangeAspect="1"/>
                    </pic:cNvPicPr>
                  </pic:nvPicPr>
                  <pic:blipFill>
                    <a:blip r:embed="rId24"/>
                    <a:srcRect/>
                    <a:stretch>
                      <a:fillRect/>
                    </a:stretch>
                  </pic:blipFill>
                  <pic:spPr>
                    <a:xfrm>
                      <a:off x="0" y="0"/>
                      <a:ext cx="4535805" cy="4535805"/>
                    </a:xfrm>
                    <a:prstGeom prst="rect">
                      <a:avLst/>
                    </a:prstGeom>
                  </pic:spPr>
                </pic:pic>
              </a:graphicData>
            </a:graphic>
          </wp:inline>
        </w:drawing>
      </w:r>
    </w:p>
    <w:p>
      <w:pPr>
        <w:pStyle w:val="10"/>
        <w:jc w:val="center"/>
        <w:sectPr>
          <w:pgSz w:w="11906" w:h="16838"/>
          <w:pgMar w:top="2098" w:right="1474" w:bottom="1984" w:left="1587" w:header="851" w:footer="1587" w:gutter="0"/>
          <w:pgNumType w:fmt="decimal"/>
          <w:cols w:space="0" w:num="1"/>
          <w:docGrid w:type="linesAndChars" w:linePitch="589" w:charSpace="3037"/>
        </w:sectPr>
      </w:pPr>
      <w:r>
        <w:t>图</w:t>
      </w:r>
      <w:r>
        <w:rPr>
          <w:rFonts w:hint="eastAsia"/>
        </w:rPr>
        <w:t>5-</w:t>
      </w:r>
      <w:r>
        <w:fldChar w:fldCharType="begin"/>
      </w:r>
      <w:r>
        <w:instrText xml:space="preserve"> SEQ 图 \* ARABIC </w:instrText>
      </w:r>
      <w:r>
        <w:fldChar w:fldCharType="separate"/>
      </w:r>
      <w:r>
        <w:t>1</w:t>
      </w:r>
      <w:r>
        <w:fldChar w:fldCharType="end"/>
      </w:r>
      <w:r>
        <w:rPr>
          <w:rFonts w:hint="eastAsia"/>
        </w:rPr>
        <w:t>梅州市更新后的高污染燃料禁燃区</w:t>
      </w:r>
    </w:p>
    <w:p>
      <w:pPr>
        <w:pStyle w:val="10"/>
        <w:jc w:val="center"/>
      </w:pPr>
      <w:r>
        <w:t>表</w:t>
      </w:r>
      <w:r>
        <w:rPr>
          <w:rFonts w:hint="eastAsia"/>
        </w:rPr>
        <w:t>5-1梅州市高污染燃料禁燃区更新情况</w:t>
      </w:r>
    </w:p>
    <w:tbl>
      <w:tblPr>
        <w:tblStyle w:val="23"/>
        <w:tblW w:w="5000" w:type="pct"/>
        <w:tblInd w:w="0" w:type="dxa"/>
        <w:tblLayout w:type="fixed"/>
        <w:tblCellMar>
          <w:top w:w="0" w:type="dxa"/>
          <w:left w:w="108" w:type="dxa"/>
          <w:bottom w:w="0" w:type="dxa"/>
          <w:right w:w="108" w:type="dxa"/>
        </w:tblCellMar>
      </w:tblPr>
      <w:tblGrid>
        <w:gridCol w:w="803"/>
        <w:gridCol w:w="995"/>
        <w:gridCol w:w="2003"/>
        <w:gridCol w:w="2812"/>
        <w:gridCol w:w="1139"/>
        <w:gridCol w:w="1066"/>
        <w:gridCol w:w="4154"/>
      </w:tblGrid>
      <w:tr>
        <w:tblPrEx>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序号</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区县</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管控分区分区编码</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管控分区名称</w:t>
            </w:r>
          </w:p>
        </w:tc>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更新前</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面积</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（km</w:t>
            </w:r>
            <w:r>
              <w:rPr>
                <w:rFonts w:hint="eastAsia" w:ascii="仿宋" w:hAnsi="仿宋" w:cs="仿宋"/>
                <w:b/>
                <w:bCs/>
                <w:color w:val="000000"/>
                <w:kern w:val="0"/>
                <w:sz w:val="21"/>
                <w:szCs w:val="21"/>
                <w:vertAlign w:val="superscript"/>
                <w:lang w:bidi="ar"/>
              </w:rPr>
              <w:t>2</w:t>
            </w:r>
            <w:r>
              <w:rPr>
                <w:rFonts w:hint="eastAsia" w:ascii="仿宋" w:hAnsi="仿宋" w:cs="仿宋"/>
                <w:b/>
                <w:bCs/>
                <w:color w:val="000000"/>
                <w:kern w:val="0"/>
                <w:sz w:val="21"/>
                <w:szCs w:val="21"/>
                <w:lang w:bidi="ar"/>
              </w:rPr>
              <w:t>）</w:t>
            </w:r>
          </w:p>
        </w:tc>
        <w:tc>
          <w:tcPr>
            <w:tcW w:w="4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更新后</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面积</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（km</w:t>
            </w:r>
            <w:r>
              <w:rPr>
                <w:rFonts w:hint="eastAsia" w:ascii="仿宋" w:hAnsi="仿宋" w:cs="仿宋"/>
                <w:b/>
                <w:bCs/>
                <w:color w:val="000000"/>
                <w:kern w:val="0"/>
                <w:sz w:val="21"/>
                <w:szCs w:val="21"/>
                <w:vertAlign w:val="superscript"/>
                <w:lang w:bidi="ar"/>
              </w:rPr>
              <w:t>2</w:t>
            </w:r>
            <w:r>
              <w:rPr>
                <w:rFonts w:hint="eastAsia" w:ascii="仿宋" w:hAnsi="仿宋" w:cs="仿宋"/>
                <w:b/>
                <w:bCs/>
                <w:color w:val="000000"/>
                <w:kern w:val="0"/>
                <w:sz w:val="21"/>
                <w:szCs w:val="21"/>
                <w:lang w:bidi="ar"/>
              </w:rPr>
              <w:t>）</w:t>
            </w:r>
          </w:p>
        </w:tc>
        <w:tc>
          <w:tcPr>
            <w:tcW w:w="1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依据</w:t>
            </w:r>
          </w:p>
        </w:tc>
      </w:tr>
      <w:tr>
        <w:tblPrEx>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YS4414242540001</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五华县高污染燃料禁燃区</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eastAsiaTheme="minorEastAsia"/>
                <w:kern w:val="0"/>
                <w:sz w:val="21"/>
                <w:szCs w:val="21"/>
                <w:lang w:bidi="ar"/>
              </w:rPr>
              <w:t>13.42</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eastAsiaTheme="minorEastAsia"/>
                <w:kern w:val="0"/>
                <w:sz w:val="21"/>
                <w:szCs w:val="21"/>
                <w:lang w:bidi="ar"/>
              </w:rPr>
              <w:t>2.97</w:t>
            </w:r>
          </w:p>
        </w:tc>
        <w:tc>
          <w:tcPr>
            <w:tcW w:w="1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《五华县人民政府办公室关于印发五华县划定高污染燃料禁燃区实施方案的通知》（华府办函〔2022〕96号）</w:t>
            </w:r>
          </w:p>
        </w:tc>
      </w:tr>
      <w:tr>
        <w:tblPrEx>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YS4414262540001</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平远县高污染燃料禁燃区</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eastAsiaTheme="minorEastAsia"/>
                <w:kern w:val="0"/>
                <w:sz w:val="21"/>
                <w:szCs w:val="21"/>
                <w:lang w:bidi="ar"/>
              </w:rPr>
              <w:t>11.00</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eastAsiaTheme="minorEastAsia"/>
                <w:kern w:val="0"/>
                <w:sz w:val="21"/>
                <w:szCs w:val="21"/>
                <w:lang w:bidi="ar"/>
              </w:rPr>
              <w:t>15.17</w:t>
            </w:r>
          </w:p>
        </w:tc>
        <w:tc>
          <w:tcPr>
            <w:tcW w:w="1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《平远县人民政府关于划定平远县高污染燃料禁燃区的通知》（平府公〔2022〕4号）</w:t>
            </w:r>
          </w:p>
        </w:tc>
      </w:tr>
      <w:tr>
        <w:tblPrEx>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YS4414272540001</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蕉岭县高污染燃料禁燃区</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eastAsiaTheme="minorEastAsia"/>
                <w:kern w:val="0"/>
                <w:sz w:val="21"/>
                <w:szCs w:val="21"/>
                <w:lang w:bidi="ar"/>
              </w:rPr>
              <w:t>7.27</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eastAsiaTheme="minorEastAsia"/>
                <w:kern w:val="0"/>
                <w:sz w:val="21"/>
                <w:szCs w:val="21"/>
                <w:lang w:bidi="ar"/>
              </w:rPr>
              <w:t>7.52</w:t>
            </w:r>
          </w:p>
        </w:tc>
        <w:tc>
          <w:tcPr>
            <w:tcW w:w="1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《关于印发蕉岭县划定高污染燃料禁燃区实施方案的通知》（蕉府办函〔2021〕73号）</w:t>
            </w:r>
          </w:p>
        </w:tc>
      </w:tr>
      <w:tr>
        <w:tblPrEx>
          <w:tblCellMar>
            <w:top w:w="0" w:type="dxa"/>
            <w:left w:w="108" w:type="dxa"/>
            <w:bottom w:w="0" w:type="dxa"/>
            <w:right w:w="108" w:type="dxa"/>
          </w:tblCellMar>
        </w:tblPrEx>
        <w:trPr>
          <w:trHeight w:val="27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w:t>
            </w: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YS4414812540001</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兴宁市高污染燃料禁燃区</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eastAsiaTheme="minorEastAsia"/>
                <w:kern w:val="0"/>
                <w:sz w:val="21"/>
                <w:szCs w:val="21"/>
                <w:lang w:bidi="ar"/>
              </w:rPr>
              <w:t>11.89</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eastAsiaTheme="minorEastAsia"/>
                <w:kern w:val="0"/>
                <w:sz w:val="21"/>
                <w:szCs w:val="21"/>
                <w:lang w:bidi="ar"/>
              </w:rPr>
              <w:t>58.38</w:t>
            </w:r>
          </w:p>
        </w:tc>
        <w:tc>
          <w:tcPr>
            <w:tcW w:w="16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《兴宁市人民政府办公室关于印发兴宁市划定高污染燃料禁燃区实施方案的通知》（兴市府办函〔2019〕13号）</w:t>
            </w:r>
          </w:p>
        </w:tc>
      </w:tr>
    </w:tbl>
    <w:p>
      <w:pPr>
        <w:sectPr>
          <w:pgSz w:w="16838" w:h="11906" w:orient="landscape"/>
          <w:pgMar w:top="1587" w:right="2098" w:bottom="1474" w:left="1984" w:header="851" w:footer="1587" w:gutter="0"/>
          <w:pgNumType w:fmt="decimal"/>
          <w:cols w:space="0" w:num="1"/>
          <w:docGrid w:type="linesAndChars" w:linePitch="589" w:charSpace="3037"/>
        </w:sectPr>
      </w:pPr>
    </w:p>
    <w:p>
      <w:pPr>
        <w:pStyle w:val="5"/>
      </w:pPr>
      <w:bookmarkStart w:id="57" w:name="_Toc3075"/>
      <w:r>
        <w:rPr>
          <w:rFonts w:hint="eastAsia"/>
        </w:rPr>
        <w:t>5.</w:t>
      </w:r>
      <w:r>
        <w:rPr>
          <w:rFonts w:hint="eastAsia"/>
          <w:lang w:val="en-US" w:eastAsia="zh-CN"/>
        </w:rPr>
        <w:t>2土地资源优先保护区</w:t>
      </w:r>
      <w:r>
        <w:rPr>
          <w:rFonts w:hint="eastAsia"/>
        </w:rPr>
        <w:t>更新</w:t>
      </w:r>
      <w:bookmarkEnd w:id="57"/>
    </w:p>
    <w:p>
      <w:pPr>
        <w:bidi w:val="0"/>
        <w:ind w:firstLine="668" w:firstLineChars="200"/>
        <w:rPr>
          <w:rFonts w:hint="eastAsia"/>
          <w:vertAlign w:val="baseline"/>
          <w:lang w:val="en-US" w:eastAsia="zh-CN"/>
        </w:rPr>
      </w:pPr>
      <w:r>
        <w:rPr>
          <w:rFonts w:hint="eastAsia"/>
          <w:lang w:eastAsia="zh-CN"/>
        </w:rPr>
        <w:t>按照最新的生态保护红线和永久基本农田叠加</w:t>
      </w:r>
      <w:r>
        <w:rPr>
          <w:rFonts w:hint="eastAsia"/>
        </w:rPr>
        <w:t>更新</w:t>
      </w:r>
      <w:r>
        <w:rPr>
          <w:rFonts w:hint="eastAsia"/>
          <w:lang w:val="en-US" w:eastAsia="zh-CN"/>
        </w:rPr>
        <w:t>土地资源优先保护区，更新后的土地资源优先保护区面积为4619.84km</w:t>
      </w:r>
      <w:r>
        <w:rPr>
          <w:rFonts w:hint="eastAsia"/>
          <w:vertAlign w:val="superscript"/>
          <w:lang w:val="en-US" w:eastAsia="zh-CN"/>
        </w:rPr>
        <w:t>2</w:t>
      </w:r>
      <w:r>
        <w:rPr>
          <w:rFonts w:hint="eastAsia"/>
          <w:vertAlign w:val="baseline"/>
          <w:lang w:val="en-US" w:eastAsia="zh-CN"/>
        </w:rPr>
        <w:t>，相较更新前的5829.99</w:t>
      </w:r>
      <w:r>
        <w:rPr>
          <w:rFonts w:hint="eastAsia"/>
          <w:lang w:val="en-US" w:eastAsia="zh-CN"/>
        </w:rPr>
        <w:t>km</w:t>
      </w:r>
      <w:r>
        <w:rPr>
          <w:rFonts w:hint="eastAsia"/>
          <w:vertAlign w:val="superscript"/>
          <w:lang w:val="en-US" w:eastAsia="zh-CN"/>
        </w:rPr>
        <w:t>2</w:t>
      </w:r>
      <w:r>
        <w:rPr>
          <w:rFonts w:hint="eastAsia"/>
          <w:vertAlign w:val="baseline"/>
          <w:lang w:val="en-US" w:eastAsia="zh-CN"/>
        </w:rPr>
        <w:t>下降了1210.15</w:t>
      </w:r>
      <w:r>
        <w:rPr>
          <w:rFonts w:hint="eastAsia"/>
          <w:lang w:val="en-US" w:eastAsia="zh-CN"/>
        </w:rPr>
        <w:t>km</w:t>
      </w:r>
      <w:r>
        <w:rPr>
          <w:rFonts w:hint="eastAsia"/>
          <w:vertAlign w:val="superscript"/>
          <w:lang w:val="en-US" w:eastAsia="zh-CN"/>
        </w:rPr>
        <w:t>2</w:t>
      </w:r>
      <w:r>
        <w:rPr>
          <w:rFonts w:hint="eastAsia"/>
          <w:vertAlign w:val="baseline"/>
          <w:lang w:val="en-US" w:eastAsia="zh-CN"/>
        </w:rPr>
        <w:t>。</w:t>
      </w:r>
    </w:p>
    <w:p>
      <w:pPr>
        <w:bidi w:val="0"/>
        <w:rPr>
          <w:rFonts w:hint="default"/>
          <w:vertAlign w:val="baseline"/>
          <w:lang w:val="en-US" w:eastAsia="zh-CN"/>
        </w:rPr>
      </w:pPr>
      <w:r>
        <w:rPr>
          <w:rFonts w:hint="default"/>
          <w:vertAlign w:val="baseline"/>
          <w:lang w:val="en-US" w:eastAsia="zh-CN"/>
        </w:rPr>
        <w:drawing>
          <wp:inline distT="0" distB="0" distL="114300" distR="114300">
            <wp:extent cx="5610860" cy="5610860"/>
            <wp:effectExtent l="0" t="0" r="8890" b="8890"/>
            <wp:docPr id="3" name="图片 3" descr="土地优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土地优先"/>
                    <pic:cNvPicPr>
                      <a:picLocks noChangeAspect="1"/>
                    </pic:cNvPicPr>
                  </pic:nvPicPr>
                  <pic:blipFill>
                    <a:blip r:embed="rId25"/>
                    <a:stretch>
                      <a:fillRect/>
                    </a:stretch>
                  </pic:blipFill>
                  <pic:spPr>
                    <a:xfrm>
                      <a:off x="0" y="0"/>
                      <a:ext cx="5610860" cy="5610860"/>
                    </a:xfrm>
                    <a:prstGeom prst="rect">
                      <a:avLst/>
                    </a:prstGeom>
                  </pic:spPr>
                </pic:pic>
              </a:graphicData>
            </a:graphic>
          </wp:inline>
        </w:drawing>
      </w:r>
    </w:p>
    <w:p>
      <w:pPr>
        <w:pStyle w:val="10"/>
        <w:jc w:val="center"/>
        <w:rPr>
          <w:rFonts w:hint="eastAsia"/>
          <w:lang w:val="en-US" w:eastAsia="zh-CN"/>
        </w:rPr>
      </w:pPr>
      <w:r>
        <w:rPr>
          <w:rFonts w:hint="eastAsia"/>
          <w:lang w:val="en-US" w:eastAsia="zh-CN"/>
        </w:rPr>
        <w:t xml:space="preserve">图5-2 </w:t>
      </w:r>
      <w:r>
        <w:rPr>
          <w:rFonts w:hint="eastAsia"/>
        </w:rPr>
        <w:t>梅州市更新后的</w:t>
      </w:r>
      <w:r>
        <w:rPr>
          <w:rFonts w:hint="eastAsia"/>
          <w:lang w:eastAsia="zh-CN"/>
        </w:rPr>
        <w:t>土地资源优先保护区</w:t>
      </w:r>
    </w:p>
    <w:p>
      <w:pPr>
        <w:pStyle w:val="4"/>
        <w:ind w:left="335" w:right="335"/>
      </w:pPr>
      <w:bookmarkStart w:id="58" w:name="_Toc29261"/>
      <w:r>
        <w:rPr>
          <w:rFonts w:hint="eastAsia"/>
        </w:rPr>
        <w:t>6、</w:t>
      </w:r>
      <w:r>
        <w:t>生态环境管控单元更新</w:t>
      </w:r>
      <w:bookmarkEnd w:id="58"/>
    </w:p>
    <w:p>
      <w:pPr>
        <w:ind w:firstLine="668" w:firstLineChars="200"/>
        <w:rPr>
          <w:rFonts w:hint="eastAsia"/>
        </w:rPr>
      </w:pPr>
      <w:r>
        <w:rPr>
          <w:rFonts w:hint="eastAsia"/>
        </w:rPr>
        <w:t>环境管控单元分为优先保护、重点管控和一般管控单元三类。</w:t>
      </w:r>
      <w:r>
        <w:rPr>
          <w:rFonts w:hint="eastAsia"/>
          <w:lang w:eastAsia="zh-CN"/>
        </w:rPr>
        <w:t>梅州</w:t>
      </w:r>
      <w:r>
        <w:rPr>
          <w:rFonts w:hint="eastAsia"/>
        </w:rPr>
        <w:t>市共划定61个环境管控单元，其中优先保护单元25个，面积为7113.21平方公里，占全市面积的44.82%；重点管控单元28个，面积为647.04平方公里，占全市面积的4.08%；一般管控单元8个，面积为8108.89平方公里，占全市面积的51.10%。</w:t>
      </w:r>
    </w:p>
    <w:p>
      <w:pPr>
        <w:ind w:firstLine="668" w:firstLineChars="200"/>
      </w:pPr>
      <w:r>
        <w:rPr>
          <w:rFonts w:hint="eastAsia"/>
        </w:rPr>
        <w:t>采用最新省下发的行政边界，对环境管控单元的边界进行更新。优先保护单元面积由7113.21km</w:t>
      </w:r>
      <w:r>
        <w:rPr>
          <w:rFonts w:hint="eastAsia"/>
          <w:vertAlign w:val="superscript"/>
        </w:rPr>
        <w:t>2</w:t>
      </w:r>
      <w:r>
        <w:rPr>
          <w:rFonts w:hint="eastAsia"/>
        </w:rPr>
        <w:t>更新为7112.62km</w:t>
      </w:r>
      <w:r>
        <w:rPr>
          <w:rFonts w:hint="eastAsia"/>
          <w:vertAlign w:val="superscript"/>
        </w:rPr>
        <w:t>2</w:t>
      </w:r>
      <w:r>
        <w:rPr>
          <w:rFonts w:hint="eastAsia"/>
        </w:rPr>
        <w:t>；重点管控单元面积保持不变，为647.05km</w:t>
      </w:r>
      <w:r>
        <w:rPr>
          <w:rFonts w:hint="eastAsia"/>
          <w:vertAlign w:val="superscript"/>
        </w:rPr>
        <w:t>2</w:t>
      </w:r>
      <w:r>
        <w:rPr>
          <w:rFonts w:hint="eastAsia"/>
        </w:rPr>
        <w:t>；一般管控单元面积由8108.88km</w:t>
      </w:r>
      <w:r>
        <w:rPr>
          <w:rFonts w:hint="eastAsia"/>
          <w:vertAlign w:val="superscript"/>
        </w:rPr>
        <w:t>2</w:t>
      </w:r>
      <w:r>
        <w:rPr>
          <w:rFonts w:hint="eastAsia"/>
        </w:rPr>
        <w:t>更新为8108.85km</w:t>
      </w:r>
      <w:r>
        <w:rPr>
          <w:rFonts w:hint="eastAsia"/>
          <w:vertAlign w:val="superscript"/>
        </w:rPr>
        <w:t>2</w:t>
      </w:r>
      <w:r>
        <w:rPr>
          <w:rFonts w:hint="eastAsia"/>
        </w:rPr>
        <w:t>。</w:t>
      </w:r>
    </w:p>
    <w:p>
      <w:pPr>
        <w:jc w:val="center"/>
      </w:pPr>
      <w:r>
        <w:drawing>
          <wp:inline distT="0" distB="0" distL="114300" distR="114300">
            <wp:extent cx="4535805" cy="4535805"/>
            <wp:effectExtent l="0" t="0" r="17145" b="17145"/>
            <wp:docPr id="60" name="图片 60" descr="综合单元更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综合单元更新"/>
                    <pic:cNvPicPr>
                      <a:picLocks noChangeAspect="1"/>
                    </pic:cNvPicPr>
                  </pic:nvPicPr>
                  <pic:blipFill>
                    <a:blip r:embed="rId26"/>
                    <a:stretch>
                      <a:fillRect/>
                    </a:stretch>
                  </pic:blipFill>
                  <pic:spPr>
                    <a:xfrm>
                      <a:off x="0" y="0"/>
                      <a:ext cx="4535805" cy="4535805"/>
                    </a:xfrm>
                    <a:prstGeom prst="rect">
                      <a:avLst/>
                    </a:prstGeom>
                  </pic:spPr>
                </pic:pic>
              </a:graphicData>
            </a:graphic>
          </wp:inline>
        </w:drawing>
      </w:r>
    </w:p>
    <w:p>
      <w:pPr>
        <w:pStyle w:val="10"/>
        <w:jc w:val="center"/>
        <w:sectPr>
          <w:pgSz w:w="11906" w:h="16838"/>
          <w:pgMar w:top="2098" w:right="1474" w:bottom="1984" w:left="1587" w:header="851" w:footer="1587" w:gutter="0"/>
          <w:pgNumType w:fmt="decimal"/>
          <w:cols w:space="0" w:num="1"/>
          <w:docGrid w:type="linesAndChars" w:linePitch="589" w:charSpace="3037"/>
        </w:sectPr>
      </w:pPr>
      <w:r>
        <w:t>图</w:t>
      </w:r>
      <w:r>
        <w:rPr>
          <w:rFonts w:hint="eastAsia"/>
        </w:rPr>
        <w:t>6-1梅州市</w:t>
      </w:r>
      <w:r>
        <w:t>生态环境管控单元更新</w:t>
      </w:r>
      <w:r>
        <w:rPr>
          <w:rFonts w:hint="eastAsia"/>
        </w:rPr>
        <w:t>情况</w:t>
      </w:r>
    </w:p>
    <w:p>
      <w:pPr>
        <w:pStyle w:val="10"/>
        <w:jc w:val="center"/>
      </w:pPr>
      <w:r>
        <w:t>表</w:t>
      </w:r>
      <w:r>
        <w:rPr>
          <w:rFonts w:hint="eastAsia"/>
        </w:rPr>
        <w:t>6-1梅州市</w:t>
      </w:r>
      <w:r>
        <w:t>生态环境管控单元更新</w:t>
      </w:r>
      <w:r>
        <w:rPr>
          <w:rFonts w:hint="eastAsia"/>
        </w:rPr>
        <w:t>情况</w:t>
      </w:r>
    </w:p>
    <w:p>
      <w:pPr>
        <w:spacing w:line="400" w:lineRule="exact"/>
      </w:pPr>
    </w:p>
    <w:tbl>
      <w:tblPr>
        <w:tblStyle w:val="23"/>
        <w:tblW w:w="1287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033"/>
        <w:gridCol w:w="1917"/>
        <w:gridCol w:w="4916"/>
        <w:gridCol w:w="1934"/>
        <w:gridCol w:w="1276"/>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序号</w:t>
            </w:r>
          </w:p>
        </w:tc>
        <w:tc>
          <w:tcPr>
            <w:tcW w:w="1033" w:type="dxa"/>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区县</w:t>
            </w:r>
          </w:p>
        </w:tc>
        <w:tc>
          <w:tcPr>
            <w:tcW w:w="1917" w:type="dxa"/>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环境管控</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单元编码</w:t>
            </w:r>
          </w:p>
        </w:tc>
        <w:tc>
          <w:tcPr>
            <w:tcW w:w="4916" w:type="dxa"/>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环境管控</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单元名称</w:t>
            </w:r>
          </w:p>
        </w:tc>
        <w:tc>
          <w:tcPr>
            <w:tcW w:w="1934" w:type="dxa"/>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类型</w:t>
            </w:r>
          </w:p>
        </w:tc>
        <w:tc>
          <w:tcPr>
            <w:tcW w:w="1276" w:type="dxa"/>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更新前</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面积</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（km</w:t>
            </w:r>
            <w:r>
              <w:rPr>
                <w:rFonts w:hint="eastAsia" w:ascii="仿宋" w:hAnsi="仿宋" w:cs="仿宋"/>
                <w:b/>
                <w:bCs/>
                <w:color w:val="000000"/>
                <w:kern w:val="0"/>
                <w:sz w:val="21"/>
                <w:szCs w:val="21"/>
                <w:vertAlign w:val="superscript"/>
                <w:lang w:bidi="ar"/>
              </w:rPr>
              <w:t>2</w:t>
            </w:r>
            <w:r>
              <w:rPr>
                <w:rFonts w:hint="eastAsia" w:ascii="仿宋" w:hAnsi="仿宋" w:cs="仿宋"/>
                <w:b/>
                <w:bCs/>
                <w:color w:val="000000"/>
                <w:kern w:val="0"/>
                <w:sz w:val="21"/>
                <w:szCs w:val="21"/>
                <w:lang w:bidi="ar"/>
              </w:rPr>
              <w:t>）</w:t>
            </w:r>
          </w:p>
        </w:tc>
        <w:tc>
          <w:tcPr>
            <w:tcW w:w="1277" w:type="dxa"/>
            <w:shd w:val="clear" w:color="auto" w:fill="auto"/>
            <w:noWrap/>
            <w:vAlign w:val="center"/>
          </w:tcPr>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更新后</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面积</w:t>
            </w:r>
          </w:p>
          <w:p>
            <w:pPr>
              <w:widowControl/>
              <w:spacing w:line="400" w:lineRule="exact"/>
              <w:jc w:val="center"/>
              <w:textAlignment w:val="center"/>
              <w:rPr>
                <w:rFonts w:ascii="仿宋" w:hAnsi="仿宋" w:cs="仿宋"/>
                <w:b/>
                <w:bCs/>
                <w:color w:val="000000"/>
                <w:kern w:val="0"/>
                <w:sz w:val="21"/>
                <w:szCs w:val="21"/>
                <w:lang w:bidi="ar"/>
              </w:rPr>
            </w:pPr>
            <w:r>
              <w:rPr>
                <w:rFonts w:hint="eastAsia" w:ascii="仿宋" w:hAnsi="仿宋" w:cs="仿宋"/>
                <w:b/>
                <w:bCs/>
                <w:color w:val="000000"/>
                <w:kern w:val="0"/>
                <w:sz w:val="21"/>
                <w:szCs w:val="21"/>
                <w:lang w:bidi="ar"/>
              </w:rPr>
              <w:t>（km</w:t>
            </w:r>
            <w:r>
              <w:rPr>
                <w:rFonts w:hint="eastAsia" w:ascii="仿宋" w:hAnsi="仿宋" w:cs="仿宋"/>
                <w:b/>
                <w:bCs/>
                <w:color w:val="000000"/>
                <w:kern w:val="0"/>
                <w:sz w:val="21"/>
                <w:szCs w:val="21"/>
                <w:vertAlign w:val="superscript"/>
                <w:lang w:bidi="ar"/>
              </w:rPr>
              <w:t>2</w:t>
            </w:r>
            <w:r>
              <w:rPr>
                <w:rFonts w:hint="eastAsia" w:ascii="仿宋" w:hAnsi="仿宋" w:cs="仿宋"/>
                <w:b/>
                <w:bCs/>
                <w:color w:val="000000"/>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ZH44140210001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梅江区莲花山山脉-清凉山水库优先保护单元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151.55</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ZH44140210002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梅江区金山街道优先保护单元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17.91</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ZH44140210003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梅江区三角镇韩江优先保护单元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1.95</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ZH44140310001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梅县区阴那山-王寿山优先保护单元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398.58</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ZH44140310002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梅县区九龙嶂-黄礤嶂-北山嶂优先保护单元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152.79</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ZH44140310003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梅县区石扇镇-城东镇-白渡镇优先保护单元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38.70</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ZH44140310004</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梅县区白渡镇-丙村镇优先保护单元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51.49</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ZH44140310005</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梅县区大坪镇-南口镇优先保护单元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13.46</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ZH44142210001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1516.28</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1515.94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ZH44142310001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丰顺县莲花山脉铜鼓嶂优先保护单元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378.77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11</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ZH44142310002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丰顺县莲花山脉释迦山优先保护单元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264.48</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264.48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12</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ZH44142310003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丰顺县莲花山脉风芒嶂优先保护单元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285.24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285.24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ZH44142310004</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丰顺县凤凰山脉鸡公髻优先保护单元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252.26</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ZH44142310005</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丰顺县八乡山镇优先保护单元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32.19</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ZH44142310006</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丰顺县留隍镇韩江优先保护单元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9.57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ZH44142410001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五华县西南优先保护单元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919.94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919.94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ZH44142410002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五华县东南优先保护单元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389.13</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18</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ZH44142610001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平远县武夷山脉-石窟河优先保护单元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648.55</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648.62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19</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ZH44142610002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平远县差干镇优先保护单元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56.83</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ZH44142710001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643.06</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642.94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ZH44148110001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兴宁市宁江-合水水库优先保护单元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782.77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22</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ZH44148110002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兴宁市水口镇优先保护单元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44.46</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23</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ZH44148110003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兴宁市和山岩水库优先保护单元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32.05</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24</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ZH44148110004</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兴宁市径南镇-永和镇优先保护单元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21.79</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ZH44148110005</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兴宁市福兴街道优先保护单元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优先保护单元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9.41</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26</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ZH44140220001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梅江区韩江重点管控单元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39.39</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27</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ZH44140220002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广东梅州经济开发区重点管控单元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7.06</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28</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ZH44140220003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梅江区新兴产业园重点管控单元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8.57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29</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ZH44140320001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梅县区韩江重点管控单元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7.56</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30</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ZH44140320002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梅县区畲江镇-水车镇重点管控单元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14.46</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ZH44140320003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广东梅州高新技术产业园区（梅县区）重点管控单元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26.04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32</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ZH44140320004</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梅县区城东镇重点管控单元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15.77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33</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ZH44140320005</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梅县区白渡镇重点管控单元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7.70</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34</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ZH44140320006</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梅县区产业集聚地重点管控单元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59.19</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35</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ZH44142220001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大埔县三河镇重点管控单元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8.07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36</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ZH44142220002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大埔县高陂镇重点管控单元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17.44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37</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ZH44142220003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广东大埔县产业转移工业园区重点管控单元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3.34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38</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ZH44142320001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丰顺县汤坑镇-汤西镇-汤南镇-埔寨镇重点管控单元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77.97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39</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ZH44142320002</w:t>
            </w:r>
          </w:p>
        </w:tc>
        <w:tc>
          <w:tcPr>
            <w:tcW w:w="4916" w:type="dxa"/>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21"/>
                <w:szCs w:val="21"/>
                <w:lang w:eastAsia="zh-CN" w:bidi="ar"/>
              </w:rPr>
            </w:pPr>
            <w:r>
              <w:rPr>
                <w:rFonts w:hint="eastAsia" w:ascii="仿宋" w:hAnsi="仿宋" w:cs="仿宋"/>
                <w:color w:val="000000"/>
                <w:kern w:val="0"/>
                <w:sz w:val="21"/>
                <w:szCs w:val="21"/>
                <w:lang w:bidi="ar"/>
              </w:rPr>
              <w:t>丰顺县经济开发区（扩区）重点管控单元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7.51</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40</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ZH44142320003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丰顺县经济开发区（旧区）重点管控单元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5.02</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41</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ZH44142320004</w:t>
            </w:r>
          </w:p>
        </w:tc>
        <w:tc>
          <w:tcPr>
            <w:tcW w:w="4916" w:type="dxa"/>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21"/>
                <w:szCs w:val="21"/>
                <w:lang w:val="en-US" w:eastAsia="zh-CN" w:bidi="ar"/>
              </w:rPr>
            </w:pPr>
            <w:r>
              <w:rPr>
                <w:rFonts w:hint="eastAsia" w:ascii="仿宋" w:hAnsi="仿宋" w:cs="仿宋"/>
                <w:color w:val="000000"/>
                <w:kern w:val="0"/>
                <w:sz w:val="21"/>
                <w:szCs w:val="21"/>
                <w:lang w:bidi="ar"/>
              </w:rPr>
              <w:t>丰顺县电子电声配套产业园重点管控单元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0.35</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42</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ZH44142420001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五华县中部重点管控单元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41.86</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43</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ZH44142420002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五华县华城镇重点管控单元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6.07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44</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ZH44142420003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五华县安流镇重点管控单元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31.69</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45</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ZH44142420004</w:t>
            </w:r>
          </w:p>
        </w:tc>
        <w:tc>
          <w:tcPr>
            <w:tcW w:w="4916" w:type="dxa"/>
            <w:shd w:val="clear" w:color="auto" w:fill="auto"/>
            <w:noWrap/>
            <w:vAlign w:val="center"/>
          </w:tcPr>
          <w:p>
            <w:pPr>
              <w:widowControl/>
              <w:spacing w:line="400" w:lineRule="exact"/>
              <w:jc w:val="center"/>
              <w:textAlignment w:val="center"/>
              <w:rPr>
                <w:rFonts w:hint="eastAsia" w:ascii="仿宋" w:hAnsi="仿宋" w:eastAsia="仿宋" w:cs="仿宋"/>
                <w:color w:val="000000"/>
                <w:kern w:val="0"/>
                <w:sz w:val="21"/>
                <w:szCs w:val="21"/>
                <w:lang w:val="en-US" w:eastAsia="zh-CN" w:bidi="ar"/>
              </w:rPr>
            </w:pPr>
            <w:r>
              <w:rPr>
                <w:rFonts w:hint="eastAsia" w:ascii="仿宋" w:hAnsi="仿宋" w:cs="仿宋"/>
                <w:kern w:val="0"/>
                <w:sz w:val="21"/>
                <w:szCs w:val="21"/>
                <w:lang w:bidi="ar"/>
              </w:rPr>
              <w:t>五华县广州番禺（五华）产业转移工业园重点管控</w:t>
            </w:r>
            <w:r>
              <w:rPr>
                <w:rFonts w:hint="eastAsia" w:ascii="仿宋" w:hAnsi="仿宋" w:cs="仿宋"/>
                <w:kern w:val="0"/>
                <w:sz w:val="21"/>
                <w:szCs w:val="21"/>
                <w:lang w:val="en-US" w:eastAsia="zh-CN" w:bidi="ar"/>
              </w:rPr>
              <w:t>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13.01</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46</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ZH44142620001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广东平远县产业转移工业园区重点管控单元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20.48</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47</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ZH44142620002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平远县大柘镇重点管控单元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13.79</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48</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ZH44142720001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蕉岭县蕉城镇-三圳镇-新铺镇重点管控单元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29.15</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49</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ZH44142720002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广东梅州蕉华工业园区重点控制单元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25.94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50</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ZH44142720003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蕉岭县产业集聚地重点管控单元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5.22</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51</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ZH44148120001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兴宁市宁江重点管控单元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95.95</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52</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ZH44148120002</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广东梅州高新技术产业园区（兴宁市）重点管控单元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50.74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53</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ZH44148120003</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兴宁市东莞石碣（兴宁）产业转移工业园重点管控单元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重点管控单元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7.70</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54</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ZH44140230001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梅江区一般管控单元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一般管控单元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344.16</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344.16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55</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ZH44140330001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梅县区一般管控单元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一般管控单元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1691.67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1691.69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56</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ZH44142230001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大埔县一般管控单元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一般管控单元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917.21</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917.14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57</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ZH44142330001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丰顺县一般管控单元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一般管控单元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1393.44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1393.44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58</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ZH44142430001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五华县一般管控单元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一般管控单元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1837.62</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1837.62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59</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ZH44142630001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平远县一般管控单元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一般管控单元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634.77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634.77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60</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ZH44142730001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蕉岭县一般管控单元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一般管控单元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258.57</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258.57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61</w:t>
            </w:r>
          </w:p>
        </w:tc>
        <w:tc>
          <w:tcPr>
            <w:tcW w:w="1033"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w:t>
            </w:r>
          </w:p>
        </w:tc>
        <w:tc>
          <w:tcPr>
            <w:tcW w:w="191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ZH44148130001</w:t>
            </w:r>
          </w:p>
        </w:tc>
        <w:tc>
          <w:tcPr>
            <w:tcW w:w="491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兴宁市一般管控单元</w:t>
            </w:r>
          </w:p>
        </w:tc>
        <w:tc>
          <w:tcPr>
            <w:tcW w:w="1934"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一般管控单元</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1031.44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1031.44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326" w:type="dxa"/>
            <w:gridSpan w:val="5"/>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合计</w:t>
            </w:r>
          </w:p>
        </w:tc>
        <w:tc>
          <w:tcPr>
            <w:tcW w:w="1276"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15869.14</w:t>
            </w:r>
          </w:p>
        </w:tc>
        <w:tc>
          <w:tcPr>
            <w:tcW w:w="1277" w:type="dxa"/>
            <w:shd w:val="clear" w:color="auto" w:fill="auto"/>
            <w:noWrap/>
            <w:vAlign w:val="center"/>
          </w:tcPr>
          <w:p>
            <w:pPr>
              <w:widowControl/>
              <w:spacing w:line="400" w:lineRule="exact"/>
              <w:jc w:val="center"/>
              <w:textAlignment w:val="center"/>
              <w:rPr>
                <w:rFonts w:ascii="仿宋" w:hAnsi="仿宋" w:cs="仿宋"/>
                <w:color w:val="000000"/>
                <w:kern w:val="0"/>
                <w:sz w:val="21"/>
                <w:szCs w:val="21"/>
                <w:lang w:bidi="ar"/>
              </w:rPr>
            </w:pPr>
            <w:r>
              <w:rPr>
                <w:rFonts w:hint="eastAsia" w:ascii="仿宋" w:hAnsi="仿宋" w:cs="仿宋"/>
                <w:color w:val="000000"/>
                <w:kern w:val="0"/>
                <w:sz w:val="21"/>
                <w:szCs w:val="21"/>
                <w:lang w:bidi="ar"/>
              </w:rPr>
              <w:t>15868.51</w:t>
            </w:r>
          </w:p>
        </w:tc>
      </w:tr>
    </w:tbl>
    <w:p>
      <w:pPr>
        <w:spacing w:line="400" w:lineRule="exact"/>
      </w:pPr>
      <w:r>
        <w:br w:type="page"/>
      </w:r>
    </w:p>
    <w:p>
      <w:pPr>
        <w:pStyle w:val="4"/>
        <w:numPr>
          <w:ilvl w:val="0"/>
          <w:numId w:val="1"/>
        </w:numPr>
        <w:ind w:left="335" w:right="335"/>
      </w:pPr>
      <w:bookmarkStart w:id="59" w:name="_Toc18371"/>
      <w:r>
        <w:t>生态环境准入清单更新</w:t>
      </w:r>
      <w:bookmarkEnd w:id="59"/>
    </w:p>
    <w:p>
      <w:pPr>
        <w:pStyle w:val="12"/>
        <w:ind w:firstLine="668" w:firstLineChars="200"/>
        <w:rPr>
          <w:rFonts w:hint="default" w:ascii="Times New Roman" w:hAnsi="Times New Roman" w:eastAsia="仿宋" w:cs="Times New Roman"/>
          <w:kern w:val="2"/>
          <w:sz w:val="32"/>
          <w:szCs w:val="24"/>
          <w:lang w:val="en-US" w:eastAsia="zh-CN" w:bidi="ar-SA"/>
        </w:rPr>
        <w:sectPr>
          <w:pgSz w:w="16838" w:h="11906" w:orient="landscape"/>
          <w:pgMar w:top="1587" w:right="2098" w:bottom="1474" w:left="1984" w:header="851" w:footer="1587" w:gutter="0"/>
          <w:pgNumType w:fmt="decimal"/>
          <w:cols w:space="0" w:num="1"/>
          <w:docGrid w:type="linesAndChars" w:linePitch="589" w:charSpace="3037"/>
        </w:sectPr>
      </w:pPr>
      <w:bookmarkStart w:id="60" w:name="_Toc4301"/>
      <w:bookmarkStart w:id="61" w:name="_Toc29991"/>
      <w:r>
        <w:rPr>
          <w:rFonts w:hint="eastAsia" w:ascii="Times New Roman" w:hAnsi="Times New Roman" w:eastAsia="仿宋" w:cs="Times New Roman"/>
          <w:kern w:val="2"/>
          <w:sz w:val="32"/>
          <w:szCs w:val="24"/>
          <w:lang w:val="en-US" w:eastAsia="zh-CN" w:bidi="ar-SA"/>
        </w:rPr>
        <w:t>见附表</w:t>
      </w:r>
    </w:p>
    <w:p>
      <w:pPr>
        <w:pStyle w:val="4"/>
        <w:bidi w:val="0"/>
        <w:rPr>
          <w:rFonts w:hint="default"/>
          <w:lang w:val="en-US" w:eastAsia="zh-CN"/>
        </w:rPr>
      </w:pPr>
      <w:bookmarkStart w:id="62" w:name="_Toc3603"/>
      <w:r>
        <w:rPr>
          <w:rFonts w:hint="eastAsia"/>
          <w:lang w:val="en-US" w:eastAsia="zh-CN"/>
        </w:rPr>
        <w:t>附件1</w:t>
      </w:r>
      <w:r>
        <w:rPr>
          <w:rFonts w:hint="default"/>
          <w:lang w:val="en-US" w:eastAsia="zh-CN"/>
        </w:rPr>
        <w:t xml:space="preserve"> 动态更新情况表</w:t>
      </w:r>
      <w:bookmarkEnd w:id="60"/>
      <w:bookmarkEnd w:id="62"/>
    </w:p>
    <w:bookmarkEnd w:id="61"/>
    <w:p>
      <w:pPr>
        <w:pStyle w:val="5"/>
        <w:bidi w:val="0"/>
        <w:rPr>
          <w:rFonts w:hint="default"/>
        </w:rPr>
      </w:pPr>
      <w:bookmarkStart w:id="63" w:name="_Toc31049"/>
      <w:bookmarkStart w:id="64" w:name="_Toc25469"/>
      <w:bookmarkStart w:id="65" w:name="_Toc2042"/>
      <w:r>
        <w:rPr>
          <w:rFonts w:hint="default"/>
        </w:rPr>
        <w:t>表1 2025年主要目标更新调整情况</w:t>
      </w:r>
      <w:bookmarkEnd w:id="63"/>
      <w:bookmarkEnd w:id="64"/>
      <w:bookmarkEnd w:id="65"/>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406"/>
        <w:gridCol w:w="2983"/>
        <w:gridCol w:w="2983"/>
        <w:gridCol w:w="2983"/>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35"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00" w:lineRule="exact"/>
              <w:jc w:val="center"/>
              <w:rPr>
                <w:rFonts w:hint="eastAsia" w:ascii="仿宋" w:hAnsi="仿宋" w:eastAsia="仿宋" w:cs="仿宋"/>
                <w:b/>
                <w:sz w:val="24"/>
              </w:rPr>
            </w:pPr>
            <w:r>
              <w:rPr>
                <w:rFonts w:hint="eastAsia" w:ascii="仿宋" w:hAnsi="仿宋" w:eastAsia="仿宋" w:cs="仿宋"/>
                <w:b/>
                <w:sz w:val="24"/>
              </w:rPr>
              <w:t>序号</w:t>
            </w:r>
          </w:p>
        </w:tc>
        <w:tc>
          <w:tcPr>
            <w:tcW w:w="1406"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00" w:lineRule="exact"/>
              <w:jc w:val="center"/>
              <w:rPr>
                <w:rFonts w:hint="eastAsia" w:ascii="仿宋" w:hAnsi="仿宋" w:eastAsia="仿宋" w:cs="仿宋"/>
                <w:b/>
                <w:sz w:val="24"/>
              </w:rPr>
            </w:pPr>
            <w:r>
              <w:rPr>
                <w:rFonts w:hint="eastAsia" w:ascii="仿宋" w:hAnsi="仿宋" w:eastAsia="仿宋" w:cs="仿宋"/>
                <w:b/>
                <w:sz w:val="24"/>
              </w:rPr>
              <w:t>类别</w:t>
            </w:r>
          </w:p>
        </w:tc>
        <w:tc>
          <w:tcPr>
            <w:tcW w:w="298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00" w:lineRule="exact"/>
              <w:jc w:val="center"/>
              <w:rPr>
                <w:rFonts w:hint="eastAsia" w:ascii="仿宋" w:hAnsi="仿宋" w:eastAsia="仿宋" w:cs="仿宋"/>
                <w:b/>
                <w:sz w:val="24"/>
              </w:rPr>
            </w:pPr>
            <w:r>
              <w:rPr>
                <w:rFonts w:hint="eastAsia" w:ascii="仿宋" w:hAnsi="仿宋" w:eastAsia="仿宋" w:cs="仿宋"/>
                <w:b/>
                <w:sz w:val="24"/>
              </w:rPr>
              <w:t>更新前</w:t>
            </w:r>
          </w:p>
        </w:tc>
        <w:tc>
          <w:tcPr>
            <w:tcW w:w="298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00" w:lineRule="exact"/>
              <w:jc w:val="center"/>
              <w:rPr>
                <w:rFonts w:hint="eastAsia" w:ascii="仿宋" w:hAnsi="仿宋" w:eastAsia="仿宋" w:cs="仿宋"/>
                <w:b/>
                <w:sz w:val="24"/>
              </w:rPr>
            </w:pPr>
            <w:r>
              <w:rPr>
                <w:rFonts w:hint="eastAsia" w:ascii="仿宋" w:hAnsi="仿宋" w:eastAsia="仿宋" w:cs="仿宋"/>
                <w:b/>
                <w:sz w:val="24"/>
              </w:rPr>
              <w:t>更新后</w:t>
            </w:r>
          </w:p>
        </w:tc>
        <w:tc>
          <w:tcPr>
            <w:tcW w:w="2983"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00" w:lineRule="exact"/>
              <w:jc w:val="center"/>
              <w:rPr>
                <w:rFonts w:hint="eastAsia" w:ascii="仿宋" w:hAnsi="仿宋" w:eastAsia="仿宋" w:cs="仿宋"/>
                <w:b/>
                <w:sz w:val="24"/>
              </w:rPr>
            </w:pPr>
            <w:r>
              <w:rPr>
                <w:rFonts w:hint="eastAsia" w:ascii="仿宋" w:hAnsi="仿宋" w:eastAsia="仿宋" w:cs="仿宋"/>
                <w:b/>
                <w:sz w:val="24"/>
              </w:rPr>
              <w:t>依据</w:t>
            </w:r>
          </w:p>
        </w:tc>
        <w:tc>
          <w:tcPr>
            <w:tcW w:w="2984" w:type="dxa"/>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00" w:lineRule="exact"/>
              <w:jc w:val="center"/>
              <w:rPr>
                <w:rFonts w:hint="eastAsia" w:ascii="仿宋" w:hAnsi="仿宋" w:eastAsia="仿宋" w:cs="仿宋"/>
                <w:b/>
                <w:sz w:val="24"/>
                <w:lang w:eastAsia="zh-CN"/>
              </w:rPr>
            </w:pPr>
            <w:r>
              <w:rPr>
                <w:rFonts w:hint="eastAsia" w:ascii="仿宋" w:hAnsi="仿宋" w:eastAsia="仿宋" w:cs="仿宋"/>
                <w:b/>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1</w:t>
            </w:r>
          </w:p>
        </w:tc>
        <w:tc>
          <w:tcPr>
            <w:tcW w:w="140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生态保护红线</w:t>
            </w:r>
          </w:p>
        </w:tc>
        <w:tc>
          <w:tcPr>
            <w:tcW w:w="298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全市生态保护红线面积4305.28平方公里，占全市国土面积的27.13％。</w:t>
            </w:r>
          </w:p>
        </w:tc>
        <w:tc>
          <w:tcPr>
            <w:tcW w:w="298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rPr>
              <w:t>全市生态保护红线面积3926.90平方公里，占全市国土面积的24.75％。</w:t>
            </w:r>
          </w:p>
        </w:tc>
        <w:tc>
          <w:tcPr>
            <w:tcW w:w="298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rPr>
            </w:pPr>
            <w:r>
              <w:rPr>
                <w:rFonts w:hint="eastAsia" w:ascii="仿宋" w:hAnsi="仿宋" w:eastAsia="仿宋" w:cs="仿宋"/>
                <w:sz w:val="24"/>
                <w:lang w:val="en-US" w:eastAsia="zh-CN"/>
              </w:rPr>
              <w:t>《梅州市国土空间总体规划》</w:t>
            </w:r>
          </w:p>
        </w:tc>
        <w:tc>
          <w:tcPr>
            <w:tcW w:w="298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lang w:val="en-US" w:eastAsia="zh-CN"/>
              </w:rPr>
            </w:pPr>
          </w:p>
        </w:tc>
      </w:tr>
    </w:tbl>
    <w:p>
      <w:pPr>
        <w:adjustRightInd w:val="0"/>
        <w:snapToGrid w:val="0"/>
        <w:spacing w:beforeLines="0" w:afterLines="0" w:line="560" w:lineRule="exact"/>
        <w:jc w:val="center"/>
        <w:outlineLvl w:val="1"/>
        <w:rPr>
          <w:rFonts w:hint="default" w:ascii="Times New Roman" w:hAnsi="Times New Roman" w:eastAsia="黑体" w:cs="Times New Roman"/>
          <w:color w:val="000000"/>
          <w:sz w:val="28"/>
          <w:szCs w:val="28"/>
        </w:rPr>
        <w:sectPr>
          <w:pgSz w:w="16838" w:h="11906" w:orient="landscape"/>
          <w:pgMar w:top="1803" w:right="1440" w:bottom="1803" w:left="1440" w:header="851" w:footer="992" w:gutter="0"/>
          <w:pgNumType w:fmt="decimal"/>
          <w:cols w:space="0" w:num="1"/>
          <w:rtlGutter w:val="0"/>
          <w:docGrid w:type="lines" w:linePitch="436" w:charSpace="0"/>
        </w:sectPr>
      </w:pPr>
      <w:bookmarkStart w:id="66" w:name="_Toc13227"/>
    </w:p>
    <w:p>
      <w:pPr>
        <w:pStyle w:val="5"/>
        <w:bidi w:val="0"/>
        <w:rPr>
          <w:rFonts w:hint="eastAsia"/>
          <w:lang w:eastAsia="zh-CN"/>
        </w:rPr>
      </w:pPr>
      <w:bookmarkStart w:id="67" w:name="_Toc4338"/>
      <w:r>
        <w:rPr>
          <w:rFonts w:hint="default"/>
        </w:rPr>
        <w:t xml:space="preserve">表2 </w:t>
      </w:r>
      <w:r>
        <w:rPr>
          <w:rFonts w:hint="eastAsia"/>
          <w:lang w:eastAsia="zh-CN"/>
        </w:rPr>
        <w:t>生态保护红线和一般生态空间动态更新情况</w:t>
      </w:r>
      <w:bookmarkEnd w:id="66"/>
      <w:bookmarkEnd w:id="67"/>
    </w:p>
    <w:tbl>
      <w:tblPr>
        <w:tblStyle w:val="23"/>
        <w:tblW w:w="14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233"/>
        <w:gridCol w:w="1067"/>
        <w:gridCol w:w="1234"/>
        <w:gridCol w:w="1067"/>
        <w:gridCol w:w="1298"/>
        <w:gridCol w:w="2325"/>
        <w:gridCol w:w="1781"/>
        <w:gridCol w:w="919"/>
        <w:gridCol w:w="1013"/>
        <w:gridCol w:w="831"/>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restart"/>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生态空间</w:t>
            </w:r>
          </w:p>
        </w:tc>
        <w:tc>
          <w:tcPr>
            <w:tcW w:w="2300" w:type="dxa"/>
            <w:gridSpan w:val="2"/>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更新前</w:t>
            </w:r>
          </w:p>
        </w:tc>
        <w:tc>
          <w:tcPr>
            <w:tcW w:w="2301" w:type="dxa"/>
            <w:gridSpan w:val="2"/>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更新后面积</w:t>
            </w:r>
          </w:p>
        </w:tc>
        <w:tc>
          <w:tcPr>
            <w:tcW w:w="1298" w:type="dxa"/>
            <w:vMerge w:val="restart"/>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生态空间变动情况</w:t>
            </w:r>
          </w:p>
        </w:tc>
        <w:tc>
          <w:tcPr>
            <w:tcW w:w="2325" w:type="dxa"/>
            <w:vMerge w:val="restart"/>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调整类别</w:t>
            </w:r>
          </w:p>
        </w:tc>
        <w:tc>
          <w:tcPr>
            <w:tcW w:w="1781" w:type="dxa"/>
            <w:vMerge w:val="restart"/>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面积</w:t>
            </w:r>
          </w:p>
        </w:tc>
        <w:tc>
          <w:tcPr>
            <w:tcW w:w="1932" w:type="dxa"/>
            <w:gridSpan w:val="2"/>
            <w:vMerge w:val="restart"/>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生态保护红线调出面积</w:t>
            </w:r>
          </w:p>
        </w:tc>
        <w:tc>
          <w:tcPr>
            <w:tcW w:w="1740" w:type="dxa"/>
            <w:gridSpan w:val="2"/>
            <w:vMerge w:val="restart"/>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生态保护红线调入面积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pStyle w:val="45"/>
              <w:bidi w:val="0"/>
              <w:rPr>
                <w:rFonts w:hint="eastAsia" w:ascii="仿宋" w:hAnsi="仿宋" w:eastAsia="仿宋" w:cs="仿宋"/>
                <w:b/>
                <w:bCs/>
                <w:sz w:val="24"/>
                <w:szCs w:val="24"/>
              </w:rPr>
            </w:pPr>
          </w:p>
        </w:tc>
        <w:tc>
          <w:tcPr>
            <w:tcW w:w="1233" w:type="dxa"/>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面积（km</w:t>
            </w:r>
            <w:r>
              <w:rPr>
                <w:rFonts w:hint="eastAsia" w:ascii="仿宋" w:hAnsi="仿宋" w:eastAsia="仿宋" w:cs="仿宋"/>
                <w:b/>
                <w:bCs/>
                <w:sz w:val="24"/>
                <w:szCs w:val="24"/>
                <w:vertAlign w:val="superscript"/>
                <w:lang w:val="en-US" w:eastAsia="zh-CN"/>
              </w:rPr>
              <w:t>2</w:t>
            </w:r>
            <w:r>
              <w:rPr>
                <w:rFonts w:hint="eastAsia" w:ascii="仿宋" w:hAnsi="仿宋" w:eastAsia="仿宋" w:cs="仿宋"/>
                <w:b/>
                <w:bCs/>
                <w:sz w:val="24"/>
                <w:szCs w:val="24"/>
                <w:lang w:val="en-US" w:eastAsia="zh-CN"/>
              </w:rPr>
              <w:t>）</w:t>
            </w:r>
          </w:p>
        </w:tc>
        <w:tc>
          <w:tcPr>
            <w:tcW w:w="1067" w:type="dxa"/>
            <w:noWrap/>
            <w:vAlign w:val="center"/>
          </w:tcPr>
          <w:p>
            <w:pPr>
              <w:pStyle w:val="45"/>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比例</w:t>
            </w:r>
          </w:p>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w:t>
            </w:r>
          </w:p>
        </w:tc>
        <w:tc>
          <w:tcPr>
            <w:tcW w:w="1234" w:type="dxa"/>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面积（km</w:t>
            </w:r>
            <w:r>
              <w:rPr>
                <w:rFonts w:hint="eastAsia" w:ascii="仿宋" w:hAnsi="仿宋" w:eastAsia="仿宋" w:cs="仿宋"/>
                <w:b/>
                <w:bCs/>
                <w:sz w:val="24"/>
                <w:szCs w:val="24"/>
                <w:vertAlign w:val="superscript"/>
                <w:lang w:val="en-US" w:eastAsia="zh-CN"/>
              </w:rPr>
              <w:t>2</w:t>
            </w:r>
            <w:r>
              <w:rPr>
                <w:rFonts w:hint="eastAsia" w:ascii="仿宋" w:hAnsi="仿宋" w:eastAsia="仿宋" w:cs="仿宋"/>
                <w:b/>
                <w:bCs/>
                <w:sz w:val="24"/>
                <w:szCs w:val="24"/>
                <w:lang w:val="en-US" w:eastAsia="zh-CN"/>
              </w:rPr>
              <w:t>）</w:t>
            </w:r>
          </w:p>
        </w:tc>
        <w:tc>
          <w:tcPr>
            <w:tcW w:w="1067" w:type="dxa"/>
            <w:noWrap/>
            <w:vAlign w:val="center"/>
          </w:tcPr>
          <w:p>
            <w:pPr>
              <w:pStyle w:val="45"/>
              <w:bidi w:val="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比例</w:t>
            </w:r>
          </w:p>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w:t>
            </w:r>
          </w:p>
        </w:tc>
        <w:tc>
          <w:tcPr>
            <w:tcW w:w="1298" w:type="dxa"/>
            <w:vMerge w:val="continue"/>
            <w:noWrap/>
            <w:vAlign w:val="center"/>
          </w:tcPr>
          <w:p>
            <w:pPr>
              <w:pStyle w:val="45"/>
              <w:bidi w:val="0"/>
              <w:rPr>
                <w:rFonts w:hint="eastAsia" w:ascii="仿宋" w:hAnsi="仿宋" w:eastAsia="仿宋" w:cs="仿宋"/>
                <w:b/>
                <w:bCs/>
                <w:sz w:val="24"/>
                <w:szCs w:val="24"/>
              </w:rPr>
            </w:pPr>
          </w:p>
        </w:tc>
        <w:tc>
          <w:tcPr>
            <w:tcW w:w="2325" w:type="dxa"/>
            <w:vMerge w:val="continue"/>
            <w:noWrap/>
            <w:vAlign w:val="center"/>
          </w:tcPr>
          <w:p>
            <w:pPr>
              <w:pStyle w:val="45"/>
              <w:bidi w:val="0"/>
              <w:rPr>
                <w:rFonts w:hint="eastAsia" w:ascii="仿宋" w:hAnsi="仿宋" w:eastAsia="仿宋" w:cs="仿宋"/>
                <w:b/>
                <w:bCs/>
                <w:sz w:val="24"/>
                <w:szCs w:val="24"/>
              </w:rPr>
            </w:pPr>
          </w:p>
        </w:tc>
        <w:tc>
          <w:tcPr>
            <w:tcW w:w="1781" w:type="dxa"/>
            <w:vMerge w:val="continue"/>
            <w:noWrap/>
            <w:vAlign w:val="center"/>
          </w:tcPr>
          <w:p>
            <w:pPr>
              <w:pStyle w:val="45"/>
              <w:bidi w:val="0"/>
              <w:rPr>
                <w:rFonts w:hint="eastAsia" w:ascii="仿宋" w:hAnsi="仿宋" w:eastAsia="仿宋" w:cs="仿宋"/>
                <w:b/>
                <w:bCs/>
                <w:sz w:val="24"/>
                <w:szCs w:val="24"/>
              </w:rPr>
            </w:pPr>
          </w:p>
        </w:tc>
        <w:tc>
          <w:tcPr>
            <w:tcW w:w="1932" w:type="dxa"/>
            <w:gridSpan w:val="2"/>
            <w:vMerge w:val="continue"/>
            <w:noWrap/>
            <w:vAlign w:val="center"/>
          </w:tcPr>
          <w:p>
            <w:pPr>
              <w:pStyle w:val="45"/>
              <w:bidi w:val="0"/>
              <w:rPr>
                <w:rFonts w:hint="eastAsia" w:ascii="仿宋" w:hAnsi="仿宋" w:eastAsia="仿宋" w:cs="仿宋"/>
                <w:b/>
                <w:bCs/>
                <w:sz w:val="24"/>
                <w:szCs w:val="24"/>
              </w:rPr>
            </w:pPr>
          </w:p>
        </w:tc>
        <w:tc>
          <w:tcPr>
            <w:tcW w:w="1740" w:type="dxa"/>
            <w:gridSpan w:val="2"/>
            <w:vMerge w:val="continue"/>
            <w:noWrap/>
            <w:vAlign w:val="center"/>
          </w:tcPr>
          <w:p>
            <w:pPr>
              <w:pStyle w:val="45"/>
              <w:bidi w:val="0"/>
              <w:rPr>
                <w:rFonts w:hint="eastAsia" w:ascii="仿宋" w:hAnsi="仿宋" w:eastAsia="仿宋" w:cs="仿宋"/>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272" w:type="dxa"/>
            <w:vMerge w:val="restart"/>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lang w:val="en-US" w:eastAsia="zh-CN"/>
              </w:rPr>
              <w:t>生态保护红线</w:t>
            </w:r>
          </w:p>
        </w:tc>
        <w:tc>
          <w:tcPr>
            <w:tcW w:w="1233" w:type="dxa"/>
            <w:vMerge w:val="restart"/>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4305.28</w:t>
            </w:r>
          </w:p>
        </w:tc>
        <w:tc>
          <w:tcPr>
            <w:tcW w:w="1067" w:type="dxa"/>
            <w:vMerge w:val="restart"/>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27.13</w:t>
            </w:r>
          </w:p>
        </w:tc>
        <w:tc>
          <w:tcPr>
            <w:tcW w:w="1234" w:type="dxa"/>
            <w:vMerge w:val="restart"/>
            <w:noWrap/>
            <w:vAlign w:val="center"/>
          </w:tcPr>
          <w:p>
            <w:pPr>
              <w:keepNext w:val="0"/>
              <w:keepLines w:val="0"/>
              <w:widowControl/>
              <w:suppressLineNumbers w:val="0"/>
              <w:jc w:val="center"/>
              <w:textAlignment w:val="center"/>
              <w:rPr>
                <w:rFonts w:hint="eastAsia" w:ascii="仿宋" w:hAnsi="仿宋" w:eastAsia="仿宋" w:cs="仿宋"/>
                <w:i w:val="0"/>
                <w:iCs w:val="0"/>
                <w:color w:val="000000"/>
                <w:kern w:val="2"/>
                <w:sz w:val="16"/>
                <w:szCs w:val="16"/>
                <w:u w:val="none"/>
                <w:lang w:val="en-US" w:eastAsia="zh-CN" w:bidi="ar-SA"/>
              </w:rPr>
            </w:pPr>
            <w:r>
              <w:rPr>
                <w:rFonts w:hint="eastAsia" w:ascii="仿宋" w:hAnsi="仿宋" w:eastAsia="仿宋" w:cs="仿宋"/>
                <w:sz w:val="24"/>
                <w:lang w:val="en-US" w:eastAsia="zh-CN"/>
              </w:rPr>
              <w:t>3926.9</w:t>
            </w:r>
          </w:p>
        </w:tc>
        <w:tc>
          <w:tcPr>
            <w:tcW w:w="1067" w:type="dxa"/>
            <w:vMerge w:val="restart"/>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24.75</w:t>
            </w:r>
          </w:p>
        </w:tc>
        <w:tc>
          <w:tcPr>
            <w:tcW w:w="1298" w:type="dxa"/>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生态保护红线减少面积</w:t>
            </w:r>
          </w:p>
        </w:tc>
        <w:tc>
          <w:tcPr>
            <w:tcW w:w="2325" w:type="dxa"/>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生态保护红线更新后减少（新生态保护红线-原生态保护红线）</w:t>
            </w:r>
          </w:p>
        </w:tc>
        <w:tc>
          <w:tcPr>
            <w:tcW w:w="1781" w:type="dxa"/>
            <w:noWrap/>
            <w:vAlign w:val="center"/>
          </w:tcPr>
          <w:p>
            <w:pPr>
              <w:spacing w:line="4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378.38</w:t>
            </w:r>
          </w:p>
        </w:tc>
        <w:tc>
          <w:tcPr>
            <w:tcW w:w="1932" w:type="dxa"/>
            <w:gridSpan w:val="2"/>
            <w:vMerge w:val="restart"/>
            <w:noWrap/>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380.06</w:t>
            </w:r>
          </w:p>
        </w:tc>
        <w:tc>
          <w:tcPr>
            <w:tcW w:w="1740" w:type="dxa"/>
            <w:gridSpan w:val="2"/>
            <w:vMerge w:val="restart"/>
            <w:noWrap/>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98" w:type="dxa"/>
            <w:vMerge w:val="restart"/>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一般生态空间减少面积</w:t>
            </w: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一般生态空间划为生态保护红线减少</w:t>
            </w:r>
          </w:p>
        </w:tc>
        <w:tc>
          <w:tcPr>
            <w:tcW w:w="1781" w:type="dxa"/>
            <w:noWrap/>
            <w:vAlign w:val="center"/>
          </w:tcPr>
          <w:p>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1932" w:type="dxa"/>
            <w:gridSpan w:val="2"/>
            <w:vMerge w:val="continue"/>
            <w:noWrap/>
            <w:vAlign w:val="center"/>
          </w:tcPr>
          <w:p>
            <w:pPr>
              <w:pStyle w:val="45"/>
              <w:bidi w:val="0"/>
              <w:rPr>
                <w:rFonts w:hint="eastAsia" w:ascii="仿宋" w:hAnsi="仿宋" w:eastAsia="仿宋" w:cs="仿宋"/>
                <w:sz w:val="24"/>
                <w:szCs w:val="24"/>
              </w:rPr>
            </w:pPr>
          </w:p>
        </w:tc>
        <w:tc>
          <w:tcPr>
            <w:tcW w:w="1740" w:type="dxa"/>
            <w:gridSpan w:val="2"/>
            <w:vMerge w:val="continue"/>
            <w:noWrap/>
            <w:vAlign w:val="center"/>
          </w:tcPr>
          <w:p>
            <w:pPr>
              <w:pStyle w:val="45"/>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98" w:type="dxa"/>
            <w:vMerge w:val="continue"/>
            <w:noWrap w:val="0"/>
            <w:vAlign w:val="center"/>
          </w:tcPr>
          <w:p>
            <w:pPr>
              <w:pStyle w:val="45"/>
              <w:bidi w:val="0"/>
              <w:rPr>
                <w:rFonts w:hint="eastAsia" w:ascii="仿宋" w:hAnsi="仿宋" w:eastAsia="仿宋" w:cs="仿宋"/>
                <w:sz w:val="24"/>
                <w:szCs w:val="24"/>
              </w:rPr>
            </w:pP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城镇开发边界衔接减少</w:t>
            </w:r>
          </w:p>
        </w:tc>
        <w:tc>
          <w:tcPr>
            <w:tcW w:w="1781" w:type="dxa"/>
            <w:noWrap/>
            <w:vAlign w:val="center"/>
          </w:tcPr>
          <w:p>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0.22</w:t>
            </w:r>
          </w:p>
        </w:tc>
        <w:tc>
          <w:tcPr>
            <w:tcW w:w="1932" w:type="dxa"/>
            <w:gridSpan w:val="2"/>
            <w:vMerge w:val="continue"/>
            <w:noWrap/>
            <w:vAlign w:val="center"/>
          </w:tcPr>
          <w:p>
            <w:pPr>
              <w:pStyle w:val="45"/>
              <w:bidi w:val="0"/>
              <w:rPr>
                <w:rFonts w:hint="eastAsia" w:ascii="仿宋" w:hAnsi="仿宋" w:eastAsia="仿宋" w:cs="仿宋"/>
                <w:sz w:val="24"/>
                <w:szCs w:val="24"/>
              </w:rPr>
            </w:pPr>
          </w:p>
        </w:tc>
        <w:tc>
          <w:tcPr>
            <w:tcW w:w="1740" w:type="dxa"/>
            <w:gridSpan w:val="2"/>
            <w:vMerge w:val="continue"/>
            <w:noWrap/>
            <w:vAlign w:val="center"/>
          </w:tcPr>
          <w:p>
            <w:pPr>
              <w:pStyle w:val="45"/>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98" w:type="dxa"/>
            <w:vMerge w:val="continue"/>
            <w:noWrap w:val="0"/>
            <w:vAlign w:val="center"/>
          </w:tcPr>
          <w:p>
            <w:pPr>
              <w:pStyle w:val="45"/>
              <w:bidi w:val="0"/>
              <w:rPr>
                <w:rFonts w:hint="eastAsia" w:ascii="仿宋" w:hAnsi="仿宋" w:eastAsia="仿宋" w:cs="仿宋"/>
                <w:sz w:val="24"/>
                <w:szCs w:val="24"/>
              </w:rPr>
            </w:pP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采矿权衔接减少</w:t>
            </w:r>
          </w:p>
        </w:tc>
        <w:tc>
          <w:tcPr>
            <w:tcW w:w="1781" w:type="dxa"/>
            <w:noWrap/>
            <w:vAlign w:val="center"/>
          </w:tcPr>
          <w:p>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41.54</w:t>
            </w:r>
          </w:p>
        </w:tc>
        <w:tc>
          <w:tcPr>
            <w:tcW w:w="1932" w:type="dxa"/>
            <w:gridSpan w:val="2"/>
            <w:vMerge w:val="continue"/>
            <w:noWrap/>
            <w:vAlign w:val="center"/>
          </w:tcPr>
          <w:p>
            <w:pPr>
              <w:pStyle w:val="45"/>
              <w:bidi w:val="0"/>
              <w:rPr>
                <w:rFonts w:hint="eastAsia" w:ascii="仿宋" w:hAnsi="仿宋" w:eastAsia="仿宋" w:cs="仿宋"/>
                <w:sz w:val="24"/>
                <w:szCs w:val="24"/>
              </w:rPr>
            </w:pPr>
          </w:p>
        </w:tc>
        <w:tc>
          <w:tcPr>
            <w:tcW w:w="1740" w:type="dxa"/>
            <w:gridSpan w:val="2"/>
            <w:vMerge w:val="continue"/>
            <w:noWrap/>
            <w:vAlign w:val="center"/>
          </w:tcPr>
          <w:p>
            <w:pPr>
              <w:pStyle w:val="45"/>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98" w:type="dxa"/>
            <w:vMerge w:val="continue"/>
            <w:noWrap w:val="0"/>
            <w:vAlign w:val="center"/>
          </w:tcPr>
          <w:p>
            <w:pPr>
              <w:pStyle w:val="45"/>
              <w:bidi w:val="0"/>
              <w:rPr>
                <w:rFonts w:hint="eastAsia" w:ascii="仿宋" w:hAnsi="仿宋" w:eastAsia="仿宋" w:cs="仿宋"/>
                <w:sz w:val="24"/>
                <w:szCs w:val="24"/>
              </w:rPr>
            </w:pP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产业发展、重点项目衔接减少</w:t>
            </w:r>
          </w:p>
        </w:tc>
        <w:tc>
          <w:tcPr>
            <w:tcW w:w="1781" w:type="dxa"/>
            <w:noWrap/>
            <w:vAlign w:val="center"/>
          </w:tcPr>
          <w:p>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2.5</w:t>
            </w:r>
            <w:r>
              <w:rPr>
                <w:rFonts w:hint="eastAsia" w:ascii="仿宋" w:hAnsi="仿宋" w:cs="仿宋"/>
                <w:sz w:val="24"/>
                <w:lang w:val="en-US" w:eastAsia="zh-CN"/>
              </w:rPr>
              <w:t>9</w:t>
            </w:r>
          </w:p>
        </w:tc>
        <w:tc>
          <w:tcPr>
            <w:tcW w:w="1932" w:type="dxa"/>
            <w:gridSpan w:val="2"/>
            <w:vMerge w:val="continue"/>
            <w:noWrap/>
            <w:vAlign w:val="center"/>
          </w:tcPr>
          <w:p>
            <w:pPr>
              <w:pStyle w:val="45"/>
              <w:bidi w:val="0"/>
              <w:rPr>
                <w:rFonts w:hint="eastAsia" w:ascii="仿宋" w:hAnsi="仿宋" w:eastAsia="仿宋" w:cs="仿宋"/>
                <w:sz w:val="24"/>
                <w:szCs w:val="24"/>
              </w:rPr>
            </w:pPr>
          </w:p>
        </w:tc>
        <w:tc>
          <w:tcPr>
            <w:tcW w:w="1740" w:type="dxa"/>
            <w:gridSpan w:val="2"/>
            <w:vMerge w:val="continue"/>
            <w:noWrap/>
            <w:vAlign w:val="center"/>
          </w:tcPr>
          <w:p>
            <w:pPr>
              <w:pStyle w:val="45"/>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98" w:type="dxa"/>
            <w:vMerge w:val="continue"/>
            <w:noWrap w:val="0"/>
            <w:vAlign w:val="center"/>
          </w:tcPr>
          <w:p>
            <w:pPr>
              <w:pStyle w:val="45"/>
              <w:bidi w:val="0"/>
              <w:rPr>
                <w:rFonts w:hint="eastAsia" w:ascii="仿宋" w:hAnsi="仿宋" w:eastAsia="仿宋" w:cs="仿宋"/>
                <w:sz w:val="24"/>
                <w:szCs w:val="24"/>
              </w:rPr>
            </w:pP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三调行政区划衔接减少</w:t>
            </w:r>
          </w:p>
        </w:tc>
        <w:tc>
          <w:tcPr>
            <w:tcW w:w="1781" w:type="dxa"/>
            <w:noWrap/>
            <w:vAlign w:val="center"/>
          </w:tcPr>
          <w:p>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1932" w:type="dxa"/>
            <w:gridSpan w:val="2"/>
            <w:vMerge w:val="continue"/>
            <w:noWrap/>
            <w:vAlign w:val="center"/>
          </w:tcPr>
          <w:p>
            <w:pPr>
              <w:pStyle w:val="45"/>
              <w:bidi w:val="0"/>
              <w:rPr>
                <w:rFonts w:hint="eastAsia" w:ascii="仿宋" w:hAnsi="仿宋" w:eastAsia="仿宋" w:cs="仿宋"/>
                <w:sz w:val="24"/>
                <w:szCs w:val="24"/>
              </w:rPr>
            </w:pPr>
          </w:p>
        </w:tc>
        <w:tc>
          <w:tcPr>
            <w:tcW w:w="1740" w:type="dxa"/>
            <w:gridSpan w:val="2"/>
            <w:vMerge w:val="continue"/>
            <w:noWrap/>
            <w:vAlign w:val="center"/>
          </w:tcPr>
          <w:p>
            <w:pPr>
              <w:pStyle w:val="45"/>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3623" w:type="dxa"/>
            <w:gridSpan w:val="2"/>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合计</w:t>
            </w:r>
          </w:p>
        </w:tc>
        <w:tc>
          <w:tcPr>
            <w:tcW w:w="1781" w:type="dxa"/>
            <w:noWrap/>
            <w:vAlign w:val="center"/>
          </w:tcPr>
          <w:p>
            <w:pPr>
              <w:spacing w:line="40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422.</w:t>
            </w:r>
            <w:r>
              <w:rPr>
                <w:rFonts w:hint="eastAsia" w:ascii="仿宋" w:hAnsi="仿宋" w:cs="仿宋"/>
                <w:sz w:val="24"/>
                <w:lang w:val="en-US" w:eastAsia="zh-CN"/>
              </w:rPr>
              <w:t>67</w:t>
            </w:r>
          </w:p>
        </w:tc>
        <w:tc>
          <w:tcPr>
            <w:tcW w:w="1932" w:type="dxa"/>
            <w:gridSpan w:val="2"/>
            <w:vMerge w:val="continue"/>
            <w:noWrap/>
            <w:vAlign w:val="center"/>
          </w:tcPr>
          <w:p>
            <w:pPr>
              <w:pStyle w:val="45"/>
              <w:bidi w:val="0"/>
              <w:rPr>
                <w:rFonts w:hint="eastAsia" w:ascii="仿宋" w:hAnsi="仿宋" w:eastAsia="仿宋" w:cs="仿宋"/>
                <w:sz w:val="24"/>
                <w:szCs w:val="24"/>
              </w:rPr>
            </w:pPr>
          </w:p>
        </w:tc>
        <w:tc>
          <w:tcPr>
            <w:tcW w:w="1740" w:type="dxa"/>
            <w:gridSpan w:val="2"/>
            <w:vMerge w:val="continue"/>
            <w:noWrap/>
            <w:vAlign w:val="center"/>
          </w:tcPr>
          <w:p>
            <w:pPr>
              <w:pStyle w:val="45"/>
              <w:bidi w:val="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272" w:type="dxa"/>
            <w:vMerge w:val="restart"/>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lang w:val="en-US" w:eastAsia="zh-CN"/>
              </w:rPr>
              <w:t>一般生态空间</w:t>
            </w:r>
          </w:p>
        </w:tc>
        <w:tc>
          <w:tcPr>
            <w:tcW w:w="1233" w:type="dxa"/>
            <w:vMerge w:val="restart"/>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2779.59</w:t>
            </w:r>
          </w:p>
        </w:tc>
        <w:tc>
          <w:tcPr>
            <w:tcW w:w="1067" w:type="dxa"/>
            <w:vMerge w:val="restart"/>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17.52</w:t>
            </w:r>
          </w:p>
        </w:tc>
        <w:tc>
          <w:tcPr>
            <w:tcW w:w="1234" w:type="dxa"/>
            <w:vMerge w:val="restart"/>
            <w:noWrap/>
            <w:vAlign w:val="center"/>
          </w:tcPr>
          <w:p>
            <w:pPr>
              <w:keepNext w:val="0"/>
              <w:keepLines w:val="0"/>
              <w:widowControl/>
              <w:suppressLineNumbers w:val="0"/>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3157.97</w:t>
            </w:r>
          </w:p>
        </w:tc>
        <w:tc>
          <w:tcPr>
            <w:tcW w:w="1067" w:type="dxa"/>
            <w:vMerge w:val="restart"/>
            <w:noWrap/>
            <w:vAlign w:val="center"/>
          </w:tcPr>
          <w:p>
            <w:pPr>
              <w:keepNext w:val="0"/>
              <w:keepLines w:val="0"/>
              <w:widowControl/>
              <w:suppressLineNumbers w:val="0"/>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19.9</w:t>
            </w:r>
          </w:p>
        </w:tc>
        <w:tc>
          <w:tcPr>
            <w:tcW w:w="1298" w:type="dxa"/>
            <w:vMerge w:val="restart"/>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一般生态空间增加面积</w:t>
            </w: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原生态保护红线调入一般生态空间</w:t>
            </w:r>
          </w:p>
        </w:tc>
        <w:tc>
          <w:tcPr>
            <w:tcW w:w="1781" w:type="dxa"/>
            <w:noWrap/>
            <w:vAlign w:val="center"/>
          </w:tcPr>
          <w:p>
            <w:pPr>
              <w:spacing w:line="400" w:lineRule="exact"/>
              <w:jc w:val="center"/>
              <w:rPr>
                <w:rFonts w:hint="default" w:ascii="仿宋" w:hAnsi="仿宋" w:eastAsia="仿宋" w:cs="仿宋"/>
                <w:sz w:val="24"/>
                <w:lang w:val="en-US" w:eastAsia="zh-CN"/>
              </w:rPr>
            </w:pPr>
            <w:r>
              <w:rPr>
                <w:rFonts w:hint="eastAsia" w:ascii="仿宋" w:hAnsi="仿宋" w:eastAsia="仿宋" w:cs="仿宋"/>
                <w:sz w:val="24"/>
              </w:rPr>
              <w:t>243.</w:t>
            </w:r>
            <w:r>
              <w:rPr>
                <w:rFonts w:hint="eastAsia" w:ascii="仿宋" w:hAnsi="仿宋" w:eastAsia="仿宋" w:cs="仿宋"/>
                <w:sz w:val="24"/>
                <w:lang w:val="en-US" w:eastAsia="zh-CN"/>
              </w:rPr>
              <w:t>48</w:t>
            </w:r>
          </w:p>
        </w:tc>
        <w:tc>
          <w:tcPr>
            <w:tcW w:w="919" w:type="dxa"/>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纳入一般生态空间的面积</w:t>
            </w:r>
          </w:p>
        </w:tc>
        <w:tc>
          <w:tcPr>
            <w:tcW w:w="1013" w:type="dxa"/>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未纳入一般生态空间的面积</w:t>
            </w:r>
          </w:p>
        </w:tc>
        <w:tc>
          <w:tcPr>
            <w:tcW w:w="831" w:type="dxa"/>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从原一般生态空间调入面积</w:t>
            </w:r>
          </w:p>
        </w:tc>
        <w:tc>
          <w:tcPr>
            <w:tcW w:w="909" w:type="dxa"/>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从原一般生态空间外调入面积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98" w:type="dxa"/>
            <w:vMerge w:val="continue"/>
            <w:noWrap w:val="0"/>
            <w:vAlign w:val="center"/>
          </w:tcPr>
          <w:p>
            <w:pPr>
              <w:pStyle w:val="45"/>
              <w:bidi w:val="0"/>
              <w:rPr>
                <w:rFonts w:hint="eastAsia" w:ascii="仿宋" w:hAnsi="仿宋" w:eastAsia="仿宋" w:cs="仿宋"/>
                <w:sz w:val="24"/>
                <w:szCs w:val="24"/>
              </w:rPr>
            </w:pP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生态公益林调入一般生态空间</w:t>
            </w:r>
          </w:p>
        </w:tc>
        <w:tc>
          <w:tcPr>
            <w:tcW w:w="1781" w:type="dxa"/>
            <w:noWrap/>
            <w:vAlign w:val="center"/>
          </w:tcPr>
          <w:p>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919" w:type="dxa"/>
            <w:vMerge w:val="restart"/>
            <w:noWrap/>
            <w:vAlign w:val="center"/>
          </w:tcPr>
          <w:p>
            <w:pPr>
              <w:pStyle w:val="45"/>
              <w:bidi w:val="0"/>
              <w:rPr>
                <w:rFonts w:hint="default" w:ascii="仿宋" w:hAnsi="仿宋" w:eastAsia="仿宋" w:cs="仿宋"/>
                <w:lang w:val="en-US" w:eastAsia="zh-CN"/>
              </w:rPr>
            </w:pPr>
            <w:r>
              <w:rPr>
                <w:rFonts w:hint="eastAsia" w:ascii="仿宋" w:hAnsi="仿宋" w:eastAsia="仿宋" w:cs="仿宋"/>
              </w:rPr>
              <w:t>243.</w:t>
            </w:r>
            <w:r>
              <w:rPr>
                <w:rFonts w:hint="eastAsia" w:ascii="仿宋" w:hAnsi="仿宋" w:eastAsia="仿宋" w:cs="仿宋"/>
                <w:lang w:val="en-US" w:eastAsia="zh-CN"/>
              </w:rPr>
              <w:t>48</w:t>
            </w:r>
          </w:p>
        </w:tc>
        <w:tc>
          <w:tcPr>
            <w:tcW w:w="1013" w:type="dxa"/>
            <w:vMerge w:val="restart"/>
            <w:noWrap w:val="0"/>
            <w:vAlign w:val="center"/>
          </w:tcPr>
          <w:p>
            <w:pPr>
              <w:pStyle w:val="45"/>
              <w:bidi w:val="0"/>
              <w:rPr>
                <w:rFonts w:hint="default" w:ascii="仿宋" w:hAnsi="仿宋" w:eastAsia="仿宋" w:cs="仿宋"/>
                <w:lang w:val="en-US" w:eastAsia="zh-CN"/>
              </w:rPr>
            </w:pPr>
            <w:r>
              <w:rPr>
                <w:rFonts w:hint="eastAsia" w:ascii="仿宋" w:hAnsi="仿宋" w:eastAsia="仿宋" w:cs="仿宋"/>
                <w:lang w:val="en-US" w:eastAsia="zh-CN"/>
              </w:rPr>
              <w:t>136.58</w:t>
            </w:r>
          </w:p>
        </w:tc>
        <w:tc>
          <w:tcPr>
            <w:tcW w:w="831" w:type="dxa"/>
            <w:vMerge w:val="restart"/>
            <w:noWrap/>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0.006</w:t>
            </w:r>
          </w:p>
        </w:tc>
        <w:tc>
          <w:tcPr>
            <w:tcW w:w="909" w:type="dxa"/>
            <w:vMerge w:val="restart"/>
            <w:noWrap/>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98" w:type="dxa"/>
            <w:vMerge w:val="continue"/>
            <w:noWrap w:val="0"/>
            <w:vAlign w:val="center"/>
          </w:tcPr>
          <w:p>
            <w:pPr>
              <w:pStyle w:val="45"/>
              <w:bidi w:val="0"/>
              <w:rPr>
                <w:rFonts w:hint="eastAsia" w:ascii="仿宋" w:hAnsi="仿宋" w:eastAsia="仿宋" w:cs="仿宋"/>
                <w:sz w:val="24"/>
                <w:szCs w:val="24"/>
              </w:rPr>
            </w:pP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生态控制区调入一般生态空间</w:t>
            </w:r>
          </w:p>
        </w:tc>
        <w:tc>
          <w:tcPr>
            <w:tcW w:w="1781" w:type="dxa"/>
            <w:noWrap/>
            <w:vAlign w:val="center"/>
          </w:tcPr>
          <w:p>
            <w:pPr>
              <w:spacing w:line="400" w:lineRule="exact"/>
              <w:jc w:val="center"/>
              <w:rPr>
                <w:rFonts w:hint="eastAsia" w:ascii="仿宋" w:hAnsi="仿宋" w:eastAsia="仿宋" w:cs="仿宋"/>
                <w:sz w:val="24"/>
                <w:lang w:val="en-US" w:eastAsia="zh-CN"/>
              </w:rPr>
            </w:pPr>
            <w:r>
              <w:rPr>
                <w:rFonts w:hint="default" w:ascii="仿宋" w:hAnsi="仿宋" w:eastAsia="仿宋" w:cs="仿宋"/>
                <w:sz w:val="24"/>
                <w:lang w:val="en-US" w:eastAsia="zh-CN"/>
              </w:rPr>
              <w:t>179.1</w:t>
            </w:r>
            <w:r>
              <w:rPr>
                <w:rFonts w:hint="eastAsia" w:ascii="仿宋" w:hAnsi="仿宋" w:cs="仿宋"/>
                <w:sz w:val="24"/>
                <w:lang w:val="en-US" w:eastAsia="zh-CN"/>
              </w:rPr>
              <w:t>9</w:t>
            </w:r>
          </w:p>
        </w:tc>
        <w:tc>
          <w:tcPr>
            <w:tcW w:w="919" w:type="dxa"/>
            <w:vMerge w:val="continue"/>
            <w:noWrap/>
            <w:vAlign w:val="center"/>
          </w:tcPr>
          <w:p>
            <w:pPr>
              <w:pStyle w:val="45"/>
              <w:bidi w:val="0"/>
              <w:rPr>
                <w:rFonts w:hint="default" w:ascii="Times New Roman" w:hAnsi="Times New Roman" w:eastAsia="楷体" w:cs="Times New Roman"/>
                <w:sz w:val="24"/>
                <w:szCs w:val="24"/>
              </w:rPr>
            </w:pPr>
          </w:p>
        </w:tc>
        <w:tc>
          <w:tcPr>
            <w:tcW w:w="1013" w:type="dxa"/>
            <w:vMerge w:val="continue"/>
            <w:noWrap w:val="0"/>
            <w:vAlign w:val="center"/>
          </w:tcPr>
          <w:p>
            <w:pPr>
              <w:pStyle w:val="45"/>
              <w:bidi w:val="0"/>
              <w:rPr>
                <w:rFonts w:hint="default" w:ascii="Times New Roman" w:hAnsi="Times New Roman" w:eastAsia="楷体" w:cs="Times New Roman"/>
                <w:sz w:val="24"/>
                <w:szCs w:val="24"/>
              </w:rPr>
            </w:pPr>
          </w:p>
        </w:tc>
        <w:tc>
          <w:tcPr>
            <w:tcW w:w="831" w:type="dxa"/>
            <w:vMerge w:val="continue"/>
            <w:noWrap/>
            <w:vAlign w:val="center"/>
          </w:tcPr>
          <w:p>
            <w:pPr>
              <w:pStyle w:val="45"/>
              <w:bidi w:val="0"/>
              <w:rPr>
                <w:rFonts w:hint="default" w:ascii="Times New Roman" w:hAnsi="Times New Roman" w:eastAsia="楷体" w:cs="Times New Roman"/>
                <w:sz w:val="24"/>
                <w:szCs w:val="24"/>
              </w:rPr>
            </w:pPr>
          </w:p>
        </w:tc>
        <w:tc>
          <w:tcPr>
            <w:tcW w:w="909" w:type="dxa"/>
            <w:vMerge w:val="continue"/>
            <w:noWrap/>
            <w:vAlign w:val="center"/>
          </w:tcPr>
          <w:p>
            <w:pPr>
              <w:pStyle w:val="45"/>
              <w:bidi w:val="0"/>
              <w:rPr>
                <w:rFonts w:hint="default" w:ascii="Times New Roman" w:hAnsi="Times New Roman" w:eastAsia="楷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98" w:type="dxa"/>
            <w:vMerge w:val="continue"/>
            <w:noWrap w:val="0"/>
            <w:vAlign w:val="center"/>
          </w:tcPr>
          <w:p>
            <w:pPr>
              <w:pStyle w:val="45"/>
              <w:bidi w:val="0"/>
              <w:rPr>
                <w:rFonts w:hint="eastAsia" w:ascii="仿宋" w:hAnsi="仿宋" w:eastAsia="仿宋" w:cs="仿宋"/>
                <w:sz w:val="24"/>
                <w:szCs w:val="24"/>
              </w:rPr>
            </w:pP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饮用水源保护区调入一般生态空间</w:t>
            </w:r>
          </w:p>
        </w:tc>
        <w:tc>
          <w:tcPr>
            <w:tcW w:w="1781" w:type="dxa"/>
            <w:noWrap/>
            <w:vAlign w:val="center"/>
          </w:tcPr>
          <w:p>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919" w:type="dxa"/>
            <w:vMerge w:val="continue"/>
            <w:noWrap/>
            <w:vAlign w:val="center"/>
          </w:tcPr>
          <w:p>
            <w:pPr>
              <w:pStyle w:val="45"/>
              <w:bidi w:val="0"/>
              <w:rPr>
                <w:rFonts w:hint="default" w:ascii="Times New Roman" w:hAnsi="Times New Roman" w:eastAsia="楷体" w:cs="Times New Roman"/>
                <w:sz w:val="24"/>
                <w:szCs w:val="24"/>
              </w:rPr>
            </w:pPr>
          </w:p>
        </w:tc>
        <w:tc>
          <w:tcPr>
            <w:tcW w:w="1013" w:type="dxa"/>
            <w:vMerge w:val="continue"/>
            <w:noWrap w:val="0"/>
            <w:vAlign w:val="center"/>
          </w:tcPr>
          <w:p>
            <w:pPr>
              <w:pStyle w:val="45"/>
              <w:bidi w:val="0"/>
              <w:rPr>
                <w:rFonts w:hint="default" w:ascii="Times New Roman" w:hAnsi="Times New Roman" w:eastAsia="楷体" w:cs="Times New Roman"/>
                <w:sz w:val="24"/>
                <w:szCs w:val="24"/>
              </w:rPr>
            </w:pPr>
          </w:p>
        </w:tc>
        <w:tc>
          <w:tcPr>
            <w:tcW w:w="831" w:type="dxa"/>
            <w:vMerge w:val="continue"/>
            <w:noWrap/>
            <w:vAlign w:val="center"/>
          </w:tcPr>
          <w:p>
            <w:pPr>
              <w:pStyle w:val="45"/>
              <w:bidi w:val="0"/>
              <w:rPr>
                <w:rFonts w:hint="default" w:ascii="Times New Roman" w:hAnsi="Times New Roman" w:eastAsia="楷体" w:cs="Times New Roman"/>
                <w:sz w:val="24"/>
                <w:szCs w:val="24"/>
              </w:rPr>
            </w:pPr>
          </w:p>
        </w:tc>
        <w:tc>
          <w:tcPr>
            <w:tcW w:w="909" w:type="dxa"/>
            <w:vMerge w:val="continue"/>
            <w:noWrap/>
            <w:vAlign w:val="center"/>
          </w:tcPr>
          <w:p>
            <w:pPr>
              <w:pStyle w:val="45"/>
              <w:bidi w:val="0"/>
              <w:rPr>
                <w:rFonts w:hint="default" w:ascii="Times New Roman" w:hAnsi="Times New Roman" w:eastAsia="楷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vMerge w:val="continue"/>
            <w:noWrap/>
            <w:vAlign w:val="center"/>
          </w:tcPr>
          <w:p>
            <w:pPr>
              <w:spacing w:line="400" w:lineRule="exact"/>
              <w:jc w:val="center"/>
              <w:rPr>
                <w:rFonts w:hint="eastAsia" w:ascii="仿宋" w:hAnsi="仿宋" w:eastAsia="仿宋" w:cs="仿宋"/>
                <w:sz w:val="24"/>
              </w:rPr>
            </w:pPr>
          </w:p>
        </w:tc>
        <w:tc>
          <w:tcPr>
            <w:tcW w:w="1233"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34" w:type="dxa"/>
            <w:vMerge w:val="continue"/>
            <w:noWrap/>
            <w:vAlign w:val="center"/>
          </w:tcPr>
          <w:p>
            <w:pPr>
              <w:spacing w:line="400" w:lineRule="exact"/>
              <w:jc w:val="center"/>
              <w:rPr>
                <w:rFonts w:hint="eastAsia" w:ascii="仿宋" w:hAnsi="仿宋" w:eastAsia="仿宋" w:cs="仿宋"/>
                <w:sz w:val="24"/>
              </w:rPr>
            </w:pPr>
          </w:p>
        </w:tc>
        <w:tc>
          <w:tcPr>
            <w:tcW w:w="1067" w:type="dxa"/>
            <w:vMerge w:val="continue"/>
            <w:noWrap/>
            <w:vAlign w:val="center"/>
          </w:tcPr>
          <w:p>
            <w:pPr>
              <w:spacing w:line="400" w:lineRule="exact"/>
              <w:jc w:val="center"/>
              <w:rPr>
                <w:rFonts w:hint="eastAsia" w:ascii="仿宋" w:hAnsi="仿宋" w:eastAsia="仿宋" w:cs="仿宋"/>
                <w:sz w:val="24"/>
              </w:rPr>
            </w:pPr>
          </w:p>
        </w:tc>
        <w:tc>
          <w:tcPr>
            <w:tcW w:w="1298" w:type="dxa"/>
            <w:vMerge w:val="continue"/>
            <w:noWrap w:val="0"/>
            <w:vAlign w:val="center"/>
          </w:tcPr>
          <w:p>
            <w:pPr>
              <w:pStyle w:val="45"/>
              <w:bidi w:val="0"/>
              <w:rPr>
                <w:rFonts w:hint="eastAsia" w:ascii="仿宋" w:hAnsi="仿宋" w:eastAsia="仿宋" w:cs="仿宋"/>
                <w:sz w:val="24"/>
                <w:szCs w:val="24"/>
              </w:rPr>
            </w:pPr>
          </w:p>
        </w:tc>
        <w:tc>
          <w:tcPr>
            <w:tcW w:w="2325" w:type="dxa"/>
            <w:noWrap/>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其他原因调入一般生态空间</w:t>
            </w:r>
          </w:p>
        </w:tc>
        <w:tc>
          <w:tcPr>
            <w:tcW w:w="1781" w:type="dxa"/>
            <w:noWrap/>
            <w:vAlign w:val="center"/>
          </w:tcPr>
          <w:p>
            <w:pPr>
              <w:spacing w:line="4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w:t>
            </w:r>
          </w:p>
        </w:tc>
        <w:tc>
          <w:tcPr>
            <w:tcW w:w="919" w:type="dxa"/>
            <w:vMerge w:val="continue"/>
            <w:noWrap/>
            <w:vAlign w:val="center"/>
          </w:tcPr>
          <w:p>
            <w:pPr>
              <w:pStyle w:val="45"/>
              <w:bidi w:val="0"/>
              <w:rPr>
                <w:rFonts w:hint="default" w:ascii="Times New Roman" w:hAnsi="Times New Roman" w:eastAsia="楷体" w:cs="Times New Roman"/>
                <w:sz w:val="24"/>
                <w:szCs w:val="24"/>
              </w:rPr>
            </w:pPr>
          </w:p>
        </w:tc>
        <w:tc>
          <w:tcPr>
            <w:tcW w:w="1013" w:type="dxa"/>
            <w:vMerge w:val="continue"/>
            <w:noWrap w:val="0"/>
            <w:vAlign w:val="center"/>
          </w:tcPr>
          <w:p>
            <w:pPr>
              <w:pStyle w:val="45"/>
              <w:bidi w:val="0"/>
              <w:rPr>
                <w:rFonts w:hint="default" w:ascii="Times New Roman" w:hAnsi="Times New Roman" w:eastAsia="楷体" w:cs="Times New Roman"/>
                <w:sz w:val="24"/>
                <w:szCs w:val="24"/>
              </w:rPr>
            </w:pPr>
          </w:p>
        </w:tc>
        <w:tc>
          <w:tcPr>
            <w:tcW w:w="831" w:type="dxa"/>
            <w:vMerge w:val="continue"/>
            <w:noWrap/>
            <w:vAlign w:val="center"/>
          </w:tcPr>
          <w:p>
            <w:pPr>
              <w:pStyle w:val="45"/>
              <w:bidi w:val="0"/>
              <w:rPr>
                <w:rFonts w:hint="default" w:ascii="Times New Roman" w:hAnsi="Times New Roman" w:eastAsia="楷体" w:cs="Times New Roman"/>
                <w:sz w:val="24"/>
                <w:szCs w:val="24"/>
              </w:rPr>
            </w:pPr>
          </w:p>
        </w:tc>
        <w:tc>
          <w:tcPr>
            <w:tcW w:w="909" w:type="dxa"/>
            <w:vMerge w:val="continue"/>
            <w:noWrap/>
            <w:vAlign w:val="center"/>
          </w:tcPr>
          <w:p>
            <w:pPr>
              <w:pStyle w:val="45"/>
              <w:bidi w:val="0"/>
              <w:rPr>
                <w:rFonts w:hint="default" w:ascii="Times New Roman" w:hAnsi="Times New Roman" w:eastAsia="楷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72"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lang w:val="en-US" w:eastAsia="zh-CN"/>
              </w:rPr>
              <w:t>合计</w:t>
            </w:r>
          </w:p>
        </w:tc>
        <w:tc>
          <w:tcPr>
            <w:tcW w:w="1233"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7084.87</w:t>
            </w:r>
          </w:p>
        </w:tc>
        <w:tc>
          <w:tcPr>
            <w:tcW w:w="1067"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44.65</w:t>
            </w:r>
          </w:p>
        </w:tc>
        <w:tc>
          <w:tcPr>
            <w:tcW w:w="1234"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7084.87</w:t>
            </w:r>
          </w:p>
        </w:tc>
        <w:tc>
          <w:tcPr>
            <w:tcW w:w="1067"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44.65</w:t>
            </w:r>
          </w:p>
        </w:tc>
        <w:tc>
          <w:tcPr>
            <w:tcW w:w="3623" w:type="dxa"/>
            <w:gridSpan w:val="2"/>
            <w:noWrap/>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lang w:val="en-US" w:eastAsia="zh-CN"/>
              </w:rPr>
              <w:t>合计</w:t>
            </w:r>
          </w:p>
        </w:tc>
        <w:tc>
          <w:tcPr>
            <w:tcW w:w="1781" w:type="dxa"/>
            <w:noWrap/>
            <w:vAlign w:val="center"/>
          </w:tcPr>
          <w:p>
            <w:pPr>
              <w:spacing w:line="400" w:lineRule="exact"/>
              <w:jc w:val="center"/>
              <w:rPr>
                <w:rFonts w:hint="default" w:ascii="仿宋" w:hAnsi="仿宋" w:eastAsia="仿宋" w:cs="仿宋"/>
                <w:sz w:val="24"/>
                <w:lang w:val="en-US"/>
              </w:rPr>
            </w:pPr>
            <w:r>
              <w:rPr>
                <w:rFonts w:hint="eastAsia" w:ascii="仿宋" w:hAnsi="仿宋" w:eastAsia="仿宋" w:cs="仿宋"/>
                <w:sz w:val="24"/>
                <w:lang w:val="en-US" w:eastAsia="zh-CN"/>
              </w:rPr>
              <w:t>422.6</w:t>
            </w:r>
            <w:r>
              <w:rPr>
                <w:rFonts w:hint="eastAsia" w:ascii="仿宋" w:hAnsi="仿宋" w:cs="仿宋"/>
                <w:sz w:val="24"/>
                <w:lang w:val="en-US" w:eastAsia="zh-CN"/>
              </w:rPr>
              <w:t>7</w:t>
            </w:r>
          </w:p>
        </w:tc>
        <w:tc>
          <w:tcPr>
            <w:tcW w:w="919" w:type="dxa"/>
            <w:vMerge w:val="continue"/>
            <w:noWrap/>
            <w:vAlign w:val="center"/>
          </w:tcPr>
          <w:p>
            <w:pPr>
              <w:pStyle w:val="45"/>
              <w:bidi w:val="0"/>
              <w:rPr>
                <w:rFonts w:hint="default" w:ascii="Times New Roman" w:hAnsi="Times New Roman" w:eastAsia="楷体" w:cs="Times New Roman"/>
                <w:sz w:val="24"/>
                <w:szCs w:val="24"/>
              </w:rPr>
            </w:pPr>
          </w:p>
        </w:tc>
        <w:tc>
          <w:tcPr>
            <w:tcW w:w="1013" w:type="dxa"/>
            <w:vMerge w:val="continue"/>
            <w:noWrap w:val="0"/>
            <w:vAlign w:val="center"/>
          </w:tcPr>
          <w:p>
            <w:pPr>
              <w:pStyle w:val="45"/>
              <w:bidi w:val="0"/>
              <w:rPr>
                <w:rFonts w:hint="default" w:ascii="Times New Roman" w:hAnsi="Times New Roman" w:eastAsia="楷体" w:cs="Times New Roman"/>
                <w:sz w:val="24"/>
                <w:szCs w:val="24"/>
              </w:rPr>
            </w:pPr>
          </w:p>
        </w:tc>
        <w:tc>
          <w:tcPr>
            <w:tcW w:w="831" w:type="dxa"/>
            <w:vMerge w:val="continue"/>
            <w:noWrap/>
            <w:vAlign w:val="center"/>
          </w:tcPr>
          <w:p>
            <w:pPr>
              <w:pStyle w:val="45"/>
              <w:bidi w:val="0"/>
              <w:rPr>
                <w:rFonts w:hint="default" w:ascii="Times New Roman" w:hAnsi="Times New Roman" w:eastAsia="楷体" w:cs="Times New Roman"/>
                <w:sz w:val="24"/>
                <w:szCs w:val="24"/>
              </w:rPr>
            </w:pPr>
          </w:p>
        </w:tc>
        <w:tc>
          <w:tcPr>
            <w:tcW w:w="909" w:type="dxa"/>
            <w:vMerge w:val="continue"/>
            <w:noWrap/>
            <w:vAlign w:val="center"/>
          </w:tcPr>
          <w:p>
            <w:pPr>
              <w:pStyle w:val="45"/>
              <w:bidi w:val="0"/>
              <w:rPr>
                <w:rFonts w:hint="default" w:ascii="Times New Roman" w:hAnsi="Times New Roman" w:eastAsia="楷体" w:cs="Times New Roman"/>
                <w:sz w:val="24"/>
                <w:szCs w:val="24"/>
              </w:rPr>
            </w:pPr>
          </w:p>
        </w:tc>
      </w:tr>
    </w:tbl>
    <w:p>
      <w:pPr>
        <w:pStyle w:val="44"/>
        <w:ind w:left="0" w:leftChars="0" w:firstLine="0" w:firstLineChars="0"/>
        <w:rPr>
          <w:rFonts w:hint="default" w:ascii="Times New Roman" w:hAnsi="Times New Roman" w:eastAsia="仿宋_GB2312" w:cs="Times New Roman"/>
          <w:color w:val="000000"/>
          <w:kern w:val="0"/>
          <w:sz w:val="24"/>
        </w:rPr>
      </w:pPr>
    </w:p>
    <w:p>
      <w:pPr>
        <w:pStyle w:val="44"/>
        <w:ind w:left="0" w:leftChars="0" w:firstLine="0" w:firstLineChars="0"/>
        <w:rPr>
          <w:rFonts w:hint="default" w:ascii="Times New Roman" w:hAnsi="Times New Roman" w:eastAsia="仿宋_GB2312" w:cs="Times New Roman"/>
          <w:color w:val="000000"/>
          <w:kern w:val="0"/>
          <w:sz w:val="24"/>
        </w:rPr>
      </w:pPr>
    </w:p>
    <w:p>
      <w:pPr>
        <w:pStyle w:val="44"/>
        <w:ind w:left="0" w:leftChars="0" w:firstLine="0" w:firstLineChars="0"/>
        <w:rPr>
          <w:rFonts w:hint="default" w:ascii="Times New Roman" w:hAnsi="Times New Roman" w:eastAsia="仿宋_GB2312" w:cs="Times New Roman"/>
          <w:color w:val="000000"/>
          <w:kern w:val="0"/>
          <w:sz w:val="24"/>
        </w:rPr>
        <w:sectPr>
          <w:pgSz w:w="16838" w:h="11906" w:orient="landscape"/>
          <w:pgMar w:top="1803" w:right="1440" w:bottom="1803" w:left="1440" w:header="851" w:footer="992" w:gutter="0"/>
          <w:pgNumType w:fmt="decimal"/>
          <w:cols w:space="0" w:num="1"/>
          <w:rtlGutter w:val="0"/>
          <w:docGrid w:type="lines" w:linePitch="436" w:charSpace="0"/>
        </w:sectPr>
      </w:pPr>
    </w:p>
    <w:p>
      <w:pPr>
        <w:pStyle w:val="5"/>
        <w:bidi w:val="0"/>
        <w:rPr>
          <w:rFonts w:hint="default"/>
        </w:rPr>
      </w:pPr>
      <w:bookmarkStart w:id="68" w:name="_Toc17651"/>
      <w:bookmarkStart w:id="69" w:name="_Toc14956"/>
      <w:r>
        <w:rPr>
          <w:rFonts w:hint="default"/>
        </w:rPr>
        <w:t>表</w:t>
      </w:r>
      <w:r>
        <w:rPr>
          <w:rFonts w:hint="eastAsia"/>
          <w:lang w:val="en-US" w:eastAsia="zh-CN"/>
        </w:rPr>
        <w:t>3</w:t>
      </w:r>
      <w:r>
        <w:rPr>
          <w:rFonts w:hint="default"/>
        </w:rPr>
        <w:t xml:space="preserve"> </w:t>
      </w:r>
      <w:r>
        <w:rPr>
          <w:rFonts w:hint="eastAsia"/>
          <w:lang w:eastAsia="zh-CN"/>
        </w:rPr>
        <w:t>一般生态空间调出情况</w:t>
      </w:r>
      <w:bookmarkEnd w:id="68"/>
      <w:bookmarkEnd w:id="69"/>
    </w:p>
    <w:tbl>
      <w:tblPr>
        <w:tblStyle w:val="23"/>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6"/>
        <w:gridCol w:w="2691"/>
        <w:gridCol w:w="2691"/>
        <w:gridCol w:w="2691"/>
        <w:gridCol w:w="2691"/>
        <w:gridCol w:w="2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调出类项</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调出面积（km</w:t>
            </w:r>
            <w:r>
              <w:rPr>
                <w:rStyle w:val="49"/>
                <w:lang w:val="en-US" w:eastAsia="zh-CN" w:bidi="ar"/>
              </w:rPr>
              <w:t>2</w:t>
            </w:r>
            <w:r>
              <w:rPr>
                <w:rFonts w:hint="eastAsia" w:ascii="仿宋" w:hAnsi="仿宋" w:eastAsia="仿宋" w:cs="仿宋"/>
                <w:b/>
                <w:bCs/>
                <w:i w:val="0"/>
                <w:iCs w:val="0"/>
                <w:color w:val="000000"/>
                <w:kern w:val="0"/>
                <w:sz w:val="24"/>
                <w:szCs w:val="24"/>
                <w:u w:val="none"/>
                <w:lang w:val="en-US" w:eastAsia="zh-CN" w:bidi="ar"/>
              </w:rPr>
              <w:t>）</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调出原因</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城镇开发边界</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城镇开发边界</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0.22</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衔接城镇开发边界对一般生态空间边界进行优化调整</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《梅州市国土空间总体规划（2021-2035年）》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9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规划开采区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梅县区白渡镇峰溪村上溪口花岗岩开采规划区块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1.73</w:t>
            </w:r>
          </w:p>
        </w:tc>
        <w:tc>
          <w:tcPr>
            <w:tcW w:w="9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衔接规划开采区对一般生态空间边界进行优化调整</w:t>
            </w:r>
          </w:p>
        </w:tc>
        <w:tc>
          <w:tcPr>
            <w:tcW w:w="9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《梅州市矿产资源总体规划（2021－2025年）》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梅州市梅县区裕顺石场建筑用花岗岩开采规划区块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梅县区南口镇洋塘村和瑶上村开采规划区块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梅州市梅县区畲江镇双溪村建筑石场花岗岩开采规划区块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梅州市梅县区水车镇淮洞乌石顶建筑用花岗岩开采规划区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梅州市梅县区雁洋永福石盘下石场建筑用花岗岩开采规划</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梅州市九龙山矿泉饮料有限公司</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梅州市梅县区丙村镇龙骨坑石场建筑用花岗岩开采规划区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梅州市梅县区畲江镇径义石场花岗岩开采规划区块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梅县区丙村三宝石场开采区块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梅州市梅县区松南理石厂开采规划区块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梅州市梅县区隆文镇岩前李广荣石场开采规划区块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梅县区城东县祥石场和长寿石场开采规划区块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梅州市梅县区白渡春生石场建筑用花岗岩开采规划区块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梅州市梅雁矿业有限公司嵩溪锑银矿</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梅州市松源铁坑铁矿有限公司铁坑坳铁矿</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广东金雁工业集团有限公司玉水硫铜矿</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梅州市梅县区雁洋矿业有限公司对坑石灰岩矿开采规划区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0.00003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梅县华银矿业有限公司梅县宝坑铁锰矿</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0.00001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梅州市梅县区泰龙发展有限公司隆文铁矿</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0.000003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兴宁市守元矿业有限公司军营高岭土矿分公司</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广州市顺安建设股份有限公司兴宁市白牙山石场建筑用花岗岩开采规划区块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兴宁市石马镇马下村石场建筑用花岗岩开采规划区块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广东省平远县象牙矿区稀土</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广东省平远县肥田稀土矿</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热柘韩坑村大岌背矿区水泥用粘土矿</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平远县绿叶天然食品有限公司热柘礤上矿泉水厂</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0.00005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文福建筑用花岗岩水泥用石灰岩开采规划区块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广东省蕉岭县广福镇大理岩矿</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蕉岭县兴福镇堑垣黄泥坑石场开采规划区块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蕉岭县文福镇牛角坑石场开采规划区块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蕉岭县瑶背坑矿区水泥用石灰岩开采规划区块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蕉岭县三圳镇横龙石场开采规划区块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蕉岭金鹏精细化工有限公司广福大理石场开采规划区块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广福建材（蕉岭）精化有限公司广福石场开采规划区块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蕉岭县长潭镇番豆窝建筑用花岗岩开采规划区块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0.000002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蕉岭县文福坑头叮当石场有限公司开采规划区块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0.0000004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蕉岭县文福镇白湖新娘山石场开采规划区块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0.0000003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蕉岭皇马矿业有限公司石灰坑石场开采规划区块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0.00000004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蕉岭县菜子窝钾长石有限公司</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4.00E-10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蕉岭县文福镇坑头罗石坳采石场开采规划区块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4.00E-10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梅州市振奋矿业有限公司高陂镇洋子湖井坑尾瓷土矿扩大</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大埔县桃源镇洋济岗瓷土场拟扩大区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大麻镇敬里建筑用花岗岩开采规划区块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大埔县银江胜坑辉绿岩矿开采规划区块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大埔县展江矿业有限公司雷公岭石场扩大区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大埔县银江河口建筑石料矿区（新设）</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大埔县利宝鑫建筑工程有限公司光德石场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梅州市大埔县大麻镇恭洲石场建筑用花岗岩开采规划区块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大埔县西河银湖辉绿岩矿区（新设）</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大埔县茶阳镇群丰石场拟扩大区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西河镇乌石坪辉绿岩矿二期</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梅州市大埔县高陂镇三洲村寮子前石场建筑用花岗岩开采</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梅州市大埔县高陂镇培美石场建筑用花岗岩开采规划区块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梅州富华矿业有限公司大埔县枫朗镇出水科陶瓷土矿扩大</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大埔县大麻镇中兰建筑用砂岩矿区（新设）</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大埔县茶阳镇东心坑建筑用砂岩矿（新设）</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大埔县九龙金秋有限公司高陂九龙石场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大埔县九龙金秋有限公司高陂九龙石场拟扩大区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梅州市宏宝矿业有限公司平原三环瓷土矿扩大区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梅州市大埔县光德石场建筑用花岗岩开采规划区块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大埔县百侯镇旧寨建筑用花岗岩开采规划区块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梅州市大埔县银江镇冠山石场建筑用花岗岩开采规划区块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梅州市大埔县九龙金秋有限公司高陂九龙石场建筑用花岗岩开采规划区块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大埔县茶阳镇群丰石场建筑用花岗岩开采规划区块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梅州市大埔县大麻镇中兰村梅子窝石场建筑用砂岩矿开采规划区块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梅州市大埔县雷公岭石场建筑用花岗岩开采规划区块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大埔县高陂镇赤山建筑用花岗岩开采规划区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丰顺县汤坑镇东联上村下眼洋建筑用凝灰岩开采规划区块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广东省丰顺县尖笔岽铜铅锌矿规划开采区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丰顺金宿石材实业有限公司汤西石湖村综合石场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梅州市砂田镇占上村打輋坑梅州市浩源矿业有限公司</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丰顺县留隍田坫建筑用流纹岩开采规划区块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梅州市永宏昌矿业有限公司丰顺小胜田背石场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丰顺县泰和瓷业有限公司下南牛湖寮瓷土场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丰顺县富兴建材有限公司潘田镇建兴石场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丰顺县恒誉矿业有限公司小胜镇丹竹坑瓷土场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梅州深丰矿业发展有限公司大龙华罗洋石场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梅州市顺鹏石业有限公司留隍金岗栅子肚石场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丰顺县福山实业有限公司丰良大坑山综合石场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丰顺县潭江镇安顺兴石场有限公司</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五华县长布镇樟村村陶瓷土开采规划区块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五华县周江镇新良村跑坑里建筑用花岗岩矿开采规划区块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梅州市五华县河东镇深肚建筑用花岗岩开采规划区块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五华县华神矿业有限公司潭下高岭土</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梅州市五华县潭下镇竹梅村饰面用花岗岩开采规划区块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梅州市五华县横陂增大饰面用花岗岩开采规划区块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0.44</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横陂镇贵人村拟设矿区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梅州市五华县近江黄峰嶂建筑用花岗岩开采规划区块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0.35</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梅州市五华县横陂镇锡坑建筑用花岗岩开采规划区块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0.11</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梅州市五华县双头石场建筑用花岗岩开采规划区块</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0.06</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百岁山（梅州）饮料有限公司五华莲花山矿泉水</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0.02</w:t>
            </w: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950"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重点项目</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骏珲公司富硒茶叶种植及深加工项目</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0.003</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梅州市省级现代农业示范区建设项目投资计划的批复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广顺海牛场项目</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0.001</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林权证、林地审核同意书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绿叶矿泉水</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0.0003</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项目备案证、采矿证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大埔县城工业小区基础设施建设项目（二期）</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2.12</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关于印发国民经济和社会发展十四五规划和2035年远景目标纲要通知（埔府〔2021〕46号）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大埔县三河工业园二期</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0.22</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关于印发国民经济和社会发展十四五规划和2035年远景目标纲要通知（埔府〔2021〕46号）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长教弃土场项目</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0.11</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《大埔县人民政府关于同意建设建筑渣土收纳及废物综合利用项目的批复》（埔府函[2021]20号）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大埔县湖寮镇莒村村建筑垃圾弃土场</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0.02</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《关于印发国民经济和社会发展十四五规划和2035年远景目标纲要通知》（埔府〔2021〕46号）、项目发改立项批复、项目用地与选址意见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大埔县新建病死畜禽无害化收集处理中心项目</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0.03</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关于印发国民经济和社会发展十四五规划和2035年远景目标纲要通知（埔府〔2021〕46号）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大埔县洲瑞镇产业升级服务设施建设项目</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0.01</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《大埔县人民政府关于同意建设建筑渣土收纳及废物综合利用项目的批复》（埔府函[2021]20号）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大埔县桃源镇飞马峰茶叶示范基地建设工程</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0.01</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《大埔县人民政府关于同意实施大埔县建筑淤泥渣土收纳场及建筑垃圾综合处理环保项目的批复》（埔府函[2021]21号）、用地预审与选址意见书、使用林地审核同意书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950" w:type="pct"/>
            <w:vMerge w:val="continue"/>
            <w:tcBorders>
              <w:left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梅州市瑞山天泉客菜中央厨房预制菜项目</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0.001</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项目备案证、县政府出具的土地征收预公告（大埔县2023年第2批次征收土地启动公告）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105</w:t>
            </w:r>
          </w:p>
        </w:tc>
        <w:tc>
          <w:tcPr>
            <w:tcW w:w="950"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高畲村烟花爆竹仓库</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0.01</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26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企业投资项目备案证、拟用地影像图、镇域经济发展重点项目证明文件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214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合计</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44.29</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bl>
    <w:p>
      <w:pPr>
        <w:pStyle w:val="44"/>
        <w:ind w:left="0" w:leftChars="0" w:firstLine="0" w:firstLineChars="0"/>
        <w:rPr>
          <w:rFonts w:hint="default"/>
          <w:color w:val="FF0000"/>
          <w:sz w:val="24"/>
          <w:szCs w:val="21"/>
          <w:lang w:val="en-US" w:eastAsia="zh-CN"/>
        </w:rPr>
        <w:sectPr>
          <w:pgSz w:w="16838" w:h="11906" w:orient="landscape"/>
          <w:pgMar w:top="1800" w:right="1440" w:bottom="1800" w:left="1440" w:header="851" w:footer="992" w:gutter="0"/>
          <w:pgNumType w:fmt="decimal"/>
          <w:cols w:space="720" w:num="1"/>
          <w:docGrid w:type="lines" w:linePitch="312" w:charSpace="0"/>
        </w:sectPr>
      </w:pPr>
    </w:p>
    <w:p>
      <w:pPr>
        <w:pStyle w:val="5"/>
        <w:bidi w:val="0"/>
        <w:rPr>
          <w:rFonts w:hint="default"/>
          <w:lang w:val="en-US" w:eastAsia="zh-CN"/>
        </w:rPr>
      </w:pPr>
      <w:bookmarkStart w:id="70" w:name="_Toc15363"/>
      <w:bookmarkStart w:id="71" w:name="_Toc14217"/>
      <w:r>
        <w:rPr>
          <w:rFonts w:hint="default"/>
        </w:rPr>
        <w:t>表</w:t>
      </w:r>
      <w:r>
        <w:rPr>
          <w:rFonts w:hint="eastAsia"/>
          <w:lang w:val="en-US" w:eastAsia="zh-CN"/>
        </w:rPr>
        <w:t>4</w:t>
      </w:r>
      <w:r>
        <w:rPr>
          <w:rFonts w:hint="default"/>
        </w:rPr>
        <w:t xml:space="preserve"> </w:t>
      </w:r>
      <w:r>
        <w:rPr>
          <w:rFonts w:hint="eastAsia"/>
          <w:lang w:eastAsia="zh-CN"/>
        </w:rPr>
        <w:t>一般生态空间调入情况</w:t>
      </w:r>
      <w:bookmarkEnd w:id="70"/>
      <w:bookmarkEnd w:id="7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2093"/>
        <w:gridCol w:w="1436"/>
        <w:gridCol w:w="1644"/>
        <w:gridCol w:w="4368"/>
        <w:gridCol w:w="4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rPr>
              <w:t>序号</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rPr>
              <w:t>调入类项</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rPr>
              <w:t>名称</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rPr>
              <w:t>调入面积（km</w:t>
            </w:r>
            <w:r>
              <w:rPr>
                <w:rFonts w:hint="eastAsia" w:ascii="仿宋" w:hAnsi="仿宋" w:eastAsia="仿宋" w:cs="仿宋"/>
                <w:b/>
                <w:bCs/>
                <w:sz w:val="24"/>
                <w:szCs w:val="24"/>
                <w:vertAlign w:val="superscript"/>
              </w:rPr>
              <w:t>2</w:t>
            </w:r>
            <w:r>
              <w:rPr>
                <w:rFonts w:hint="eastAsia" w:ascii="仿宋" w:hAnsi="仿宋" w:eastAsia="仿宋" w:cs="仿宋"/>
                <w:b/>
                <w:bCs/>
                <w:sz w:val="24"/>
                <w:szCs w:val="24"/>
              </w:rPr>
              <w:t>）</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rPr>
              <w:t>调入原因</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b/>
                <w:bCs/>
                <w:sz w:val="24"/>
                <w:szCs w:val="24"/>
              </w:rPr>
            </w:pPr>
            <w:r>
              <w:rPr>
                <w:rFonts w:hint="eastAsia" w:ascii="仿宋" w:hAnsi="仿宋" w:eastAsia="仿宋" w:cs="仿宋"/>
                <w:b/>
                <w:bCs/>
                <w:sz w:val="24"/>
                <w:szCs w:val="24"/>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原生态保护红线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原生态保护红线</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243.</w:t>
            </w:r>
            <w:r>
              <w:rPr>
                <w:rFonts w:hint="eastAsia" w:ascii="仿宋" w:hAnsi="仿宋" w:eastAsia="仿宋" w:cs="仿宋"/>
                <w:sz w:val="24"/>
                <w:szCs w:val="24"/>
                <w:lang w:val="en-US" w:eastAsia="zh-CN"/>
              </w:rPr>
              <w:t>48</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根据技术要求优先将原红线调出区域纳入一般生态空间</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《梅州市国土空间总体规划（2021-2035年）》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rPr>
              <w:t>国土空间规划生态控制区</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生态控制区</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lang w:val="en-US" w:eastAsia="zh-CN"/>
              </w:rPr>
            </w:pPr>
            <w:r>
              <w:rPr>
                <w:rFonts w:hint="default" w:ascii="仿宋" w:hAnsi="仿宋" w:eastAsia="仿宋" w:cs="仿宋"/>
                <w:sz w:val="24"/>
                <w:lang w:val="en-US" w:eastAsia="zh-CN"/>
              </w:rPr>
              <w:t>179.1</w:t>
            </w:r>
            <w:r>
              <w:rPr>
                <w:rFonts w:hint="eastAsia" w:ascii="仿宋" w:hAnsi="仿宋" w:eastAsia="仿宋" w:cs="仿宋"/>
                <w:sz w:val="24"/>
                <w:lang w:val="en-US" w:eastAsia="zh-CN"/>
              </w:rPr>
              <w:t>9</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因一般生态空间面积“占补平衡”，调入一般生态空间</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lang w:val="en-US" w:eastAsia="zh-CN"/>
              </w:rPr>
              <w:t>《梅州市国土空间总体规划（2021-2035年）》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rPr>
            </w:pPr>
            <w:r>
              <w:rPr>
                <w:rFonts w:hint="eastAsia" w:ascii="仿宋" w:hAnsi="仿宋" w:eastAsia="仿宋" w:cs="仿宋"/>
                <w:sz w:val="24"/>
                <w:szCs w:val="24"/>
              </w:rPr>
              <w:t>合计</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default" w:ascii="仿宋" w:hAnsi="仿宋" w:eastAsia="仿宋" w:cs="仿宋"/>
                <w:sz w:val="24"/>
                <w:szCs w:val="24"/>
                <w:lang w:val="en-US" w:eastAsia="zh-CN"/>
              </w:rPr>
            </w:pPr>
            <w:r>
              <w:rPr>
                <w:rFonts w:hint="eastAsia" w:ascii="仿宋" w:hAnsi="仿宋" w:eastAsia="仿宋" w:cs="仿宋"/>
                <w:sz w:val="24"/>
                <w:lang w:val="en-US" w:eastAsia="zh-CN"/>
              </w:rPr>
              <w:t>422.67</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pPr>
              <w:pStyle w:val="45"/>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r>
    </w:tbl>
    <w:p>
      <w:pPr>
        <w:rPr>
          <w:rFonts w:hint="eastAsia" w:eastAsia="黑体"/>
          <w:sz w:val="28"/>
          <w:szCs w:val="28"/>
        </w:rPr>
      </w:pPr>
      <w:r>
        <w:rPr>
          <w:rFonts w:hint="eastAsia" w:eastAsia="黑体"/>
          <w:sz w:val="28"/>
          <w:szCs w:val="28"/>
        </w:rPr>
        <w:br w:type="page"/>
      </w:r>
    </w:p>
    <w:p>
      <w:pPr>
        <w:pStyle w:val="5"/>
        <w:bidi w:val="0"/>
      </w:pPr>
      <w:bookmarkStart w:id="72" w:name="_Toc16261"/>
      <w:r>
        <w:rPr>
          <w:rFonts w:hint="eastAsia"/>
        </w:rPr>
        <w:t>表</w:t>
      </w:r>
      <w:r>
        <w:rPr>
          <w:rFonts w:hint="eastAsia"/>
          <w:lang w:val="en-US" w:eastAsia="zh-CN"/>
        </w:rPr>
        <w:t>5</w:t>
      </w:r>
      <w:r>
        <w:t xml:space="preserve"> </w:t>
      </w:r>
      <w:r>
        <w:rPr>
          <w:rFonts w:hint="eastAsia"/>
          <w:lang w:val="en-US" w:eastAsia="zh-CN"/>
        </w:rPr>
        <w:t xml:space="preserve"> </w:t>
      </w:r>
      <w:r>
        <w:t>2025</w:t>
      </w:r>
      <w:r>
        <w:rPr>
          <w:rFonts w:hint="eastAsia"/>
        </w:rPr>
        <w:t>年水环境管控分区水质目标更新调整情况</w:t>
      </w:r>
      <w:bookmarkEnd w:id="72"/>
    </w:p>
    <w:tbl>
      <w:tblPr>
        <w:tblStyle w:val="23"/>
        <w:tblW w:w="5000" w:type="pct"/>
        <w:jc w:val="center"/>
        <w:tblLayout w:type="fixed"/>
        <w:tblCellMar>
          <w:top w:w="0" w:type="dxa"/>
          <w:left w:w="108" w:type="dxa"/>
          <w:bottom w:w="0" w:type="dxa"/>
          <w:right w:w="108" w:type="dxa"/>
        </w:tblCellMar>
      </w:tblPr>
      <w:tblGrid>
        <w:gridCol w:w="738"/>
        <w:gridCol w:w="2324"/>
        <w:gridCol w:w="3252"/>
        <w:gridCol w:w="1394"/>
        <w:gridCol w:w="1860"/>
        <w:gridCol w:w="1547"/>
        <w:gridCol w:w="2472"/>
        <w:gridCol w:w="587"/>
      </w:tblGrid>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b/>
                <w:bCs/>
                <w:sz w:val="24"/>
              </w:rPr>
            </w:pPr>
            <w:r>
              <w:rPr>
                <w:rFonts w:hint="eastAsia" w:ascii="仿宋" w:hAnsi="仿宋" w:eastAsia="仿宋" w:cs="仿宋"/>
                <w:b/>
                <w:bCs/>
                <w:sz w:val="24"/>
              </w:rPr>
              <w:t>序号</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b/>
                <w:bCs/>
                <w:sz w:val="24"/>
              </w:rPr>
            </w:pPr>
            <w:r>
              <w:rPr>
                <w:rFonts w:hint="eastAsia" w:ascii="仿宋" w:hAnsi="仿宋" w:eastAsia="仿宋" w:cs="仿宋"/>
                <w:b/>
                <w:bCs/>
                <w:sz w:val="24"/>
              </w:rPr>
              <w:t>水环境管控</w:t>
            </w:r>
          </w:p>
          <w:p>
            <w:pPr>
              <w:spacing w:line="300" w:lineRule="exact"/>
              <w:jc w:val="center"/>
              <w:rPr>
                <w:rFonts w:hint="eastAsia" w:ascii="仿宋" w:hAnsi="仿宋" w:eastAsia="仿宋" w:cs="仿宋"/>
                <w:b/>
                <w:bCs/>
                <w:sz w:val="24"/>
              </w:rPr>
            </w:pPr>
            <w:r>
              <w:rPr>
                <w:rFonts w:hint="eastAsia" w:ascii="仿宋" w:hAnsi="仿宋" w:eastAsia="仿宋" w:cs="仿宋"/>
                <w:b/>
                <w:bCs/>
                <w:sz w:val="24"/>
              </w:rPr>
              <w:t>分区编码</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b/>
                <w:bCs/>
                <w:sz w:val="24"/>
              </w:rPr>
            </w:pPr>
            <w:r>
              <w:rPr>
                <w:rFonts w:hint="eastAsia" w:ascii="仿宋" w:hAnsi="仿宋" w:eastAsia="仿宋" w:cs="仿宋"/>
                <w:b/>
                <w:bCs/>
                <w:sz w:val="24"/>
              </w:rPr>
              <w:t>水环境管控</w:t>
            </w:r>
          </w:p>
          <w:p>
            <w:pPr>
              <w:spacing w:line="300" w:lineRule="exact"/>
              <w:jc w:val="center"/>
              <w:rPr>
                <w:rFonts w:hint="eastAsia" w:ascii="仿宋" w:hAnsi="仿宋" w:eastAsia="仿宋" w:cs="仿宋"/>
                <w:b/>
                <w:bCs/>
                <w:sz w:val="24"/>
              </w:rPr>
            </w:pPr>
            <w:r>
              <w:rPr>
                <w:rFonts w:hint="eastAsia" w:ascii="仿宋" w:hAnsi="仿宋" w:eastAsia="仿宋" w:cs="仿宋"/>
                <w:b/>
                <w:bCs/>
                <w:sz w:val="24"/>
              </w:rPr>
              <w:t>分区名称</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b/>
                <w:bCs/>
                <w:sz w:val="24"/>
              </w:rPr>
            </w:pPr>
            <w:r>
              <w:rPr>
                <w:rFonts w:hint="eastAsia" w:ascii="仿宋" w:hAnsi="仿宋" w:eastAsia="仿宋" w:cs="仿宋"/>
                <w:b/>
                <w:bCs/>
                <w:sz w:val="24"/>
              </w:rPr>
              <w:t>原2025年</w:t>
            </w:r>
          </w:p>
          <w:p>
            <w:pPr>
              <w:spacing w:line="300" w:lineRule="exact"/>
              <w:jc w:val="center"/>
              <w:rPr>
                <w:rFonts w:hint="eastAsia" w:ascii="仿宋" w:hAnsi="仿宋" w:eastAsia="仿宋" w:cs="仿宋"/>
                <w:b/>
                <w:bCs/>
                <w:sz w:val="24"/>
              </w:rPr>
            </w:pPr>
            <w:r>
              <w:rPr>
                <w:rFonts w:hint="eastAsia" w:ascii="仿宋" w:hAnsi="仿宋" w:eastAsia="仿宋" w:cs="仿宋"/>
                <w:b/>
                <w:bCs/>
                <w:sz w:val="24"/>
              </w:rPr>
              <w:t>水质目标</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b/>
                <w:bCs/>
                <w:sz w:val="24"/>
              </w:rPr>
            </w:pPr>
            <w:r>
              <w:rPr>
                <w:rFonts w:hint="eastAsia" w:ascii="仿宋" w:hAnsi="仿宋" w:eastAsia="仿宋" w:cs="仿宋"/>
                <w:b/>
                <w:bCs/>
                <w:sz w:val="24"/>
              </w:rPr>
              <w:t>调整后2025年</w:t>
            </w:r>
          </w:p>
          <w:p>
            <w:pPr>
              <w:spacing w:line="300" w:lineRule="exact"/>
              <w:jc w:val="center"/>
              <w:rPr>
                <w:rFonts w:hint="eastAsia" w:ascii="仿宋" w:hAnsi="仿宋" w:eastAsia="仿宋" w:cs="仿宋"/>
                <w:b/>
                <w:bCs/>
                <w:sz w:val="24"/>
              </w:rPr>
            </w:pPr>
            <w:r>
              <w:rPr>
                <w:rFonts w:hint="eastAsia" w:ascii="仿宋" w:hAnsi="仿宋" w:eastAsia="仿宋" w:cs="仿宋"/>
                <w:b/>
                <w:bCs/>
                <w:sz w:val="24"/>
              </w:rPr>
              <w:t>水质目标</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b/>
                <w:bCs/>
                <w:sz w:val="24"/>
              </w:rPr>
            </w:pPr>
            <w:r>
              <w:rPr>
                <w:rFonts w:hint="eastAsia" w:ascii="仿宋" w:hAnsi="仿宋" w:eastAsia="仿宋" w:cs="仿宋"/>
                <w:b/>
                <w:bCs/>
                <w:sz w:val="24"/>
              </w:rPr>
              <w:t>断面名称</w:t>
            </w:r>
          </w:p>
        </w:tc>
        <w:tc>
          <w:tcPr>
            <w:tcW w:w="872"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b/>
                <w:bCs/>
                <w:sz w:val="24"/>
              </w:rPr>
            </w:pPr>
            <w:r>
              <w:rPr>
                <w:rFonts w:hint="eastAsia" w:ascii="仿宋" w:hAnsi="仿宋" w:eastAsia="仿宋" w:cs="仿宋"/>
                <w:b/>
                <w:bCs/>
                <w:sz w:val="24"/>
              </w:rPr>
              <w:t>依据</w:t>
            </w: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b/>
                <w:bCs/>
                <w:sz w:val="24"/>
              </w:rPr>
            </w:pPr>
            <w:r>
              <w:rPr>
                <w:rFonts w:hint="eastAsia" w:ascii="仿宋" w:hAnsi="仿宋" w:eastAsia="仿宋" w:cs="仿宋"/>
                <w:b/>
                <w:bCs/>
                <w:sz w:val="24"/>
              </w:rPr>
              <w:t>备注</w:t>
            </w:r>
          </w:p>
        </w:tc>
      </w:tr>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1</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YS4414021210001</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清凉山水库梅州市长沙镇-西阳镇-三角镇控制单元</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Ⅲ类</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Ⅱ类</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清凉山水库</w:t>
            </w:r>
          </w:p>
        </w:tc>
        <w:tc>
          <w:tcPr>
            <w:tcW w:w="872" w:type="pct"/>
            <w:vMerge w:val="restart"/>
            <w:tcBorders>
              <w:top w:val="single" w:color="000000" w:sz="4" w:space="0"/>
              <w:left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省厅下达的“十四五”梅州市国考省考断面水质考核目标</w:t>
            </w: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w:t>
            </w:r>
          </w:p>
        </w:tc>
      </w:tr>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2</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YS4414223210003</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韩江干流梅州市大麻镇-三河镇控制单元</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Ⅲ类</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Ⅱ类</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大麻</w:t>
            </w:r>
          </w:p>
        </w:tc>
        <w:tc>
          <w:tcPr>
            <w:tcW w:w="872" w:type="pct"/>
            <w:vMerge w:val="continue"/>
            <w:tcBorders>
              <w:left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w:t>
            </w:r>
          </w:p>
        </w:tc>
      </w:tr>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3</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YS4414813210005</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琴江干流梅州市水口镇控制单元</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Ⅲ类</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Ⅱ类</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水口英勤</w:t>
            </w:r>
          </w:p>
        </w:tc>
        <w:tc>
          <w:tcPr>
            <w:tcW w:w="872" w:type="pct"/>
            <w:vMerge w:val="continue"/>
            <w:tcBorders>
              <w:left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w:t>
            </w:r>
          </w:p>
        </w:tc>
      </w:tr>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4</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YS4414243210001</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琴江干流梅州市郭田镇-河东镇-水寨镇控制单元</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Ⅲ类</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Ⅱ类</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水口英勤</w:t>
            </w:r>
          </w:p>
        </w:tc>
        <w:tc>
          <w:tcPr>
            <w:tcW w:w="872" w:type="pct"/>
            <w:vMerge w:val="continue"/>
            <w:tcBorders>
              <w:left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r>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5</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YS4414223210011</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梅潭河梅州市湖寮镇-三河镇控制单元</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Ⅲ类</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Ⅱ类</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五丰渡口</w:t>
            </w:r>
          </w:p>
        </w:tc>
        <w:tc>
          <w:tcPr>
            <w:tcW w:w="872" w:type="pct"/>
            <w:vMerge w:val="continue"/>
            <w:tcBorders>
              <w:left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w:t>
            </w:r>
          </w:p>
        </w:tc>
      </w:tr>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6</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YS4414223210012</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梅潭河梅州市西河镇-湖寮镇控制单元</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Ⅲ类</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Ⅱ类</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五丰渡口</w:t>
            </w:r>
          </w:p>
        </w:tc>
        <w:tc>
          <w:tcPr>
            <w:tcW w:w="872" w:type="pct"/>
            <w:vMerge w:val="continue"/>
            <w:tcBorders>
              <w:left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r>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bookmarkStart w:id="73" w:name="_Toc28285"/>
            <w:bookmarkStart w:id="74" w:name="_Toc26327"/>
            <w:r>
              <w:rPr>
                <w:rFonts w:hint="eastAsia" w:ascii="仿宋" w:hAnsi="仿宋" w:eastAsia="仿宋" w:cs="仿宋"/>
                <w:sz w:val="24"/>
                <w:lang w:val="en-US" w:eastAsia="zh-CN"/>
              </w:rPr>
              <w:t>7</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YS4414263210005</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程江梅州市石正镇-大柘镇控制单元</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Ⅲ类</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Ⅱ类</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热柘</w:t>
            </w:r>
          </w:p>
        </w:tc>
        <w:tc>
          <w:tcPr>
            <w:tcW w:w="872" w:type="pct"/>
            <w:vMerge w:val="continue"/>
            <w:tcBorders>
              <w:left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r>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8</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YS4414023210006</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程江梅州市城北镇-西郊街道控制单元</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eastAsia="zh-CN"/>
              </w:rPr>
              <w:t>Ⅴ</w:t>
            </w:r>
            <w:r>
              <w:rPr>
                <w:rFonts w:hint="eastAsia" w:ascii="仿宋" w:hAnsi="仿宋" w:eastAsia="仿宋" w:cs="仿宋"/>
                <w:sz w:val="24"/>
              </w:rPr>
              <w:t>类</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Ⅳ类</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程江</w:t>
            </w:r>
          </w:p>
        </w:tc>
        <w:tc>
          <w:tcPr>
            <w:tcW w:w="872" w:type="pct"/>
            <w:vMerge w:val="continue"/>
            <w:tcBorders>
              <w:left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r>
      <w:tr>
        <w:tblPrEx>
          <w:tblCellMar>
            <w:top w:w="0" w:type="dxa"/>
            <w:left w:w="108" w:type="dxa"/>
            <w:bottom w:w="0" w:type="dxa"/>
            <w:right w:w="108" w:type="dxa"/>
          </w:tblCellMar>
        </w:tblPrEx>
        <w:trPr>
          <w:trHeight w:val="23" w:hRule="atLeast"/>
          <w:jc w:val="center"/>
        </w:trPr>
        <w:tc>
          <w:tcPr>
            <w:tcW w:w="260"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9</w:t>
            </w:r>
          </w:p>
        </w:tc>
        <w:tc>
          <w:tcPr>
            <w:tcW w:w="819"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YS4414273210005</w:t>
            </w:r>
          </w:p>
        </w:tc>
        <w:tc>
          <w:tcPr>
            <w:tcW w:w="1147"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石窟河梅州市新铺镇控制单元</w:t>
            </w:r>
          </w:p>
        </w:tc>
        <w:tc>
          <w:tcPr>
            <w:tcW w:w="491"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Ⅲ类</w:t>
            </w:r>
          </w:p>
        </w:tc>
        <w:tc>
          <w:tcPr>
            <w:tcW w:w="656"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rPr>
              <w:t>Ⅱ类</w:t>
            </w:r>
          </w:p>
        </w:tc>
        <w:tc>
          <w:tcPr>
            <w:tcW w:w="545" w:type="pct"/>
            <w:tcBorders>
              <w:top w:val="single" w:color="000000" w:sz="4" w:space="0"/>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新铺（白渡沙坪）</w:t>
            </w:r>
          </w:p>
        </w:tc>
        <w:tc>
          <w:tcPr>
            <w:tcW w:w="872" w:type="pct"/>
            <w:vMerge w:val="continue"/>
            <w:tcBorders>
              <w:left w:val="single" w:color="000000" w:sz="4" w:space="0"/>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c>
          <w:tcPr>
            <w:tcW w:w="207" w:type="pct"/>
            <w:tcBorders>
              <w:top w:val="single" w:color="000000" w:sz="4" w:space="0"/>
              <w:left w:val="nil"/>
              <w:bottom w:val="single" w:color="000000" w:sz="4" w:space="0"/>
              <w:right w:val="single" w:color="000000" w:sz="4" w:space="0"/>
            </w:tcBorders>
            <w:noWrap/>
            <w:vAlign w:val="center"/>
          </w:tcPr>
          <w:p>
            <w:pPr>
              <w:spacing w:line="300" w:lineRule="exact"/>
              <w:jc w:val="center"/>
              <w:rPr>
                <w:rFonts w:hint="eastAsia" w:ascii="仿宋" w:hAnsi="仿宋" w:eastAsia="仿宋" w:cs="仿宋"/>
                <w:sz w:val="24"/>
              </w:rPr>
            </w:pPr>
          </w:p>
        </w:tc>
      </w:tr>
    </w:tbl>
    <w:p>
      <w:pPr>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rPr>
        <w:br w:type="page"/>
      </w:r>
    </w:p>
    <w:p>
      <w:pPr>
        <w:pStyle w:val="5"/>
        <w:bidi w:val="0"/>
        <w:rPr>
          <w:rFonts w:hint="default"/>
        </w:rPr>
      </w:pPr>
      <w:bookmarkStart w:id="75" w:name="_Toc9675"/>
      <w:r>
        <w:rPr>
          <w:rFonts w:hint="default"/>
        </w:rPr>
        <w:t>表6 水环境管控分区动态更新情况</w:t>
      </w:r>
      <w:bookmarkEnd w:id="73"/>
      <w:bookmarkEnd w:id="74"/>
      <w:bookmarkEnd w:id="75"/>
    </w:p>
    <w:tbl>
      <w:tblPr>
        <w:tblStyle w:val="23"/>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0"/>
        <w:gridCol w:w="862"/>
        <w:gridCol w:w="805"/>
        <w:gridCol w:w="780"/>
        <w:gridCol w:w="630"/>
        <w:gridCol w:w="715"/>
        <w:gridCol w:w="610"/>
        <w:gridCol w:w="8001"/>
        <w:gridCol w:w="10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04"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line="30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序号</w:t>
            </w:r>
          </w:p>
        </w:tc>
        <w:tc>
          <w:tcPr>
            <w:tcW w:w="992"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line="30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更新前</w:t>
            </w:r>
          </w:p>
        </w:tc>
        <w:tc>
          <w:tcPr>
            <w:tcW w:w="818"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line="30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更新后</w:t>
            </w:r>
          </w:p>
        </w:tc>
        <w:tc>
          <w:tcPr>
            <w:tcW w:w="2478"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更新原因</w:t>
            </w:r>
          </w:p>
        </w:tc>
        <w:tc>
          <w:tcPr>
            <w:tcW w:w="40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04"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b/>
                <w:color w:val="000000"/>
                <w:sz w:val="24"/>
                <w:szCs w:val="24"/>
              </w:rPr>
            </w:pPr>
          </w:p>
        </w:tc>
        <w:tc>
          <w:tcPr>
            <w:tcW w:w="34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8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类型</w:t>
            </w:r>
          </w:p>
        </w:tc>
        <w:tc>
          <w:tcPr>
            <w:tcW w:w="3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8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编码</w:t>
            </w:r>
          </w:p>
        </w:tc>
        <w:tc>
          <w:tcPr>
            <w:tcW w:w="3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8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名称</w:t>
            </w:r>
          </w:p>
        </w:tc>
        <w:tc>
          <w:tcPr>
            <w:tcW w:w="2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8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类型</w:t>
            </w:r>
          </w:p>
        </w:tc>
        <w:tc>
          <w:tcPr>
            <w:tcW w:w="29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8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编码</w:t>
            </w:r>
          </w:p>
        </w:tc>
        <w:tc>
          <w:tcPr>
            <w:tcW w:w="25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280" w:lineRule="exact"/>
              <w:jc w:val="center"/>
              <w:textAlignment w:val="center"/>
              <w:rPr>
                <w:rFonts w:hint="eastAsia" w:ascii="仿宋" w:hAnsi="仿宋" w:eastAsia="仿宋" w:cs="仿宋"/>
                <w:b/>
                <w:color w:val="000000"/>
                <w:sz w:val="24"/>
                <w:szCs w:val="24"/>
              </w:rPr>
            </w:pPr>
            <w:r>
              <w:rPr>
                <w:rFonts w:hint="eastAsia" w:ascii="仿宋" w:hAnsi="仿宋" w:eastAsia="仿宋" w:cs="仿宋"/>
                <w:b/>
                <w:color w:val="000000"/>
                <w:kern w:val="0"/>
                <w:sz w:val="24"/>
                <w:szCs w:val="24"/>
              </w:rPr>
              <w:t>名称</w:t>
            </w:r>
          </w:p>
        </w:tc>
        <w:tc>
          <w:tcPr>
            <w:tcW w:w="2478"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300" w:lineRule="exact"/>
              <w:jc w:val="center"/>
              <w:rPr>
                <w:rFonts w:hint="eastAsia" w:ascii="仿宋" w:hAnsi="仿宋" w:eastAsia="仿宋" w:cs="仿宋"/>
                <w:b/>
                <w:color w:val="000000"/>
                <w:sz w:val="24"/>
                <w:szCs w:val="24"/>
              </w:rPr>
            </w:pPr>
          </w:p>
        </w:tc>
        <w:tc>
          <w:tcPr>
            <w:tcW w:w="4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300" w:lineRule="exact"/>
              <w:jc w:val="center"/>
              <w:rPr>
                <w:rFonts w:hint="eastAsia" w:ascii="仿宋" w:hAnsi="仿宋" w:eastAsia="仿宋" w:cs="仿宋"/>
                <w:b/>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04"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w:t>
            </w:r>
          </w:p>
        </w:tc>
        <w:tc>
          <w:tcPr>
            <w:tcW w:w="34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w:t>
            </w:r>
          </w:p>
        </w:tc>
        <w:tc>
          <w:tcPr>
            <w:tcW w:w="32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w:t>
            </w:r>
          </w:p>
        </w:tc>
        <w:tc>
          <w:tcPr>
            <w:tcW w:w="318"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w:t>
            </w:r>
          </w:p>
        </w:tc>
        <w:tc>
          <w:tcPr>
            <w:tcW w:w="26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w:t>
            </w:r>
          </w:p>
        </w:tc>
        <w:tc>
          <w:tcPr>
            <w:tcW w:w="29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w:t>
            </w:r>
          </w:p>
        </w:tc>
        <w:tc>
          <w:tcPr>
            <w:tcW w:w="25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w:t>
            </w:r>
          </w:p>
        </w:tc>
        <w:tc>
          <w:tcPr>
            <w:tcW w:w="2478"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rPr>
                <w:rFonts w:hint="eastAsia" w:ascii="仿宋" w:hAnsi="仿宋" w:eastAsia="仿宋" w:cs="仿宋"/>
                <w:sz w:val="24"/>
                <w:szCs w:val="24"/>
              </w:rPr>
            </w:pPr>
            <w:r>
              <w:rPr>
                <w:rFonts w:hint="eastAsia" w:ascii="仿宋" w:hAnsi="仿宋" w:eastAsia="仿宋" w:cs="仿宋"/>
                <w:sz w:val="24"/>
                <w:szCs w:val="24"/>
              </w:rPr>
              <w:t>1.因饮用水水源保护区范围调整，调整水环境优先保护区边界；</w:t>
            </w:r>
          </w:p>
          <w:p>
            <w:pPr>
              <w:spacing w:beforeLines="0" w:afterLines="0" w:line="300" w:lineRule="exact"/>
              <w:rPr>
                <w:rFonts w:hint="eastAsia" w:ascii="仿宋" w:hAnsi="仿宋" w:eastAsia="仿宋" w:cs="仿宋"/>
                <w:sz w:val="24"/>
                <w:szCs w:val="24"/>
              </w:rPr>
            </w:pPr>
            <w:r>
              <w:rPr>
                <w:rFonts w:hint="eastAsia" w:ascii="仿宋" w:hAnsi="仿宋" w:eastAsia="仿宋" w:cs="仿宋"/>
                <w:sz w:val="24"/>
                <w:szCs w:val="24"/>
              </w:rPr>
              <w:t>2.因饮用水水源保护区取消，水环境优先保护区调整为其他类型管控分区；</w:t>
            </w:r>
          </w:p>
          <w:p>
            <w:pPr>
              <w:spacing w:beforeLines="0" w:afterLines="0" w:line="300" w:lineRule="exact"/>
              <w:rPr>
                <w:rFonts w:hint="eastAsia" w:ascii="仿宋" w:hAnsi="仿宋" w:eastAsia="仿宋" w:cs="仿宋"/>
                <w:sz w:val="24"/>
                <w:szCs w:val="24"/>
              </w:rPr>
            </w:pPr>
            <w:r>
              <w:rPr>
                <w:rFonts w:hint="eastAsia" w:ascii="仿宋" w:hAnsi="仿宋" w:eastAsia="仿宋" w:cs="仿宋"/>
                <w:sz w:val="24"/>
                <w:szCs w:val="24"/>
              </w:rPr>
              <w:t>3.因新增饮用水水源保护区，新增水环境优先保护区。</w:t>
            </w:r>
          </w:p>
          <w:p>
            <w:pPr>
              <w:spacing w:beforeLines="0" w:afterLines="0" w:line="300" w:lineRule="exact"/>
              <w:rPr>
                <w:rFonts w:hint="eastAsia" w:ascii="仿宋" w:hAnsi="仿宋" w:eastAsia="仿宋" w:cs="仿宋"/>
                <w:sz w:val="24"/>
                <w:szCs w:val="24"/>
              </w:rPr>
            </w:pPr>
            <w:r>
              <w:rPr>
                <w:rFonts w:hint="eastAsia" w:ascii="仿宋" w:hAnsi="仿宋" w:eastAsia="仿宋" w:cs="仿宋"/>
                <w:sz w:val="24"/>
                <w:szCs w:val="24"/>
              </w:rPr>
              <w:t>4.不属于以上3类的其他更新原因，需详细阐述理由和依据。</w:t>
            </w:r>
          </w:p>
        </w:tc>
        <w:tc>
          <w:tcPr>
            <w:tcW w:w="40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仿宋" w:hAnsi="仿宋" w:eastAsia="仿宋" w:cs="仿宋"/>
          <w:sz w:val="24"/>
          <w:szCs w:val="24"/>
        </w:rPr>
      </w:pPr>
    </w:p>
    <w:p>
      <w:pPr>
        <w:pStyle w:val="22"/>
        <w:ind w:left="0" w:leftChars="0" w:firstLine="0" w:firstLineChars="0"/>
        <w:rPr>
          <w:rFonts w:hint="eastAsia" w:ascii="仿宋" w:hAnsi="仿宋" w:eastAsia="仿宋" w:cs="仿宋"/>
          <w:color w:val="000000"/>
          <w:kern w:val="0"/>
          <w:sz w:val="24"/>
          <w:szCs w:val="24"/>
        </w:rPr>
      </w:pPr>
      <w:r>
        <w:rPr>
          <w:rFonts w:hint="eastAsia" w:ascii="仿宋" w:hAnsi="仿宋" w:eastAsia="仿宋" w:cs="仿宋"/>
          <w:sz w:val="24"/>
          <w:szCs w:val="24"/>
          <w:lang w:eastAsia="zh-CN"/>
        </w:rPr>
        <w:t>注：</w:t>
      </w:r>
      <w:r>
        <w:rPr>
          <w:rFonts w:hint="eastAsia" w:ascii="仿宋" w:hAnsi="仿宋" w:eastAsia="仿宋" w:cs="仿宋"/>
          <w:color w:val="000000"/>
          <w:kern w:val="0"/>
          <w:sz w:val="24"/>
          <w:szCs w:val="24"/>
          <w:lang w:val="en-US" w:eastAsia="zh-CN"/>
        </w:rPr>
        <w:t>根据省下发行政边界调整矢量，已</w:t>
      </w:r>
      <w:r>
        <w:rPr>
          <w:rFonts w:hint="eastAsia" w:ascii="仿宋" w:hAnsi="仿宋" w:eastAsia="仿宋" w:cs="仿宋"/>
          <w:color w:val="000000"/>
          <w:kern w:val="0"/>
          <w:sz w:val="24"/>
          <w:szCs w:val="24"/>
        </w:rPr>
        <w:t>提供</w:t>
      </w:r>
      <w:r>
        <w:rPr>
          <w:rFonts w:hint="eastAsia" w:ascii="仿宋" w:hAnsi="仿宋" w:eastAsia="仿宋" w:cs="仿宋"/>
          <w:color w:val="000000"/>
          <w:kern w:val="0"/>
          <w:sz w:val="24"/>
          <w:szCs w:val="24"/>
          <w:lang w:eastAsia="zh-CN"/>
        </w:rPr>
        <w:t>修正后</w:t>
      </w:r>
      <w:r>
        <w:rPr>
          <w:rFonts w:hint="eastAsia" w:ascii="仿宋" w:hAnsi="仿宋" w:eastAsia="仿宋" w:cs="仿宋"/>
          <w:color w:val="000000"/>
          <w:kern w:val="0"/>
          <w:sz w:val="24"/>
          <w:szCs w:val="24"/>
        </w:rPr>
        <w:t>的全市</w:t>
      </w:r>
      <w:r>
        <w:rPr>
          <w:rFonts w:hint="eastAsia" w:ascii="仿宋" w:hAnsi="仿宋" w:eastAsia="仿宋" w:cs="仿宋"/>
          <w:color w:val="000000"/>
          <w:kern w:val="0"/>
          <w:sz w:val="24"/>
          <w:szCs w:val="24"/>
          <w:lang w:eastAsia="zh-CN"/>
        </w:rPr>
        <w:t>水</w:t>
      </w:r>
      <w:r>
        <w:rPr>
          <w:rFonts w:hint="eastAsia" w:ascii="仿宋" w:hAnsi="仿宋" w:eastAsia="仿宋" w:cs="仿宋"/>
          <w:color w:val="000000"/>
          <w:kern w:val="0"/>
          <w:sz w:val="24"/>
          <w:szCs w:val="24"/>
        </w:rPr>
        <w:t>环境管控分区矢量</w:t>
      </w:r>
    </w:p>
    <w:p>
      <w:pPr>
        <w:rPr>
          <w:rFonts w:hint="default" w:ascii="Times New Roman" w:hAnsi="Times New Roman" w:eastAsia="黑体" w:cs="Times New Roman"/>
          <w:color w:val="000000"/>
          <w:sz w:val="28"/>
          <w:szCs w:val="28"/>
        </w:rPr>
      </w:pPr>
      <w:bookmarkStart w:id="76" w:name="_Toc22010"/>
      <w:r>
        <w:rPr>
          <w:rFonts w:hint="default" w:ascii="Times New Roman" w:hAnsi="Times New Roman" w:eastAsia="黑体" w:cs="Times New Roman"/>
          <w:color w:val="000000"/>
          <w:sz w:val="28"/>
          <w:szCs w:val="28"/>
        </w:rPr>
        <w:br w:type="page"/>
      </w:r>
    </w:p>
    <w:p>
      <w:pPr>
        <w:pStyle w:val="5"/>
        <w:bidi w:val="0"/>
        <w:rPr>
          <w:rFonts w:hint="default"/>
        </w:rPr>
      </w:pPr>
      <w:bookmarkStart w:id="77" w:name="_Toc17333"/>
      <w:r>
        <w:rPr>
          <w:rFonts w:hint="default"/>
        </w:rPr>
        <w:t>表7 大气环境管控分区动态更新情况</w:t>
      </w:r>
      <w:bookmarkEnd w:id="76"/>
      <w:bookmarkEnd w:id="77"/>
    </w:p>
    <w:tbl>
      <w:tblPr>
        <w:tblStyle w:val="2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38"/>
        <w:gridCol w:w="717"/>
        <w:gridCol w:w="717"/>
        <w:gridCol w:w="720"/>
        <w:gridCol w:w="717"/>
        <w:gridCol w:w="717"/>
        <w:gridCol w:w="720"/>
        <w:gridCol w:w="7676"/>
        <w:gridCol w:w="11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6"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序号</w:t>
            </w:r>
          </w:p>
        </w:tc>
        <w:tc>
          <w:tcPr>
            <w:tcW w:w="760"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更新前</w:t>
            </w:r>
          </w:p>
        </w:tc>
        <w:tc>
          <w:tcPr>
            <w:tcW w:w="760"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更新后</w:t>
            </w:r>
          </w:p>
        </w:tc>
        <w:tc>
          <w:tcPr>
            <w:tcW w:w="2707"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更新原因</w:t>
            </w:r>
          </w:p>
        </w:tc>
        <w:tc>
          <w:tcPr>
            <w:tcW w:w="40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6"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b/>
                <w:color w:val="000000"/>
                <w:sz w:val="24"/>
              </w:rPr>
            </w:pPr>
          </w:p>
        </w:tc>
        <w:tc>
          <w:tcPr>
            <w:tcW w:w="25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类型</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编码</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名称</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类型</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编码</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名称</w:t>
            </w:r>
          </w:p>
        </w:tc>
        <w:tc>
          <w:tcPr>
            <w:tcW w:w="270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300" w:lineRule="exact"/>
              <w:jc w:val="center"/>
              <w:rPr>
                <w:rFonts w:hint="eastAsia" w:ascii="仿宋" w:hAnsi="仿宋" w:eastAsia="仿宋" w:cs="仿宋"/>
                <w:b/>
                <w:color w:val="000000"/>
                <w:sz w:val="24"/>
              </w:rPr>
            </w:pPr>
          </w:p>
        </w:tc>
        <w:tc>
          <w:tcPr>
            <w:tcW w:w="4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300" w:lineRule="exact"/>
              <w:jc w:val="center"/>
              <w:rPr>
                <w:rFonts w:hint="eastAsia" w:ascii="仿宋" w:hAnsi="仿宋" w:eastAsia="仿宋" w:cs="仿宋"/>
                <w:b/>
                <w:color w:val="00000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36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5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707"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rPr>
                <w:rFonts w:hint="eastAsia" w:ascii="仿宋" w:hAnsi="仿宋" w:eastAsia="仿宋" w:cs="仿宋"/>
                <w:sz w:val="24"/>
              </w:rPr>
            </w:pPr>
            <w:r>
              <w:rPr>
                <w:rFonts w:hint="eastAsia" w:ascii="仿宋" w:hAnsi="仿宋" w:eastAsia="仿宋" w:cs="仿宋"/>
                <w:sz w:val="24"/>
              </w:rPr>
              <w:t>1.大气环境功能区划、自然保护地发生变化；</w:t>
            </w:r>
          </w:p>
          <w:p>
            <w:pPr>
              <w:spacing w:beforeLines="0" w:afterLines="0" w:line="300" w:lineRule="exact"/>
              <w:rPr>
                <w:rFonts w:hint="eastAsia" w:ascii="仿宋" w:hAnsi="仿宋" w:eastAsia="仿宋" w:cs="仿宋"/>
                <w:sz w:val="24"/>
              </w:rPr>
            </w:pPr>
            <w:r>
              <w:rPr>
                <w:rFonts w:hint="eastAsia" w:ascii="仿宋" w:hAnsi="仿宋" w:eastAsia="仿宋" w:cs="仿宋"/>
                <w:sz w:val="24"/>
              </w:rPr>
              <w:t>2.城镇开发边界、产业园区边界发生变化；</w:t>
            </w:r>
          </w:p>
          <w:p>
            <w:pPr>
              <w:spacing w:beforeLines="0" w:afterLines="0" w:line="300" w:lineRule="exact"/>
              <w:rPr>
                <w:rFonts w:hint="eastAsia" w:ascii="仿宋" w:hAnsi="仿宋" w:eastAsia="仿宋" w:cs="仿宋"/>
                <w:sz w:val="24"/>
              </w:rPr>
            </w:pPr>
            <w:r>
              <w:rPr>
                <w:rFonts w:hint="eastAsia" w:ascii="仿宋" w:hAnsi="仿宋" w:eastAsia="仿宋" w:cs="仿宋"/>
                <w:sz w:val="24"/>
              </w:rPr>
              <w:t>3.“十四五”国控点位发生变化；</w:t>
            </w:r>
          </w:p>
          <w:p>
            <w:pPr>
              <w:spacing w:beforeLines="0" w:afterLines="0" w:line="300" w:lineRule="exact"/>
              <w:rPr>
                <w:rFonts w:hint="eastAsia" w:ascii="仿宋" w:hAnsi="仿宋" w:eastAsia="仿宋" w:cs="仿宋"/>
                <w:sz w:val="24"/>
              </w:rPr>
            </w:pPr>
            <w:r>
              <w:rPr>
                <w:rFonts w:hint="eastAsia" w:ascii="仿宋" w:hAnsi="仿宋" w:eastAsia="仿宋" w:cs="仿宋"/>
                <w:sz w:val="24"/>
              </w:rPr>
              <w:t>4.国土空间开发格局和强度发生变化。</w:t>
            </w:r>
          </w:p>
        </w:tc>
        <w:tc>
          <w:tcPr>
            <w:tcW w:w="40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r>
    </w:tbl>
    <w:p>
      <w:pPr>
        <w:pStyle w:val="21"/>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注：</w:t>
      </w:r>
      <w:r>
        <w:rPr>
          <w:rFonts w:hint="eastAsia" w:ascii="仿宋" w:hAnsi="仿宋" w:eastAsia="仿宋" w:cs="仿宋"/>
          <w:color w:val="000000"/>
          <w:kern w:val="0"/>
          <w:sz w:val="24"/>
          <w:szCs w:val="24"/>
          <w:lang w:val="en-US" w:eastAsia="zh-CN"/>
        </w:rPr>
        <w:t>根据省下发行政边界调整矢量，已</w:t>
      </w:r>
      <w:r>
        <w:rPr>
          <w:rFonts w:hint="eastAsia" w:ascii="仿宋" w:hAnsi="仿宋" w:eastAsia="仿宋" w:cs="仿宋"/>
          <w:color w:val="000000"/>
          <w:kern w:val="0"/>
          <w:sz w:val="24"/>
          <w:szCs w:val="24"/>
        </w:rPr>
        <w:t>提供</w:t>
      </w:r>
      <w:r>
        <w:rPr>
          <w:rFonts w:hint="eastAsia" w:ascii="仿宋" w:hAnsi="仿宋" w:eastAsia="仿宋" w:cs="仿宋"/>
          <w:color w:val="000000"/>
          <w:kern w:val="0"/>
          <w:sz w:val="24"/>
          <w:szCs w:val="24"/>
          <w:lang w:eastAsia="zh-CN"/>
        </w:rPr>
        <w:t>修正后</w:t>
      </w:r>
      <w:r>
        <w:rPr>
          <w:rFonts w:hint="eastAsia" w:ascii="仿宋" w:hAnsi="仿宋" w:eastAsia="仿宋" w:cs="仿宋"/>
          <w:color w:val="000000"/>
          <w:kern w:val="0"/>
          <w:sz w:val="24"/>
          <w:szCs w:val="24"/>
        </w:rPr>
        <w:t>的全市大气环境管控分区矢量</w:t>
      </w:r>
    </w:p>
    <w:p>
      <w:pPr>
        <w:rPr>
          <w:rFonts w:hint="default" w:ascii="Times New Roman" w:hAnsi="Times New Roman" w:eastAsia="黑体" w:cs="Times New Roman"/>
          <w:color w:val="000000"/>
          <w:sz w:val="28"/>
          <w:szCs w:val="28"/>
        </w:rPr>
      </w:pPr>
      <w:bookmarkStart w:id="78" w:name="_Toc8115"/>
      <w:r>
        <w:rPr>
          <w:rFonts w:hint="default" w:ascii="Times New Roman" w:hAnsi="Times New Roman" w:eastAsia="黑体" w:cs="Times New Roman"/>
          <w:color w:val="000000"/>
          <w:sz w:val="28"/>
          <w:szCs w:val="28"/>
        </w:rPr>
        <w:br w:type="page"/>
      </w:r>
    </w:p>
    <w:p>
      <w:pPr>
        <w:pStyle w:val="5"/>
        <w:bidi w:val="0"/>
        <w:rPr>
          <w:rFonts w:hint="default"/>
        </w:rPr>
      </w:pPr>
      <w:bookmarkStart w:id="79" w:name="_Toc21875"/>
      <w:r>
        <w:rPr>
          <w:rFonts w:hint="default"/>
        </w:rPr>
        <w:t>表8 土壤环境管控分区动态更新情况</w:t>
      </w:r>
      <w:bookmarkEnd w:id="78"/>
      <w:bookmarkEnd w:id="79"/>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6"/>
        <w:gridCol w:w="749"/>
        <w:gridCol w:w="735"/>
        <w:gridCol w:w="709"/>
        <w:gridCol w:w="650"/>
        <w:gridCol w:w="672"/>
        <w:gridCol w:w="771"/>
        <w:gridCol w:w="8000"/>
        <w:gridCol w:w="9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6" w:type="pct"/>
            <w:vMerge w:val="restart"/>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序号</w:t>
            </w:r>
          </w:p>
        </w:tc>
        <w:tc>
          <w:tcPr>
            <w:tcW w:w="860"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更新前</w:t>
            </w:r>
          </w:p>
        </w:tc>
        <w:tc>
          <w:tcPr>
            <w:tcW w:w="825" w:type="pct"/>
            <w:gridSpan w:val="3"/>
            <w:tcBorders>
              <w:top w:val="single" w:color="000000" w:sz="4" w:space="0"/>
              <w:left w:val="single" w:color="000000" w:sz="4" w:space="0"/>
              <w:bottom w:val="single" w:color="000000" w:sz="4" w:space="0"/>
              <w:right w:val="single" w:color="000000" w:sz="4" w:space="0"/>
              <w:tl2br w:val="nil"/>
              <w:tr2bl w:val="nil"/>
            </w:tcBorders>
            <w:noWrap/>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更新后</w:t>
            </w:r>
          </w:p>
        </w:tc>
        <w:tc>
          <w:tcPr>
            <w:tcW w:w="2591"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更新原因</w:t>
            </w:r>
          </w:p>
        </w:tc>
        <w:tc>
          <w:tcPr>
            <w:tcW w:w="35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6" w:type="pct"/>
            <w:vMerge w:val="continue"/>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b/>
                <w:color w:val="000000"/>
                <w:sz w:val="24"/>
              </w:rPr>
            </w:pPr>
          </w:p>
        </w:tc>
        <w:tc>
          <w:tcPr>
            <w:tcW w:w="29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类型</w:t>
            </w:r>
          </w:p>
        </w:tc>
        <w:tc>
          <w:tcPr>
            <w:tcW w:w="28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编码</w:t>
            </w:r>
          </w:p>
        </w:tc>
        <w:tc>
          <w:tcPr>
            <w:tcW w:w="27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名称</w:t>
            </w:r>
          </w:p>
        </w:tc>
        <w:tc>
          <w:tcPr>
            <w:tcW w:w="25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类型</w:t>
            </w:r>
          </w:p>
        </w:tc>
        <w:tc>
          <w:tcPr>
            <w:tcW w:w="266"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编码</w:t>
            </w:r>
          </w:p>
        </w:tc>
        <w:tc>
          <w:tcPr>
            <w:tcW w:w="30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名称</w:t>
            </w:r>
          </w:p>
        </w:tc>
        <w:tc>
          <w:tcPr>
            <w:tcW w:w="2591"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300" w:lineRule="exact"/>
              <w:jc w:val="center"/>
              <w:rPr>
                <w:rFonts w:hint="eastAsia" w:ascii="仿宋" w:hAnsi="仿宋" w:eastAsia="仿宋" w:cs="仿宋"/>
                <w:b/>
                <w:color w:val="000000"/>
                <w:sz w:val="24"/>
              </w:rPr>
            </w:pPr>
          </w:p>
        </w:tc>
        <w:tc>
          <w:tcPr>
            <w:tcW w:w="35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spacing w:beforeLines="0" w:afterLines="0" w:line="300" w:lineRule="exact"/>
              <w:jc w:val="center"/>
              <w:rPr>
                <w:rFonts w:hint="eastAsia" w:ascii="仿宋" w:hAnsi="仿宋" w:eastAsia="仿宋" w:cs="仿宋"/>
                <w:b/>
                <w:color w:val="00000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6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293"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88"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78"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58"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66"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300"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c>
          <w:tcPr>
            <w:tcW w:w="2591"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rPr>
                <w:rFonts w:hint="eastAsia" w:ascii="仿宋" w:hAnsi="仿宋" w:eastAsia="仿宋" w:cs="仿宋"/>
                <w:sz w:val="24"/>
              </w:rPr>
            </w:pPr>
            <w:r>
              <w:rPr>
                <w:rFonts w:hint="eastAsia" w:ascii="仿宋" w:hAnsi="仿宋" w:eastAsia="仿宋" w:cs="仿宋"/>
                <w:color w:val="000000"/>
                <w:sz w:val="24"/>
              </w:rPr>
              <w:t>涉危险废物、涉重金属、涉有毒有害化学品物质企业及尾矿库场所发生变化</w:t>
            </w:r>
          </w:p>
        </w:tc>
        <w:tc>
          <w:tcPr>
            <w:tcW w:w="355" w:type="pct"/>
            <w:tcBorders>
              <w:top w:val="single" w:color="000000" w:sz="4" w:space="0"/>
              <w:left w:val="single" w:color="000000" w:sz="4" w:space="0"/>
              <w:bottom w:val="single" w:color="000000" w:sz="4" w:space="0"/>
              <w:right w:val="single" w:color="000000" w:sz="4" w:space="0"/>
              <w:tl2br w:val="nil"/>
              <w:tr2bl w:val="nil"/>
            </w:tcBorders>
            <w:noWrap/>
            <w:vAlign w:val="center"/>
          </w:tcPr>
          <w:p>
            <w:pPr>
              <w:spacing w:beforeLines="0" w:afterLines="0" w:line="30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w:t>
            </w:r>
          </w:p>
        </w:tc>
      </w:tr>
    </w:tbl>
    <w:p>
      <w:pPr>
        <w:pStyle w:val="22"/>
        <w:ind w:left="0" w:leftChars="0" w:firstLine="0" w:firstLineChars="0"/>
        <w:rPr>
          <w:rFonts w:hint="eastAsia" w:ascii="仿宋" w:hAnsi="仿宋" w:eastAsia="仿宋" w:cs="仿宋"/>
          <w:sz w:val="24"/>
          <w:szCs w:val="24"/>
          <w:lang w:eastAsia="zh-CN"/>
        </w:rPr>
      </w:pPr>
      <w:r>
        <w:rPr>
          <w:rFonts w:hint="eastAsia" w:ascii="仿宋" w:hAnsi="仿宋" w:eastAsia="仿宋" w:cs="仿宋"/>
          <w:sz w:val="24"/>
          <w:szCs w:val="24"/>
          <w:lang w:eastAsia="zh-CN"/>
        </w:rPr>
        <w:t>注：未更新</w:t>
      </w:r>
    </w:p>
    <w:p>
      <w:pPr>
        <w:pStyle w:val="5"/>
        <w:bidi w:val="0"/>
        <w:rPr>
          <w:rFonts w:hint="default" w:ascii="Times New Roman" w:hAnsi="Times New Roman" w:eastAsia="黑体" w:cs="Times New Roman"/>
          <w:color w:val="000000"/>
          <w:sz w:val="28"/>
          <w:szCs w:val="28"/>
        </w:rPr>
      </w:pPr>
      <w:bookmarkStart w:id="80" w:name="_Toc26824"/>
      <w:r>
        <w:rPr>
          <w:rFonts w:hint="default" w:ascii="Times New Roman" w:hAnsi="Times New Roman" w:eastAsia="黑体" w:cs="Times New Roman"/>
          <w:color w:val="000000"/>
          <w:sz w:val="28"/>
          <w:szCs w:val="28"/>
        </w:rPr>
        <w:br w:type="page"/>
      </w:r>
      <w:bookmarkStart w:id="81" w:name="_Toc20582"/>
      <w:bookmarkStart w:id="82" w:name="_Toc1203"/>
      <w:r>
        <w:rPr>
          <w:rFonts w:hint="default"/>
        </w:rPr>
        <w:t>表9 近岸海域环境管控分区动态更新情况</w:t>
      </w:r>
      <w:bookmarkEnd w:id="80"/>
      <w:bookmarkEnd w:id="81"/>
      <w:bookmarkEnd w:id="82"/>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2820"/>
        <w:gridCol w:w="1687"/>
        <w:gridCol w:w="1888"/>
        <w:gridCol w:w="1687"/>
        <w:gridCol w:w="1687"/>
        <w:gridCol w:w="1888"/>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91" w:type="pct"/>
            <w:vMerge w:val="restar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序号</w:t>
            </w:r>
          </w:p>
        </w:tc>
        <w:tc>
          <w:tcPr>
            <w:tcW w:w="994" w:type="pct"/>
            <w:vMerge w:val="restar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类型</w:t>
            </w:r>
          </w:p>
        </w:tc>
        <w:tc>
          <w:tcPr>
            <w:tcW w:w="1856" w:type="pct"/>
            <w:gridSpan w:val="3"/>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更新前</w:t>
            </w:r>
          </w:p>
        </w:tc>
        <w:tc>
          <w:tcPr>
            <w:tcW w:w="1856" w:type="pct"/>
            <w:gridSpan w:val="3"/>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更新后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91" w:type="pct"/>
            <w:vMerge w:val="continue"/>
            <w:tcBorders>
              <w:tl2br w:val="nil"/>
              <w:tr2bl w:val="nil"/>
            </w:tcBorders>
            <w:noWrap w:val="0"/>
            <w:vAlign w:val="center"/>
          </w:tcPr>
          <w:p>
            <w:pPr>
              <w:spacing w:beforeLines="0" w:afterLines="0" w:line="300" w:lineRule="exact"/>
              <w:jc w:val="center"/>
              <w:rPr>
                <w:rFonts w:hint="eastAsia" w:ascii="仿宋" w:hAnsi="仿宋" w:eastAsia="仿宋" w:cs="仿宋"/>
                <w:b/>
                <w:color w:val="000000"/>
                <w:sz w:val="24"/>
              </w:rPr>
            </w:pPr>
          </w:p>
        </w:tc>
        <w:tc>
          <w:tcPr>
            <w:tcW w:w="994" w:type="pct"/>
            <w:vMerge w:val="continue"/>
            <w:tcBorders>
              <w:tl2br w:val="nil"/>
              <w:tr2bl w:val="nil"/>
            </w:tcBorders>
            <w:noWrap w:val="0"/>
            <w:vAlign w:val="center"/>
          </w:tcPr>
          <w:p>
            <w:pPr>
              <w:spacing w:beforeLines="0" w:afterLines="0" w:line="300" w:lineRule="exact"/>
              <w:jc w:val="center"/>
              <w:rPr>
                <w:rFonts w:hint="eastAsia" w:ascii="仿宋" w:hAnsi="仿宋" w:eastAsia="仿宋" w:cs="仿宋"/>
                <w:b/>
                <w:color w:val="000000"/>
                <w:sz w:val="24"/>
              </w:rPr>
            </w:pPr>
          </w:p>
        </w:tc>
        <w:tc>
          <w:tcPr>
            <w:tcW w:w="595"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个数（个）</w:t>
            </w:r>
          </w:p>
        </w:tc>
        <w:tc>
          <w:tcPr>
            <w:tcW w:w="666"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面积（</w:t>
            </w:r>
            <w:r>
              <w:rPr>
                <w:rStyle w:val="48"/>
                <w:rFonts w:hint="eastAsia" w:ascii="仿宋" w:hAnsi="仿宋" w:eastAsia="仿宋" w:cs="仿宋"/>
                <w:sz w:val="24"/>
              </w:rPr>
              <w:t>km</w:t>
            </w:r>
            <w:r>
              <w:rPr>
                <w:rStyle w:val="46"/>
                <w:rFonts w:hint="eastAsia" w:ascii="仿宋" w:hAnsi="仿宋" w:eastAsia="仿宋" w:cs="仿宋"/>
                <w:sz w:val="24"/>
              </w:rPr>
              <w:t>2</w:t>
            </w:r>
            <w:r>
              <w:rPr>
                <w:rStyle w:val="47"/>
                <w:rFonts w:hint="eastAsia" w:ascii="仿宋" w:hAnsi="仿宋" w:eastAsia="仿宋" w:cs="仿宋"/>
                <w:sz w:val="24"/>
              </w:rPr>
              <w:t>）</w:t>
            </w:r>
          </w:p>
        </w:tc>
        <w:tc>
          <w:tcPr>
            <w:tcW w:w="595"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比例（</w:t>
            </w:r>
            <w:r>
              <w:rPr>
                <w:rStyle w:val="48"/>
                <w:rFonts w:hint="eastAsia" w:ascii="仿宋" w:hAnsi="仿宋" w:eastAsia="仿宋" w:cs="仿宋"/>
                <w:sz w:val="24"/>
              </w:rPr>
              <w:t>%</w:t>
            </w:r>
            <w:r>
              <w:rPr>
                <w:rStyle w:val="47"/>
                <w:rFonts w:hint="eastAsia" w:ascii="仿宋" w:hAnsi="仿宋" w:eastAsia="仿宋" w:cs="仿宋"/>
                <w:sz w:val="24"/>
              </w:rPr>
              <w:t>）</w:t>
            </w:r>
          </w:p>
        </w:tc>
        <w:tc>
          <w:tcPr>
            <w:tcW w:w="595"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个数（个）</w:t>
            </w:r>
          </w:p>
        </w:tc>
        <w:tc>
          <w:tcPr>
            <w:tcW w:w="666"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面积（</w:t>
            </w:r>
            <w:r>
              <w:rPr>
                <w:rStyle w:val="48"/>
                <w:rFonts w:hint="eastAsia" w:ascii="仿宋" w:hAnsi="仿宋" w:eastAsia="仿宋" w:cs="仿宋"/>
                <w:sz w:val="24"/>
              </w:rPr>
              <w:t>km</w:t>
            </w:r>
            <w:r>
              <w:rPr>
                <w:rStyle w:val="46"/>
                <w:rFonts w:hint="eastAsia" w:ascii="仿宋" w:hAnsi="仿宋" w:eastAsia="仿宋" w:cs="仿宋"/>
                <w:sz w:val="24"/>
              </w:rPr>
              <w:t>2</w:t>
            </w:r>
            <w:r>
              <w:rPr>
                <w:rStyle w:val="47"/>
                <w:rFonts w:hint="eastAsia" w:ascii="仿宋" w:hAnsi="仿宋" w:eastAsia="仿宋" w:cs="仿宋"/>
                <w:sz w:val="24"/>
              </w:rPr>
              <w:t>）</w:t>
            </w:r>
          </w:p>
        </w:tc>
        <w:tc>
          <w:tcPr>
            <w:tcW w:w="595"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b/>
                <w:color w:val="000000"/>
                <w:sz w:val="24"/>
              </w:rPr>
            </w:pPr>
            <w:r>
              <w:rPr>
                <w:rFonts w:hint="eastAsia" w:ascii="仿宋" w:hAnsi="仿宋" w:eastAsia="仿宋" w:cs="仿宋"/>
                <w:b/>
                <w:color w:val="000000"/>
                <w:kern w:val="0"/>
                <w:sz w:val="24"/>
              </w:rPr>
              <w:t>比例（</w:t>
            </w:r>
            <w:r>
              <w:rPr>
                <w:rStyle w:val="48"/>
                <w:rFonts w:hint="eastAsia" w:ascii="仿宋" w:hAnsi="仿宋" w:eastAsia="仿宋" w:cs="仿宋"/>
                <w:sz w:val="24"/>
              </w:rPr>
              <w:t>%</w:t>
            </w:r>
            <w:r>
              <w:rPr>
                <w:rStyle w:val="47"/>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91"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1</w:t>
            </w:r>
          </w:p>
        </w:tc>
        <w:tc>
          <w:tcPr>
            <w:tcW w:w="994"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近岸海域优先保护区</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13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13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91"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2</w:t>
            </w:r>
          </w:p>
        </w:tc>
        <w:tc>
          <w:tcPr>
            <w:tcW w:w="994"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近岸海域重点管控区</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13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13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1"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3</w:t>
            </w:r>
          </w:p>
        </w:tc>
        <w:tc>
          <w:tcPr>
            <w:tcW w:w="994" w:type="pct"/>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近岸海域一般管控区</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13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13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286" w:type="pct"/>
            <w:gridSpan w:val="2"/>
            <w:tcBorders>
              <w:tl2br w:val="nil"/>
              <w:tr2bl w:val="nil"/>
            </w:tcBorders>
            <w:noWrap w:val="0"/>
            <w:vAlign w:val="center"/>
          </w:tcPr>
          <w:p>
            <w:pPr>
              <w:widowControl/>
              <w:spacing w:beforeLines="0" w:afterLines="0" w:line="300" w:lineRule="exact"/>
              <w:jc w:val="center"/>
              <w:textAlignment w:val="center"/>
              <w:rPr>
                <w:rFonts w:hint="eastAsia" w:ascii="仿宋" w:hAnsi="仿宋" w:eastAsia="仿宋" w:cs="仿宋"/>
                <w:color w:val="000000"/>
                <w:sz w:val="24"/>
              </w:rPr>
            </w:pPr>
            <w:r>
              <w:rPr>
                <w:rFonts w:hint="eastAsia" w:ascii="仿宋" w:hAnsi="仿宋" w:eastAsia="仿宋" w:cs="仿宋"/>
                <w:color w:val="000000"/>
                <w:kern w:val="0"/>
                <w:sz w:val="24"/>
              </w:rPr>
              <w:t>合计</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13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4"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135" w:type="dxa"/>
            <w:tcBorders>
              <w:tl2br w:val="nil"/>
              <w:tr2bl w:val="nil"/>
            </w:tcBorders>
            <w:noWrap w:val="0"/>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c>
          <w:tcPr>
            <w:tcW w:w="1015" w:type="dxa"/>
            <w:tcBorders>
              <w:tl2br w:val="nil"/>
              <w:tr2bl w:val="nil"/>
            </w:tcBorders>
            <w:noWrap/>
            <w:vAlign w:val="center"/>
          </w:tcPr>
          <w:p>
            <w:pPr>
              <w:spacing w:beforeLines="0" w:afterLines="0" w:line="30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w:t>
            </w:r>
          </w:p>
        </w:tc>
      </w:tr>
    </w:tbl>
    <w:p>
      <w:pPr>
        <w:pStyle w:val="21"/>
        <w:ind w:left="0" w:leftChars="0" w:firstLine="0" w:firstLineChars="0"/>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注：我市不涉及此项更新。</w:t>
      </w:r>
    </w:p>
    <w:p>
      <w:pPr>
        <w:rPr>
          <w:rFonts w:hint="eastAsia" w:eastAsia="黑体"/>
          <w:sz w:val="28"/>
          <w:szCs w:val="28"/>
        </w:rPr>
      </w:pPr>
      <w:r>
        <w:rPr>
          <w:rFonts w:hint="eastAsia" w:eastAsia="黑体"/>
          <w:sz w:val="28"/>
          <w:szCs w:val="28"/>
        </w:rPr>
        <w:br w:type="page"/>
      </w:r>
    </w:p>
    <w:p>
      <w:pPr>
        <w:pStyle w:val="5"/>
        <w:bidi w:val="0"/>
        <w:rPr>
          <w:rFonts w:hint="default"/>
        </w:rPr>
      </w:pPr>
      <w:bookmarkStart w:id="83" w:name="_Toc5305"/>
      <w:r>
        <w:rPr>
          <w:rFonts w:hint="eastAsia"/>
        </w:rPr>
        <w:t>表</w:t>
      </w:r>
      <w:r>
        <w:rPr>
          <w:rFonts w:hint="eastAsia"/>
          <w:lang w:val="en-US" w:eastAsia="zh-CN"/>
        </w:rPr>
        <w:t>10</w:t>
      </w:r>
      <w:r>
        <w:rPr>
          <w:rFonts w:hint="default"/>
        </w:rPr>
        <w:t xml:space="preserve"> 资源要素管控分区动态更新情况</w:t>
      </w:r>
      <w:bookmarkEnd w:id="83"/>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
        <w:gridCol w:w="913"/>
        <w:gridCol w:w="913"/>
        <w:gridCol w:w="797"/>
        <w:gridCol w:w="1146"/>
        <w:gridCol w:w="913"/>
        <w:gridCol w:w="797"/>
        <w:gridCol w:w="1146"/>
        <w:gridCol w:w="2463"/>
        <w:gridCol w:w="4032"/>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noWrap/>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序号</w:t>
            </w:r>
          </w:p>
        </w:tc>
        <w:tc>
          <w:tcPr>
            <w:tcW w:w="0" w:type="auto"/>
            <w:vMerge w:val="restart"/>
            <w:noWrap/>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sz w:val="24"/>
                <w:szCs w:val="24"/>
              </w:rPr>
              <w:t>要素</w:t>
            </w:r>
          </w:p>
        </w:tc>
        <w:tc>
          <w:tcPr>
            <w:tcW w:w="0" w:type="auto"/>
            <w:gridSpan w:val="3"/>
            <w:noWrap/>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调整前</w:t>
            </w:r>
          </w:p>
        </w:tc>
        <w:tc>
          <w:tcPr>
            <w:tcW w:w="0" w:type="auto"/>
            <w:gridSpan w:val="3"/>
            <w:noWrap/>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调整后</w:t>
            </w:r>
          </w:p>
        </w:tc>
        <w:tc>
          <w:tcPr>
            <w:tcW w:w="0" w:type="auto"/>
            <w:vMerge w:val="restart"/>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调整原因</w:t>
            </w:r>
          </w:p>
        </w:tc>
        <w:tc>
          <w:tcPr>
            <w:tcW w:w="0" w:type="auto"/>
            <w:vMerge w:val="restart"/>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依据</w:t>
            </w:r>
          </w:p>
        </w:tc>
        <w:tc>
          <w:tcPr>
            <w:tcW w:w="0" w:type="auto"/>
            <w:vMerge w:val="restart"/>
            <w:noWrap/>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pPr>
              <w:widowControl/>
              <w:jc w:val="center"/>
              <w:rPr>
                <w:rFonts w:hint="eastAsia" w:ascii="仿宋" w:hAnsi="仿宋" w:eastAsia="仿宋" w:cs="仿宋"/>
                <w:b/>
                <w:bCs/>
                <w:sz w:val="24"/>
                <w:szCs w:val="24"/>
              </w:rPr>
            </w:pPr>
          </w:p>
        </w:tc>
        <w:tc>
          <w:tcPr>
            <w:tcW w:w="0" w:type="auto"/>
            <w:vMerge w:val="continue"/>
            <w:vAlign w:val="center"/>
          </w:tcPr>
          <w:p>
            <w:pPr>
              <w:widowControl/>
              <w:jc w:val="center"/>
              <w:rPr>
                <w:rFonts w:hint="eastAsia" w:ascii="仿宋" w:hAnsi="仿宋" w:eastAsia="仿宋" w:cs="仿宋"/>
                <w:b/>
                <w:bCs/>
                <w:sz w:val="24"/>
                <w:szCs w:val="24"/>
              </w:rPr>
            </w:pPr>
          </w:p>
        </w:tc>
        <w:tc>
          <w:tcPr>
            <w:tcW w:w="0" w:type="auto"/>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类型</w:t>
            </w:r>
          </w:p>
        </w:tc>
        <w:tc>
          <w:tcPr>
            <w:tcW w:w="0" w:type="auto"/>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编码</w:t>
            </w:r>
          </w:p>
        </w:tc>
        <w:tc>
          <w:tcPr>
            <w:tcW w:w="0" w:type="auto"/>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名称</w:t>
            </w:r>
          </w:p>
        </w:tc>
        <w:tc>
          <w:tcPr>
            <w:tcW w:w="0" w:type="auto"/>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类型</w:t>
            </w:r>
          </w:p>
        </w:tc>
        <w:tc>
          <w:tcPr>
            <w:tcW w:w="0" w:type="auto"/>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编码</w:t>
            </w:r>
          </w:p>
        </w:tc>
        <w:tc>
          <w:tcPr>
            <w:tcW w:w="0" w:type="auto"/>
            <w:vAlign w:val="center"/>
          </w:tcPr>
          <w:p>
            <w:pPr>
              <w:widowControl/>
              <w:spacing w:line="30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名称</w:t>
            </w:r>
          </w:p>
        </w:tc>
        <w:tc>
          <w:tcPr>
            <w:tcW w:w="0" w:type="auto"/>
            <w:vMerge w:val="continue"/>
            <w:vAlign w:val="center"/>
          </w:tcPr>
          <w:p>
            <w:pPr>
              <w:widowControl/>
              <w:jc w:val="center"/>
              <w:rPr>
                <w:rFonts w:hint="eastAsia" w:ascii="仿宋" w:hAnsi="仿宋" w:eastAsia="仿宋" w:cs="仿宋"/>
                <w:b/>
                <w:bCs/>
                <w:sz w:val="24"/>
                <w:szCs w:val="24"/>
              </w:rPr>
            </w:pPr>
          </w:p>
        </w:tc>
        <w:tc>
          <w:tcPr>
            <w:tcW w:w="0" w:type="auto"/>
            <w:vMerge w:val="continue"/>
            <w:vAlign w:val="center"/>
          </w:tcPr>
          <w:p>
            <w:pPr>
              <w:widowControl/>
              <w:jc w:val="center"/>
              <w:rPr>
                <w:rFonts w:hint="eastAsia" w:ascii="仿宋" w:hAnsi="仿宋" w:eastAsia="仿宋" w:cs="仿宋"/>
                <w:b/>
                <w:bCs/>
                <w:sz w:val="24"/>
                <w:szCs w:val="24"/>
              </w:rPr>
            </w:pPr>
          </w:p>
        </w:tc>
        <w:tc>
          <w:tcPr>
            <w:tcW w:w="0" w:type="auto"/>
            <w:vMerge w:val="continue"/>
            <w:vAlign w:val="center"/>
          </w:tcPr>
          <w:p>
            <w:pPr>
              <w:widowControl/>
              <w:jc w:val="center"/>
              <w:rPr>
                <w:rFonts w:hint="eastAsia" w:ascii="仿宋" w:hAnsi="仿宋" w:eastAsia="仿宋" w:cs="仿宋"/>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YS4414242540001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五华县高污染燃料禁燃区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YS4414242540001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五华县高污染燃料禁燃区</w:t>
            </w:r>
          </w:p>
        </w:tc>
        <w:tc>
          <w:tcPr>
            <w:tcW w:w="0" w:type="auto"/>
            <w:vMerge w:val="restart"/>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高污染燃料禁燃区划定方案调整。</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《五华县人民政府办公室关于印发五华县划定高污染燃料禁燃区实施方案的通知》（华府办函〔2022〕96号）</w:t>
            </w:r>
          </w:p>
        </w:tc>
        <w:tc>
          <w:tcPr>
            <w:tcW w:w="0" w:type="auto"/>
            <w:vMerge w:val="restart"/>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矢量数据更新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YS4414812540001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兴宁市高污染燃料禁燃区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YS4414812540001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兴宁市高污染燃料禁燃区</w:t>
            </w: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《兴宁市人民政府办公室关于印发兴宁市划定高污染燃料禁燃区实施方案的通知》（兴市府办函〔2019〕13号）</w:t>
            </w:r>
          </w:p>
        </w:tc>
        <w:tc>
          <w:tcPr>
            <w:tcW w:w="0" w:type="auto"/>
            <w:vMerge w:val="continue"/>
            <w:noWrap/>
            <w:vAlign w:val="center"/>
          </w:tcPr>
          <w:p>
            <w:pPr>
              <w:spacing w:line="3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YS4414262540001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平远县高污染燃料禁燃区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YS4414262540001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平远县高污染燃料禁燃区</w:t>
            </w: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《平远县人民政府关于划定平远县高污染燃料禁燃区的通知》（平府公〔2022〕4号）</w:t>
            </w:r>
          </w:p>
        </w:tc>
        <w:tc>
          <w:tcPr>
            <w:tcW w:w="0" w:type="auto"/>
            <w:vMerge w:val="continue"/>
            <w:noWrap/>
            <w:vAlign w:val="center"/>
          </w:tcPr>
          <w:p>
            <w:pPr>
              <w:spacing w:line="3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4</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YS4414272540001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蕉岭县高污染燃料禁燃区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高污染燃料禁燃区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YS4414272540001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蕉岭县高污染燃料禁燃区</w:t>
            </w: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《关于印发蕉岭县划定高污染燃料禁燃区实施方案的通知》（蕉府办函〔2021〕73号）</w:t>
            </w:r>
          </w:p>
        </w:tc>
        <w:tc>
          <w:tcPr>
            <w:tcW w:w="0" w:type="auto"/>
            <w:vMerge w:val="continue"/>
            <w:noWrap/>
            <w:vAlign w:val="center"/>
          </w:tcPr>
          <w:p>
            <w:pPr>
              <w:spacing w:line="3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YS4414021510001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梅江区土地资源优先保护区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YS4414021510001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梅江区土地资源优先保护区</w:t>
            </w:r>
          </w:p>
        </w:tc>
        <w:tc>
          <w:tcPr>
            <w:tcW w:w="0" w:type="auto"/>
            <w:vMerge w:val="restart"/>
            <w:noWrap/>
            <w:vAlign w:val="center"/>
          </w:tcPr>
          <w:p>
            <w:pPr>
              <w:spacing w:line="3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根据最新的生态保护红线和永久基本农田划定土地资源优先保护区</w:t>
            </w:r>
          </w:p>
        </w:tc>
        <w:tc>
          <w:tcPr>
            <w:tcW w:w="0" w:type="auto"/>
            <w:vMerge w:val="restart"/>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《梅州市国土空间总体规划（2021-2035年）》</w:t>
            </w:r>
          </w:p>
        </w:tc>
        <w:tc>
          <w:tcPr>
            <w:tcW w:w="0" w:type="auto"/>
            <w:vMerge w:val="restart"/>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rPr>
              <w:t>矢量数据更新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YS4414031510001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梅县区土地资源优先保护区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YS4414031510001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梅县区土地资源优先保护区</w:t>
            </w: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YS4414221510001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大埔县土地资源优先保护区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YS4414221510001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大埔县土地资源优先保护区</w:t>
            </w: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YS4414231510001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丰顺县土地资源优先保护区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YS4414231510001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丰顺县土地资源优先保护区</w:t>
            </w: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YS4414241510001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五华县土地资源优先保护区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YS4414241510001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五华县土地资源优先保护区</w:t>
            </w: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ign w:val="center"/>
          </w:tcPr>
          <w:p>
            <w:pPr>
              <w:spacing w:line="30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YS4414261510001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平远县土地资源优先保护区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土地资源优先保护区</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YS4414261510001</w:t>
            </w:r>
          </w:p>
        </w:tc>
        <w:tc>
          <w:tcPr>
            <w:tcW w:w="0" w:type="auto"/>
            <w:noWrap/>
            <w:vAlign w:val="center"/>
          </w:tcPr>
          <w:p>
            <w:pPr>
              <w:spacing w:line="300" w:lineRule="exact"/>
              <w:jc w:val="center"/>
              <w:rPr>
                <w:rFonts w:hint="eastAsia" w:ascii="仿宋" w:hAnsi="仿宋" w:eastAsia="仿宋" w:cs="仿宋"/>
                <w:sz w:val="24"/>
                <w:szCs w:val="24"/>
              </w:rPr>
            </w:pPr>
            <w:r>
              <w:rPr>
                <w:rFonts w:hint="eastAsia" w:ascii="仿宋" w:hAnsi="仿宋" w:eastAsia="仿宋" w:cs="仿宋"/>
                <w:sz w:val="24"/>
                <w:szCs w:val="24"/>
                <w:lang w:val="en-US" w:eastAsia="zh-CN"/>
              </w:rPr>
              <w:t>平远县土地资源优先保护区</w:t>
            </w: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c>
          <w:tcPr>
            <w:tcW w:w="0" w:type="auto"/>
            <w:vMerge w:val="continue"/>
            <w:noWrap/>
            <w:vAlign w:val="center"/>
          </w:tcPr>
          <w:p>
            <w:pPr>
              <w:spacing w:line="300" w:lineRule="exact"/>
              <w:jc w:val="center"/>
              <w:rPr>
                <w:rFonts w:hint="eastAsia" w:ascii="仿宋" w:hAnsi="仿宋" w:eastAsia="仿宋" w:cs="仿宋"/>
                <w:sz w:val="24"/>
                <w:szCs w:val="24"/>
              </w:rPr>
            </w:pPr>
          </w:p>
        </w:tc>
      </w:tr>
    </w:tbl>
    <w:p>
      <w:r>
        <w:br w:type="page"/>
      </w:r>
    </w:p>
    <w:p>
      <w:pPr>
        <w:pStyle w:val="5"/>
        <w:bidi w:val="0"/>
        <w:rPr>
          <w:rFonts w:hint="default"/>
        </w:rPr>
      </w:pPr>
      <w:bookmarkStart w:id="84" w:name="_Toc27080"/>
      <w:r>
        <w:rPr>
          <w:rFonts w:hint="default"/>
        </w:rPr>
        <w:t>表1</w:t>
      </w:r>
      <w:r>
        <w:rPr>
          <w:rFonts w:hint="eastAsia"/>
          <w:lang w:val="en-US" w:eastAsia="zh-CN"/>
        </w:rPr>
        <w:t>1</w:t>
      </w:r>
      <w:r>
        <w:rPr>
          <w:rFonts w:hint="default"/>
        </w:rPr>
        <w:t xml:space="preserve"> </w:t>
      </w:r>
      <w:r>
        <w:rPr>
          <w:rFonts w:hint="eastAsia"/>
          <w:lang w:eastAsia="zh-CN"/>
        </w:rPr>
        <w:t>市级生态环境</w:t>
      </w:r>
      <w:r>
        <w:rPr>
          <w:rFonts w:hint="default"/>
        </w:rPr>
        <w:t>准入清单更新调整情况</w:t>
      </w:r>
      <w:bookmarkEnd w:id="84"/>
    </w:p>
    <w:tbl>
      <w:tblPr>
        <w:tblStyle w:val="2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048"/>
        <w:gridCol w:w="2022"/>
        <w:gridCol w:w="5753"/>
        <w:gridCol w:w="340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line="300" w:lineRule="exact"/>
              <w:jc w:val="center"/>
              <w:textAlignment w:val="center"/>
              <w:rPr>
                <w:rFonts w:hint="default" w:ascii="Times New Roman" w:hAnsi="Times New Roman" w:eastAsia="楷体_GB2312" w:cs="Times New Roman"/>
                <w:b/>
                <w:color w:val="000000"/>
                <w:sz w:val="24"/>
                <w:szCs w:val="24"/>
              </w:rPr>
            </w:pPr>
            <w:r>
              <w:rPr>
                <w:rFonts w:hint="default" w:ascii="Times New Roman" w:hAnsi="Times New Roman" w:eastAsia="楷体_GB2312" w:cs="Times New Roman"/>
                <w:b/>
                <w:color w:val="000000"/>
                <w:kern w:val="0"/>
                <w:sz w:val="24"/>
                <w:szCs w:val="24"/>
              </w:rPr>
              <w:t>序号</w:t>
            </w:r>
          </w:p>
        </w:tc>
        <w:tc>
          <w:tcPr>
            <w:tcW w:w="37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line="300" w:lineRule="exact"/>
              <w:jc w:val="center"/>
              <w:textAlignment w:val="center"/>
              <w:rPr>
                <w:rFonts w:hint="default" w:ascii="Times New Roman" w:hAnsi="Times New Roman" w:eastAsia="楷体_GB2312" w:cs="Times New Roman"/>
                <w:b/>
                <w:color w:val="000000"/>
                <w:kern w:val="0"/>
                <w:sz w:val="24"/>
                <w:szCs w:val="24"/>
              </w:rPr>
            </w:pPr>
            <w:r>
              <w:rPr>
                <w:rFonts w:hint="default" w:ascii="Times New Roman" w:hAnsi="Times New Roman" w:eastAsia="楷体_GB2312" w:cs="Times New Roman"/>
                <w:b/>
                <w:color w:val="000000"/>
                <w:kern w:val="0"/>
                <w:sz w:val="24"/>
                <w:szCs w:val="24"/>
              </w:rPr>
              <w:t>管控维度</w:t>
            </w:r>
          </w:p>
        </w:tc>
        <w:tc>
          <w:tcPr>
            <w:tcW w:w="274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line="300" w:lineRule="exact"/>
              <w:jc w:val="center"/>
              <w:textAlignment w:val="center"/>
              <w:rPr>
                <w:rFonts w:hint="default" w:ascii="Times New Roman" w:hAnsi="Times New Roman" w:eastAsia="楷体_GB2312" w:cs="Times New Roman"/>
                <w:b/>
                <w:color w:val="000000"/>
                <w:sz w:val="24"/>
                <w:szCs w:val="24"/>
              </w:rPr>
            </w:pPr>
            <w:r>
              <w:rPr>
                <w:rFonts w:hint="default" w:ascii="Times New Roman" w:hAnsi="Times New Roman" w:eastAsia="楷体_GB2312" w:cs="Times New Roman"/>
                <w:b/>
                <w:color w:val="000000"/>
                <w:kern w:val="0"/>
                <w:sz w:val="24"/>
                <w:szCs w:val="24"/>
              </w:rPr>
              <w:t>生态环境准入清单</w:t>
            </w:r>
          </w:p>
        </w:tc>
        <w:tc>
          <w:tcPr>
            <w:tcW w:w="120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line="300" w:lineRule="exact"/>
              <w:jc w:val="center"/>
              <w:textAlignment w:val="center"/>
              <w:rPr>
                <w:rFonts w:hint="default" w:ascii="Times New Roman" w:hAnsi="Times New Roman" w:eastAsia="楷体_GB2312" w:cs="Times New Roman"/>
                <w:b/>
                <w:color w:val="000000"/>
                <w:sz w:val="24"/>
                <w:szCs w:val="24"/>
              </w:rPr>
            </w:pPr>
            <w:r>
              <w:rPr>
                <w:rFonts w:hint="default" w:ascii="Times New Roman" w:hAnsi="Times New Roman" w:eastAsia="楷体_GB2312" w:cs="Times New Roman"/>
                <w:b/>
                <w:color w:val="000000"/>
                <w:kern w:val="0"/>
                <w:sz w:val="24"/>
                <w:szCs w:val="24"/>
              </w:rPr>
              <w:t>依据</w:t>
            </w:r>
          </w:p>
        </w:tc>
        <w:tc>
          <w:tcPr>
            <w:tcW w:w="412" w:type="pct"/>
            <w:vMerge w:val="restart"/>
            <w:tcBorders>
              <w:top w:val="single" w:color="auto" w:sz="4" w:space="0"/>
              <w:left w:val="single" w:color="auto" w:sz="4" w:space="0"/>
              <w:right w:val="single" w:color="auto" w:sz="4" w:space="0"/>
              <w:tl2br w:val="nil"/>
              <w:tr2bl w:val="nil"/>
            </w:tcBorders>
            <w:noWrap w:val="0"/>
            <w:vAlign w:val="center"/>
          </w:tcPr>
          <w:p>
            <w:pPr>
              <w:widowControl/>
              <w:spacing w:beforeLines="0" w:afterLines="0" w:line="300" w:lineRule="exact"/>
              <w:jc w:val="center"/>
              <w:textAlignment w:val="center"/>
              <w:rPr>
                <w:rFonts w:hint="default" w:ascii="Times New Roman" w:hAnsi="Times New Roman" w:eastAsia="楷体_GB2312" w:cs="Times New Roman"/>
                <w:b/>
                <w:color w:val="000000"/>
                <w:kern w:val="0"/>
                <w:sz w:val="24"/>
                <w:szCs w:val="24"/>
                <w:lang w:eastAsia="zh-CN"/>
              </w:rPr>
            </w:pPr>
            <w:r>
              <w:rPr>
                <w:rFonts w:hint="default" w:ascii="Times New Roman" w:hAnsi="Times New Roman" w:eastAsia="楷体_GB2312" w:cs="Times New Roman"/>
                <w:b/>
                <w:color w:val="000000"/>
                <w:kern w:val="0"/>
                <w:sz w:val="24"/>
                <w:szCs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00" w:lineRule="exact"/>
              <w:jc w:val="center"/>
              <w:rPr>
                <w:rFonts w:hint="default" w:ascii="Times New Roman" w:hAnsi="Times New Roman" w:eastAsia="楷体_GB2312" w:cs="Times New Roman"/>
                <w:b/>
                <w:color w:val="000000"/>
                <w:sz w:val="24"/>
                <w:szCs w:val="24"/>
              </w:rPr>
            </w:pPr>
          </w:p>
        </w:tc>
        <w:tc>
          <w:tcPr>
            <w:tcW w:w="37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line="300" w:lineRule="exact"/>
              <w:jc w:val="center"/>
              <w:textAlignment w:val="center"/>
              <w:rPr>
                <w:rFonts w:hint="default" w:ascii="Times New Roman" w:hAnsi="Times New Roman" w:eastAsia="楷体_GB2312" w:cs="Times New Roman"/>
                <w:b/>
                <w:color w:val="000000"/>
                <w:kern w:val="0"/>
                <w:sz w:val="24"/>
                <w:szCs w:val="24"/>
              </w:rPr>
            </w:pP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line="300" w:lineRule="exact"/>
              <w:jc w:val="center"/>
              <w:textAlignment w:val="center"/>
              <w:rPr>
                <w:rFonts w:hint="default" w:ascii="Times New Roman" w:hAnsi="Times New Roman" w:eastAsia="楷体_GB2312" w:cs="Times New Roman"/>
                <w:b/>
                <w:color w:val="000000"/>
                <w:sz w:val="24"/>
                <w:szCs w:val="24"/>
              </w:rPr>
            </w:pPr>
            <w:r>
              <w:rPr>
                <w:rFonts w:hint="default" w:ascii="Times New Roman" w:hAnsi="Times New Roman" w:eastAsia="楷体_GB2312" w:cs="Times New Roman"/>
                <w:b/>
                <w:color w:val="000000"/>
                <w:kern w:val="0"/>
                <w:sz w:val="24"/>
                <w:szCs w:val="24"/>
              </w:rPr>
              <w:t>调整前</w:t>
            </w:r>
          </w:p>
        </w:tc>
        <w:tc>
          <w:tcPr>
            <w:tcW w:w="2031" w:type="pct"/>
            <w:tcBorders>
              <w:top w:val="single" w:color="auto" w:sz="4" w:space="0"/>
              <w:left w:val="single" w:color="auto" w:sz="4" w:space="0"/>
              <w:bottom w:val="single" w:color="auto" w:sz="4" w:space="0"/>
              <w:right w:val="single" w:color="auto" w:sz="4" w:space="0"/>
              <w:tl2br w:val="nil"/>
              <w:tr2bl w:val="nil"/>
            </w:tcBorders>
            <w:noWrap w:val="0"/>
            <w:vAlign w:val="center"/>
          </w:tcPr>
          <w:p>
            <w:pPr>
              <w:widowControl/>
              <w:spacing w:beforeLines="0" w:afterLines="0" w:line="300" w:lineRule="exact"/>
              <w:jc w:val="center"/>
              <w:textAlignment w:val="center"/>
              <w:rPr>
                <w:rFonts w:hint="default" w:ascii="Times New Roman" w:hAnsi="Times New Roman" w:eastAsia="楷体_GB2312" w:cs="Times New Roman"/>
                <w:b/>
                <w:color w:val="000000"/>
                <w:sz w:val="24"/>
                <w:szCs w:val="24"/>
              </w:rPr>
            </w:pPr>
            <w:r>
              <w:rPr>
                <w:rFonts w:hint="default" w:ascii="Times New Roman" w:hAnsi="Times New Roman" w:eastAsia="楷体_GB2312" w:cs="Times New Roman"/>
                <w:b/>
                <w:color w:val="000000"/>
                <w:kern w:val="0"/>
                <w:sz w:val="24"/>
                <w:szCs w:val="24"/>
              </w:rPr>
              <w:t>调整后</w:t>
            </w:r>
          </w:p>
        </w:tc>
        <w:tc>
          <w:tcPr>
            <w:tcW w:w="120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spacing w:beforeLines="0" w:afterLines="0" w:line="300" w:lineRule="exact"/>
              <w:jc w:val="center"/>
              <w:rPr>
                <w:rFonts w:hint="default" w:ascii="Times New Roman" w:hAnsi="Times New Roman" w:eastAsia="楷体_GB2312" w:cs="Times New Roman"/>
                <w:b/>
                <w:color w:val="000000"/>
                <w:sz w:val="24"/>
                <w:szCs w:val="24"/>
              </w:rPr>
            </w:pPr>
          </w:p>
        </w:tc>
        <w:tc>
          <w:tcPr>
            <w:tcW w:w="412" w:type="pct"/>
            <w:vMerge w:val="continue"/>
            <w:tcBorders>
              <w:left w:val="single" w:color="auto" w:sz="4" w:space="0"/>
              <w:bottom w:val="single" w:color="auto" w:sz="4" w:space="0"/>
              <w:right w:val="single" w:color="auto" w:sz="4" w:space="0"/>
              <w:tl2br w:val="nil"/>
              <w:tr2bl w:val="nil"/>
            </w:tcBorders>
            <w:noWrap w:val="0"/>
            <w:vAlign w:val="center"/>
          </w:tcPr>
          <w:p>
            <w:pPr>
              <w:spacing w:beforeLines="0" w:afterLines="0" w:line="300" w:lineRule="exact"/>
              <w:jc w:val="center"/>
              <w:rPr>
                <w:rFonts w:hint="default" w:ascii="Times New Roman" w:hAnsi="Times New Roman" w:eastAsia="楷体_GB2312"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楷体_GB2312" w:cs="Times New Roman"/>
                <w:color w:val="000000"/>
                <w:sz w:val="24"/>
                <w:szCs w:val="24"/>
              </w:rPr>
            </w:pPr>
            <w:r>
              <w:rPr>
                <w:rFonts w:hint="default" w:ascii="Times New Roman" w:hAnsi="Times New Roman" w:eastAsia="仿宋_GB2312" w:cs="Times New Roman"/>
                <w:i w:val="0"/>
                <w:iCs w:val="0"/>
                <w:color w:val="000000"/>
                <w:sz w:val="24"/>
                <w:szCs w:val="24"/>
                <w:highlight w:val="none"/>
                <w:u w:val="none"/>
                <w:lang w:val="en-US" w:eastAsia="zh-CN"/>
              </w:rPr>
              <w:t>1</w:t>
            </w:r>
          </w:p>
        </w:tc>
        <w:tc>
          <w:tcPr>
            <w:tcW w:w="37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楷体_GB2312" w:cs="Times New Roman"/>
                <w:color w:val="000000"/>
                <w:sz w:val="24"/>
                <w:szCs w:val="24"/>
              </w:rPr>
            </w:pPr>
            <w:r>
              <w:rPr>
                <w:rFonts w:hint="default" w:ascii="Times New Roman" w:hAnsi="Times New Roman" w:eastAsia="仿宋_GB2312" w:cs="Times New Roman"/>
                <w:i w:val="0"/>
                <w:iCs w:val="0"/>
                <w:color w:val="000000"/>
                <w:sz w:val="24"/>
                <w:szCs w:val="24"/>
                <w:highlight w:val="none"/>
                <w:u w:val="none"/>
                <w:lang w:eastAsia="zh-CN"/>
              </w:rPr>
              <w:t>区域布局管控</w:t>
            </w: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楷体_GB2312" w:cs="Times New Roman"/>
                <w:color w:val="000000"/>
                <w:sz w:val="24"/>
                <w:szCs w:val="24"/>
              </w:rPr>
            </w:pPr>
            <w:r>
              <w:rPr>
                <w:rFonts w:hint="default" w:ascii="Times New Roman" w:hAnsi="Times New Roman" w:eastAsia="仿宋_GB2312" w:cs="Times New Roman"/>
                <w:i w:val="0"/>
                <w:iCs w:val="0"/>
                <w:color w:val="000000"/>
                <w:sz w:val="24"/>
                <w:szCs w:val="24"/>
                <w:highlight w:val="none"/>
                <w:u w:val="none"/>
                <w:lang w:val="en-US" w:eastAsia="zh-CN"/>
              </w:rPr>
              <w:t>/</w:t>
            </w:r>
          </w:p>
        </w:tc>
        <w:tc>
          <w:tcPr>
            <w:tcW w:w="203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eastAsia="楷体_GB2312" w:cs="Times New Roman"/>
                <w:color w:val="000000"/>
                <w:sz w:val="24"/>
                <w:szCs w:val="24"/>
                <w:lang w:val="en-US" w:eastAsia="zh-CN"/>
              </w:rPr>
            </w:pPr>
            <w:r>
              <w:rPr>
                <w:rFonts w:hint="eastAsia" w:eastAsia="仿宋_GB2312" w:cs="Times New Roman"/>
                <w:i w:val="0"/>
                <w:iCs w:val="0"/>
                <w:color w:val="000000"/>
                <w:sz w:val="24"/>
                <w:szCs w:val="24"/>
                <w:highlight w:val="none"/>
                <w:u w:val="none"/>
                <w:lang w:val="en-US" w:eastAsia="zh-CN"/>
              </w:rPr>
              <w:t>支持梅州全域建设赣闽粤原中央苏区对接融入粤港澳大湾区振兴发展先行区，深度参与湾区建设，与湾区城市共建一批集群式产业链合作区。建立“湾区+梅州”的共建模式，支持湾区在梅州“飞地园区”建设。支持梅州符合条件的省级开发区升级为国家级开发区，设立新型绿色化工产业园区，规划建设表面处理循环经济产业园。打造先进材料千亿级产业集群，发展新一代电子信息、汽车零部件、生物医药与健康等产业。支持铜箔-高端印制电路板产业绿色发展，建设新型电子元器件产业集聚区。支持创建国家绿色矿业发展示范区，推动稀土深加工及应用产业发展。</w:t>
            </w:r>
          </w:p>
        </w:tc>
        <w:tc>
          <w:tcPr>
            <w:tcW w:w="120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楷体_GB2312" w:cs="Times New Roman"/>
                <w:color w:val="000000"/>
                <w:sz w:val="24"/>
                <w:szCs w:val="24"/>
              </w:rPr>
            </w:pPr>
            <w:r>
              <w:rPr>
                <w:rFonts w:hint="eastAsia" w:eastAsia="仿宋_GB2312" w:cs="Times New Roman"/>
                <w:i w:val="0"/>
                <w:iCs w:val="0"/>
                <w:color w:val="000000"/>
                <w:sz w:val="24"/>
                <w:szCs w:val="24"/>
                <w:highlight w:val="none"/>
                <w:u w:val="none"/>
                <w:lang w:val="en-US" w:eastAsia="zh-CN"/>
              </w:rPr>
              <w:t>国家发展改革委、财政部关于印发</w:t>
            </w:r>
            <w:r>
              <w:rPr>
                <w:rFonts w:hint="default" w:ascii="Times New Roman" w:hAnsi="Times New Roman" w:eastAsia="仿宋_GB2312" w:cs="Times New Roman"/>
                <w:i w:val="0"/>
                <w:iCs w:val="0"/>
                <w:color w:val="000000"/>
                <w:sz w:val="24"/>
                <w:szCs w:val="24"/>
                <w:highlight w:val="none"/>
                <w:u w:val="none"/>
                <w:lang w:val="en-US" w:eastAsia="zh-CN"/>
              </w:rPr>
              <w:t>《</w:t>
            </w:r>
            <w:r>
              <w:rPr>
                <w:rFonts w:hint="eastAsia" w:eastAsia="仿宋_GB2312" w:cs="Times New Roman"/>
                <w:i w:val="0"/>
                <w:iCs w:val="0"/>
                <w:color w:val="000000"/>
                <w:sz w:val="24"/>
                <w:szCs w:val="24"/>
                <w:highlight w:val="none"/>
                <w:u w:val="none"/>
                <w:lang w:val="en-US" w:eastAsia="zh-CN"/>
              </w:rPr>
              <w:t>支持梅州对接融入粤港澳大湾区加快振兴发展总体方案》的通知</w:t>
            </w:r>
          </w:p>
        </w:tc>
        <w:tc>
          <w:tcPr>
            <w:tcW w:w="41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jc w:val="both"/>
              <w:textAlignment w:val="center"/>
              <w:rPr>
                <w:rFonts w:hint="default" w:ascii="Times New Roman" w:hAnsi="Times New Roman" w:eastAsia="仿宋_GB2312" w:cs="Times New Roman"/>
                <w:sz w:val="24"/>
                <w:szCs w:val="24"/>
                <w:lang w:val="en-US" w:eastAsia="zh-CN"/>
              </w:rPr>
            </w:pPr>
            <w:r>
              <w:rPr>
                <w:rFonts w:hint="eastAsia" w:eastAsia="仿宋_GB2312" w:cs="Times New Roman"/>
                <w:sz w:val="24"/>
                <w:szCs w:val="24"/>
                <w:lang w:val="en-US" w:eastAsia="zh-CN"/>
              </w:rPr>
              <w:t>/</w:t>
            </w:r>
          </w:p>
        </w:tc>
      </w:tr>
    </w:tbl>
    <w:p>
      <w:pPr>
        <w:rPr>
          <w:rFonts w:hint="default"/>
        </w:rPr>
      </w:pPr>
    </w:p>
    <w:p>
      <w:pPr>
        <w:rPr>
          <w:rFonts w:hint="default"/>
        </w:rPr>
      </w:pPr>
      <w:r>
        <w:rPr>
          <w:rFonts w:hint="default"/>
        </w:rPr>
        <w:br w:type="page"/>
      </w:r>
    </w:p>
    <w:p>
      <w:pPr>
        <w:pStyle w:val="5"/>
        <w:bidi w:val="0"/>
      </w:pPr>
      <w:bookmarkStart w:id="85" w:name="_Toc32743"/>
      <w:r>
        <w:rPr>
          <w:rFonts w:hint="default"/>
        </w:rPr>
        <w:t>表1</w:t>
      </w:r>
      <w:r>
        <w:rPr>
          <w:rFonts w:hint="eastAsia"/>
          <w:lang w:val="en-US" w:eastAsia="zh-CN"/>
        </w:rPr>
        <w:t>2</w:t>
      </w:r>
      <w:r>
        <w:rPr>
          <w:rFonts w:hint="default"/>
        </w:rPr>
        <w:t xml:space="preserve"> 生态环境准入清单更新调整情况</w:t>
      </w:r>
      <w:bookmarkEnd w:id="85"/>
    </w:p>
    <w:tbl>
      <w:tblPr>
        <w:tblStyle w:val="23"/>
        <w:tblW w:w="4996" w:type="pct"/>
        <w:tblInd w:w="0" w:type="dxa"/>
        <w:tblLayout w:type="fixed"/>
        <w:tblCellMar>
          <w:top w:w="0" w:type="dxa"/>
          <w:left w:w="108" w:type="dxa"/>
          <w:bottom w:w="0" w:type="dxa"/>
          <w:right w:w="108" w:type="dxa"/>
        </w:tblCellMar>
      </w:tblPr>
      <w:tblGrid>
        <w:gridCol w:w="456"/>
        <w:gridCol w:w="456"/>
        <w:gridCol w:w="1854"/>
        <w:gridCol w:w="4246"/>
        <w:gridCol w:w="622"/>
        <w:gridCol w:w="2271"/>
        <w:gridCol w:w="2272"/>
        <w:gridCol w:w="993"/>
        <w:gridCol w:w="993"/>
      </w:tblGrid>
      <w:tr>
        <w:tblPrEx>
          <w:tblCellMar>
            <w:top w:w="0" w:type="dxa"/>
            <w:left w:w="108" w:type="dxa"/>
            <w:bottom w:w="0" w:type="dxa"/>
            <w:right w:w="108" w:type="dxa"/>
          </w:tblCellMar>
        </w:tblPrEx>
        <w:trPr>
          <w:trHeight w:val="285" w:hRule="atLeast"/>
        </w:trPr>
        <w:tc>
          <w:tcPr>
            <w:tcW w:w="160"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sz w:val="18"/>
                <w:szCs w:val="18"/>
              </w:rPr>
            </w:pPr>
            <w:r>
              <w:rPr>
                <w:rFonts w:hint="eastAsia" w:ascii="仿宋" w:hAnsi="仿宋" w:eastAsia="仿宋" w:cs="仿宋"/>
                <w:b/>
                <w:bCs/>
                <w:kern w:val="0"/>
                <w:sz w:val="18"/>
                <w:szCs w:val="18"/>
                <w:lang w:bidi="ar"/>
              </w:rPr>
              <w:t>序号</w:t>
            </w:r>
          </w:p>
        </w:tc>
        <w:tc>
          <w:tcPr>
            <w:tcW w:w="160"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sz w:val="18"/>
                <w:szCs w:val="18"/>
              </w:rPr>
            </w:pPr>
            <w:r>
              <w:rPr>
                <w:rFonts w:hint="eastAsia" w:ascii="仿宋" w:hAnsi="仿宋" w:eastAsia="仿宋" w:cs="仿宋"/>
                <w:b/>
                <w:bCs/>
                <w:kern w:val="0"/>
                <w:sz w:val="18"/>
                <w:szCs w:val="18"/>
                <w:lang w:bidi="ar"/>
              </w:rPr>
              <w:t>环境管控单元类型</w:t>
            </w:r>
          </w:p>
        </w:tc>
        <w:tc>
          <w:tcPr>
            <w:tcW w:w="654"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sz w:val="18"/>
                <w:szCs w:val="18"/>
              </w:rPr>
            </w:pPr>
            <w:r>
              <w:rPr>
                <w:rFonts w:hint="eastAsia" w:ascii="仿宋" w:hAnsi="仿宋" w:eastAsia="仿宋" w:cs="仿宋"/>
                <w:b/>
                <w:bCs/>
                <w:kern w:val="0"/>
                <w:sz w:val="18"/>
                <w:szCs w:val="18"/>
                <w:lang w:bidi="ar"/>
              </w:rPr>
              <w:t>环境管控单元编码</w:t>
            </w:r>
          </w:p>
        </w:tc>
        <w:tc>
          <w:tcPr>
            <w:tcW w:w="1498"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sz w:val="18"/>
                <w:szCs w:val="18"/>
              </w:rPr>
            </w:pPr>
            <w:r>
              <w:rPr>
                <w:rFonts w:hint="eastAsia" w:ascii="仿宋" w:hAnsi="仿宋" w:eastAsia="仿宋" w:cs="仿宋"/>
                <w:b/>
                <w:bCs/>
                <w:kern w:val="0"/>
                <w:sz w:val="18"/>
                <w:szCs w:val="18"/>
                <w:lang w:bidi="ar"/>
              </w:rPr>
              <w:t>环境管控单元名称</w:t>
            </w:r>
          </w:p>
        </w:tc>
        <w:tc>
          <w:tcPr>
            <w:tcW w:w="219"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sz w:val="18"/>
                <w:szCs w:val="18"/>
              </w:rPr>
            </w:pPr>
            <w:r>
              <w:rPr>
                <w:rFonts w:hint="eastAsia" w:ascii="仿宋" w:hAnsi="仿宋" w:eastAsia="仿宋" w:cs="仿宋"/>
                <w:b/>
                <w:bCs/>
                <w:kern w:val="0"/>
                <w:sz w:val="18"/>
                <w:szCs w:val="18"/>
                <w:lang w:bidi="ar"/>
              </w:rPr>
              <w:t>管控维度</w:t>
            </w:r>
          </w:p>
        </w:tc>
        <w:tc>
          <w:tcPr>
            <w:tcW w:w="1603"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sz w:val="18"/>
                <w:szCs w:val="18"/>
              </w:rPr>
            </w:pPr>
            <w:r>
              <w:rPr>
                <w:rFonts w:hint="eastAsia" w:ascii="仿宋" w:hAnsi="仿宋" w:eastAsia="仿宋" w:cs="仿宋"/>
                <w:b/>
                <w:bCs/>
                <w:kern w:val="0"/>
                <w:sz w:val="18"/>
                <w:szCs w:val="18"/>
                <w:lang w:bidi="ar"/>
              </w:rPr>
              <w:t>生态环境准入清单</w:t>
            </w:r>
          </w:p>
        </w:tc>
        <w:tc>
          <w:tcPr>
            <w:tcW w:w="350"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sz w:val="18"/>
                <w:szCs w:val="18"/>
              </w:rPr>
            </w:pPr>
            <w:r>
              <w:rPr>
                <w:rFonts w:hint="eastAsia" w:ascii="仿宋" w:hAnsi="仿宋" w:eastAsia="仿宋" w:cs="仿宋"/>
                <w:b/>
                <w:bCs/>
                <w:kern w:val="0"/>
                <w:sz w:val="18"/>
                <w:szCs w:val="18"/>
                <w:lang w:bidi="ar"/>
              </w:rPr>
              <w:t>依据</w:t>
            </w:r>
          </w:p>
        </w:tc>
        <w:tc>
          <w:tcPr>
            <w:tcW w:w="350" w:type="pct"/>
            <w:vMerge w:val="restart"/>
            <w:tcBorders>
              <w:top w:val="single" w:color="000000" w:sz="4" w:space="0"/>
              <w:left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kern w:val="0"/>
                <w:sz w:val="18"/>
                <w:szCs w:val="18"/>
                <w:lang w:eastAsia="zh-CN" w:bidi="ar"/>
              </w:rPr>
            </w:pPr>
            <w:r>
              <w:rPr>
                <w:rFonts w:hint="eastAsia" w:ascii="仿宋" w:hAnsi="仿宋" w:eastAsia="仿宋" w:cs="仿宋"/>
                <w:b/>
                <w:bCs/>
                <w:kern w:val="0"/>
                <w:sz w:val="18"/>
                <w:szCs w:val="18"/>
                <w:lang w:eastAsia="zh-CN" w:bidi="ar"/>
              </w:rPr>
              <w:t>备注</w:t>
            </w:r>
          </w:p>
        </w:tc>
      </w:tr>
      <w:tr>
        <w:tblPrEx>
          <w:tblCellMar>
            <w:top w:w="0" w:type="dxa"/>
            <w:left w:w="108" w:type="dxa"/>
            <w:bottom w:w="0" w:type="dxa"/>
            <w:right w:w="108" w:type="dxa"/>
          </w:tblCellMar>
        </w:tblPrEx>
        <w:trPr>
          <w:trHeight w:val="285" w:hRule="atLeast"/>
        </w:trPr>
        <w:tc>
          <w:tcPr>
            <w:tcW w:w="16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b/>
                <w:bCs/>
                <w:sz w:val="18"/>
                <w:szCs w:val="18"/>
              </w:rPr>
            </w:pPr>
          </w:p>
        </w:tc>
        <w:tc>
          <w:tcPr>
            <w:tcW w:w="16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b/>
                <w:bCs/>
                <w:sz w:val="18"/>
                <w:szCs w:val="18"/>
              </w:rPr>
            </w:pPr>
          </w:p>
        </w:tc>
        <w:tc>
          <w:tcPr>
            <w:tcW w:w="654"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b/>
                <w:bCs/>
                <w:sz w:val="18"/>
                <w:szCs w:val="18"/>
              </w:rPr>
            </w:pPr>
          </w:p>
        </w:tc>
        <w:tc>
          <w:tcPr>
            <w:tcW w:w="1498"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b/>
                <w:bCs/>
                <w:sz w:val="18"/>
                <w:szCs w:val="18"/>
              </w:rPr>
            </w:pPr>
          </w:p>
        </w:tc>
        <w:tc>
          <w:tcPr>
            <w:tcW w:w="219"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b/>
                <w:bCs/>
                <w:sz w:val="18"/>
                <w:szCs w:val="18"/>
              </w:rPr>
            </w:pPr>
          </w:p>
        </w:tc>
        <w:tc>
          <w:tcPr>
            <w:tcW w:w="801" w:type="pc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sz w:val="18"/>
                <w:szCs w:val="18"/>
              </w:rPr>
            </w:pPr>
            <w:r>
              <w:rPr>
                <w:rFonts w:hint="eastAsia" w:ascii="仿宋" w:hAnsi="仿宋" w:eastAsia="仿宋" w:cs="仿宋"/>
                <w:b/>
                <w:bCs/>
                <w:kern w:val="0"/>
                <w:sz w:val="18"/>
                <w:szCs w:val="18"/>
                <w:lang w:bidi="ar"/>
              </w:rPr>
              <w:t>调整前</w:t>
            </w:r>
          </w:p>
        </w:tc>
        <w:tc>
          <w:tcPr>
            <w:tcW w:w="802" w:type="pct"/>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textAlignment w:val="center"/>
              <w:rPr>
                <w:rFonts w:hint="eastAsia" w:ascii="仿宋" w:hAnsi="仿宋" w:eastAsia="仿宋" w:cs="仿宋"/>
                <w:b/>
                <w:bCs/>
                <w:sz w:val="18"/>
                <w:szCs w:val="18"/>
              </w:rPr>
            </w:pPr>
            <w:r>
              <w:rPr>
                <w:rFonts w:hint="eastAsia" w:ascii="仿宋" w:hAnsi="仿宋" w:eastAsia="仿宋" w:cs="仿宋"/>
                <w:b/>
                <w:bCs/>
                <w:kern w:val="0"/>
                <w:sz w:val="18"/>
                <w:szCs w:val="18"/>
                <w:lang w:bidi="ar"/>
              </w:rPr>
              <w:t>调整后</w:t>
            </w:r>
          </w:p>
        </w:tc>
        <w:tc>
          <w:tcPr>
            <w:tcW w:w="350"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b/>
                <w:bCs/>
                <w:sz w:val="18"/>
                <w:szCs w:val="18"/>
              </w:rPr>
            </w:pPr>
          </w:p>
        </w:tc>
        <w:tc>
          <w:tcPr>
            <w:tcW w:w="350" w:type="pct"/>
            <w:vMerge w:val="continue"/>
            <w:tcBorders>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b/>
                <w:bCs/>
                <w:sz w:val="18"/>
                <w:szCs w:val="18"/>
              </w:rPr>
            </w:pP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ZH44140220002</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广东梅州经济开发区重点管控单元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能源资源利用</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2-3.【水资源/综合类】推动工业废水资源化利用，加快中水回用及再生水循环利用设施建设。</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2-3.【水资源/综合类】进一步优化开发区生产废水收集处理和回用系统。开发区现有企业应不断提高清洁生产、污染防治水平，按照有关要求严格实施中水回用并不断提高中水回用率。新建含电镀工艺的电路板项目生产废水的中水回用率原则上不低于45%。新建、改建、扩建铜箔项目生产废水的中水回用率应不低于95%。</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《广东省生态环境厅关于印发广东梅州经济开发区规划修编环境影响报告书审查意见的函》（粤环审〔2021〕233号）</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2</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ZH44140220002</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广东梅州经济开发区重点管控单元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污染物排放管控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-2.【大气/综合类】开发区的管理机构和重点排污单位应当按照国家和省的有关规定，设置与生态环境主管部门监测监控平台联网的大气特征污染物监测监控设施，保证监测监控设施正常运行并依法公开排放信息。</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-2.【大气/综合类】企业须采取有效的废气收集、处理措施，确保大气污染物达标排放，并按照要求安装大气污染物在线监测设备、排放口视频监控设备；开发区应加快建设重点企业废气在线监管平台，有效提升大气污染物排放监管能力。氮氧化物、挥发性有机化合物排放量应分别控制在71.1吨/年、305.5吨/年以内，其他大气污染物排放量应分别控制在报告书建议值以内。</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《广东梅州经济开发区规划修编环境影响报告书》、《广东省生态环境厅关于印发广东梅州经济开发区规划修编环境影响报告书审查意见的函》（粤环审〔2021〕233号）</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ZH44140220002</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广东梅州经济开发区重点管控单元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污染物排放管控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-4.【水/综合类】开发区工业污水处理厂应尽快实施扩容及提标改造，确保工业污水处理厂外排尾水COD排放浓度执行25mg/L，总氮排放浓度执行15mg/L，其他污染因子执行《电镀水污染物排放标准》（DB44/1597—2015）中表3特别排放限值及《地表水环境质量标准》（GB3838-2002）Ⅳ类标准的较严者。</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rPr>
                <w:rFonts w:hint="eastAsia" w:ascii="仿宋" w:hAnsi="仿宋" w:eastAsia="仿宋" w:cs="仿宋"/>
                <w:sz w:val="18"/>
                <w:szCs w:val="18"/>
              </w:rPr>
            </w:pPr>
            <w:r>
              <w:rPr>
                <w:rFonts w:hint="eastAsia" w:ascii="仿宋" w:hAnsi="仿宋" w:eastAsia="仿宋" w:cs="仿宋"/>
                <w:sz w:val="18"/>
                <w:szCs w:val="18"/>
              </w:rPr>
              <w:t>3-4.【水/综合类】含电镀工艺的企业生产废水纳入梅州市华禹污水处理厂电镀废水处理系统处理，其他企业生产废水纳入梅州市华禹污水处理厂非电镀废水处理系统处理；生活污水纳入梅州粤海水务有限公司江南水质净化二厂处理。梅州市华禹污水处理厂电镀废水处理系统排放尾水中，化学需氧量浓度不得高于25mg/L，其他污染物执行广东省《电镀水污染物排放标准》（DB 44/1597—2015）表3“水污染物特别排放限值”、广东省《水污染物排放限值》（DB 44/26—2001）第二时段一级标准、《地表水环境质量标准》（GB 3838—2002）Ⅳ类标准数值的较严者；非电镀废水处理系统排放尾水中，化学需氧量浓度不得高于25mg/L，其他污染物执行DB 44/26—2001第二时段一级标准和GB 3838—2002Ⅳ类标准数值的较严者，生产废水、生活污水排放量应分别控制在13836吨/日、4230吨/日以内，化学需氧量、氨氮排放量应分别控制在179.2吨/年、14.7吨/年以内。</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《广东省生态环境厅关于印发广东梅州经济开发区规划修编环境影响报告书审查意见的函》（粤环审〔2021〕233号）</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4</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ZH44140220002</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广东梅州经济开发区重点管控单元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污染物排放管控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3-6.【固废/综合类】产生、收集、贮存、运输、利用、处置固体废物的单位和其他生产经营者，应当采取防扬散、防流失、防渗漏或者其他防止污染环境的措施，不得擅自倾倒、堆放、丢弃、遗撒固体废物。</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-6.【固废/综合类】按照减量化、资源化、无害化要求，落实固体废物分类收集、综合利用和处理处置等措施，防止造成二次污染。一般工业固体废物应立足于回收利用，不能利用的应按有关要求进行处置。危险废物的污染防治须严格执行国家和省对危险废物管理的有关规定，送有资质的单位处理处置。</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《广东省生态环境厅关于印发广东梅州经济开发区规划修编环境影响报告书审查意见的函》（粤环审〔2021〕233号）</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5</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ZH44140220002</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广东梅州经济开发区重点管控单元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污染物排放管控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3-8.【其他/综合类】园区各项污染物排放总量不得突破规划环评或生态环境部门核定的污染物排放总量管控要求</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3-8.【其他/综合类】</w:t>
            </w:r>
            <w:r>
              <w:rPr>
                <w:rFonts w:hint="eastAsia" w:ascii="仿宋" w:hAnsi="仿宋" w:eastAsia="仿宋" w:cs="仿宋"/>
                <w:color w:val="000000" w:themeColor="text1"/>
                <w:sz w:val="18"/>
                <w:szCs w:val="18"/>
                <w14:textFill>
                  <w14:solidFill>
                    <w14:schemeClr w14:val="tx1"/>
                  </w14:solidFill>
                </w14:textFill>
              </w:rPr>
              <w:t>园区各项污染物排放总量不得突破规划修编环评或生态环境部门核定的污染物排放总量管控要求”</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《广东梅州经济开发区规划修编环境影响报告书》、《广东省生态环境厅关于印发广东梅州经济开发区规划修编环境影响报告书审查意见的函》（粤环审〔2021〕233号）</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6</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ZH44140220002</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广东梅州经济开发区重点管控单元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污染物排放管控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无</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3-9.现有项目及新建、改建、扩建项目不得排放持久性有机污染物或除镍之外的第一类污染物，改建项目不得增加水污染物排放量。</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《广东省生态环境厅关于印发广东梅州经济开发区规划修编环境影响报告书审查意见的函》（粤环审〔2021〕233号）</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7</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ZH44140220002</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广东梅州经济开发区重点管控单元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环境风险防控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无</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4-2.【风险/综合类】不断完善企业—开发区—区域三级环境风险防范与应急体系，强化各级环境风险防范与应急措施，定期开展应急培训及演练。开发区内各企业应结合生产废水产生量，设置足够容积的事故应急池。开发区污水处理设施各类应急池总容积应不小于20100立方米，并在可能汇入消防废水的雨水沟旁边设置足够容积的消防废水应急池，禁止事故废水、消防废水进入梅江。开发区应对各项污染防治设施实施密切监控，保障设施正常运行，确保梅江水环境安全。</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《广东省生态环境厅关于印发广东梅州经济开发区规划修编环境影响报告书审查意见的函》（粤环审〔2021〕233号）</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8</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ZH44142320002</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丰顺县经济开发区（扩区）重点管控单元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污染物排放管控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3-3.【水/综合类】加快推进开发区（扩区）配套污水厂及污水收集管网建设，区内企业产生的废水经企业自建污水处理设施处理达到广东省《水污染物排放限值》（DB44/26-2001）第二时段一级标准后排入龙车溪</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-3.【水/综合类】区内企业产生的废水经企业自建污水处理设施处理或排入丰顺县广州海珠（丰顺）产业转移工业园污水处理厂处理达到广东省《水污染物排放限值》（DB44/26-2001）第二时段一级标准后排入龙车溪支流白石溪</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关于丰顺县广州海珠（丰顺）产业转移工业园污水处理厂入河排污口设置的批复》（丰水务〔2019〕116号）；广州海珠（丰顺）产业转移工业园污水处理厂已于2019年12月取得排污许可证（许可编号：91441423MA5417HM2D001R），纳污水体为白石溪</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9</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ZH44142320004</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丰顺县电子电声配套产业园重点管控单元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污染物排放管控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-1.【大气/综合类】园区内重点行业新建项目实施挥发性有机物等量替代。现有涉挥发性有机物（VOCs）排放的企业应优先使用低挥发性有机物含量的原材料和低排放环保工艺，自2021年10月8日起，全面执行《挥发性有机物无组织排放控制标准》（GB37822-2019）附录A“厂区内VOCs无组织排放监控要求”，厂区内VOCs无组织排放监控点浓度执行特别排放限值。</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-1.【大气/综合类】园区内重点行业新建项目实施挥发性有机物等量替代。现有涉挥发性有机物（VOCs）排放的企业应优先使用低挥发性有机物含量的原材料和低排放环保工艺，挥发性有机物排放管理执行广东省地方标准《固定污染源挥发性有机物综合排放标准》（DB44/2367—2022）、《挥发性有机物无组织排放控制标准》（GB37822-2019）以及相关行业标准。</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广东省地方标准《固定污染源挥发性有机物综合排放标准》（DB44/2367-2022）、《挥发性有机物无组织排放控制标准》（GB37822-2019）以及相关行业标准</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10</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ZH44142320004</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丰顺县电子电声配套产业园重点管控单元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污染物排放管控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-3.【水/综合类】加快推进园区配套工业废水集中处理站、污水厂及污废水收集管网建设。园区配套的拟建工业废水集中处理站出水应执行广东省《电镀水污染物排放标准》（DB441597-2015）表2中“非珠三角排放限值”和《地表水环境质量标准》（GB3838-2002）Ⅳ类标准中较严者。园区内产生含铬废水的企业应采取措施实现含铬废水零排放。园区配套的拟建污水处理厂出水应执行广东省《水污染物排放限值》（DB44/26-2001）第二时段一级标准及《城镇污水处理厂污染物排放标准》（GB18918-2002）一级A标准之中较严者。</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3-3.【水/综合类】加快推进搬迁安置点新建污水处理厂、配套污水收集管网和中水回用系统建设，污水处理厂未建成前，原则上排放生产废水的工业企业不得投入运行；污水处理厂尾水排放执行《电镀水污染物排放标准》（DB44/159-2015）表3排放限值；</w:t>
            </w:r>
          </w:p>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园区铬排放量控制在0.094329t/a内。</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丰顺县城区及周边（汤坑镇、汤西镇、汤南镇等）区域均属于榕江北河流域，“三线一单”编制时参照《韩江流域水质保护规划（2017-2025年）》有关“停止审批向河流排放汞、镉、六价铬等一类水污染物或持久性有机污染物的建设项目”规定，提出了铬零排放的管控要求。</w:t>
            </w:r>
          </w:p>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丰顺县现有6家电镀企业，根据全口径涉重金属重点行业企业清单，“十三五”铬排放总量0.1035t/a。根据《广东省“十四五”重金属污染防治工作方案》，“十四五”期间梅州市涉重金属重点行业企业废水重金属污染物排放总量需在“十三五”排放总量的基础上削减6%，因此，6家电镀企业铬排放量需削减0.009171t/a，经削减后控制在0.094329t/a内。</w:t>
            </w:r>
          </w:p>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由于6家企业现状布局较为分散，存在规模小、车间布局差等发展限制因素，丰顺县拟将6家企业整治搬迁至开发较为成熟、基础设施配套较完善的丰顺县电子电声配套产业园，6家电镀企业现址、搬迁后地址均属于榕江北河流域，搬迁后生产废水经集中处理达标后排入白石溪，经龙车溪汇入榕江北河，同时通过提升治理水平、减少铬排放量，有助于推动电镀企业集聚绿色发展，促进区域水环境质量改善。</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11</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ZH44148120003</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东莞石碣（兴宁）产业转移工业园区重点管控单元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区域布局管控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1-1.【产业/鼓励引导类】园区主要引进机械制造、电子五金、食品药品、电子信息、生物科技等产业。</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1-1.【产业/鼓励引导类】园区主要引进装备制造、医疗器械、电子信息、生物科技等产业”</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根据近五年园区发展现状和未来规划发展方向，引进类型企业为“装备制造、医疗器械、电子信息、生物科技等”</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12</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ZH44140320006</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梅县区产业集聚地重点管控单元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区域布局管控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1-1.【产业/鼓励引导类】集聚地城东白渡产业园片区主要引进装备制造、新型电子和新材料等产业</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1-1.【产业/鼓励引导类】集聚地城东白渡产业园片区重点发展电子信息、新材料、装备制造等战略性支柱产业，拓展发展新能源新建材，生物医药等新兴产业，构建一体化产业链梯度布局</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《关于梅县区产业集聚地产业发展规划（2021-2030年）环境影响报告书的审查意见》（梅市环审〔2022〕12号）</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13</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ZH44140320006</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梅县区产业集聚地重点管控单元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区域布局管控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1-2.【产业/禁止类】禁止新建向河流排放含汞、砷、镉、铬、铅等重金属污染物和持久性有机污染物的项目。</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1-2.【产业/禁止类】停止审批向河流排放汞、镉、六价铬等一类水污染物或持久性有机污染物的项目。</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《梅州市人民政府关于印发梅州市“三线一单”生态环境分区管控方案的通知》（梅市府〔2021〕14号）</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2022年更新调整已审核内容</w:t>
            </w:r>
          </w:p>
        </w:tc>
      </w:tr>
      <w:tr>
        <w:tblPrEx>
          <w:tblCellMar>
            <w:top w:w="0" w:type="dxa"/>
            <w:left w:w="108" w:type="dxa"/>
            <w:bottom w:w="0" w:type="dxa"/>
            <w:right w:w="108" w:type="dxa"/>
          </w:tblCellMar>
        </w:tblPrEx>
        <w:trPr>
          <w:trHeight w:val="285" w:hRule="atLeast"/>
        </w:trPr>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14</w:t>
            </w:r>
          </w:p>
        </w:tc>
        <w:tc>
          <w:tcPr>
            <w:tcW w:w="16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园区型重点管控单元</w:t>
            </w:r>
          </w:p>
        </w:tc>
        <w:tc>
          <w:tcPr>
            <w:tcW w:w="654"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ZH44142620001</w:t>
            </w:r>
          </w:p>
        </w:tc>
        <w:tc>
          <w:tcPr>
            <w:tcW w:w="1498"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广东平远县产业转移工业园区重点管控单元</w:t>
            </w:r>
          </w:p>
        </w:tc>
        <w:tc>
          <w:tcPr>
            <w:tcW w:w="219"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区域布局管控</w:t>
            </w:r>
          </w:p>
        </w:tc>
        <w:tc>
          <w:tcPr>
            <w:tcW w:w="801"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rPr>
              <w:t>1-2.【产业/禁止类】严禁电镀、制革、漂染、化工、造纸等重污染行业的企业入园，严禁引进排放含有毒有害物质和一类污染物的项目。除园区现有的木材加工业、建材（水泥厂）外，未开发用地不得再引入木材加工企业、建材业。</w:t>
            </w:r>
          </w:p>
        </w:tc>
        <w:tc>
          <w:tcPr>
            <w:tcW w:w="802"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仿宋" w:hAnsi="仿宋" w:eastAsia="仿宋" w:cs="仿宋"/>
                <w:sz w:val="18"/>
                <w:szCs w:val="18"/>
                <w:lang w:val="en-US" w:eastAsia="zh-CN"/>
              </w:rPr>
            </w:pPr>
            <w:r>
              <w:rPr>
                <w:rFonts w:hint="eastAsia" w:ascii="仿宋" w:hAnsi="仿宋" w:eastAsia="仿宋" w:cs="仿宋"/>
                <w:sz w:val="18"/>
                <w:szCs w:val="18"/>
              </w:rPr>
              <w:t>1-2.【产业/禁止类】</w:t>
            </w:r>
            <w:r>
              <w:rPr>
                <w:rFonts w:hint="eastAsia" w:ascii="仿宋" w:hAnsi="仿宋" w:eastAsia="仿宋" w:cs="仿宋"/>
                <w:sz w:val="18"/>
                <w:szCs w:val="18"/>
                <w:lang w:val="en-US" w:eastAsia="zh-CN"/>
              </w:rPr>
              <w:t>严禁专业电镀、制革、漂染、化工、造纸等重污染行业的企业入园，严禁引进排放含有毒有害物质和一类污染物的项目。除园区现有的木材加工业和水泥项目外，未开发用地不得再引进新的木材加工业和水泥项目</w:t>
            </w:r>
            <w:r>
              <w:rPr>
                <w:rFonts w:hint="eastAsia" w:ascii="仿宋" w:hAnsi="仿宋" w:eastAsia="仿宋" w:cs="仿宋"/>
                <w:sz w:val="18"/>
                <w:szCs w:val="18"/>
              </w:rPr>
              <w:t>。</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仿宋" w:hAnsi="仿宋" w:eastAsia="仿宋" w:cs="仿宋"/>
                <w:sz w:val="18"/>
                <w:szCs w:val="18"/>
              </w:rPr>
            </w:pPr>
            <w:r>
              <w:rPr>
                <w:rFonts w:hint="eastAsia" w:ascii="仿宋" w:hAnsi="仿宋" w:eastAsia="仿宋" w:cs="仿宋"/>
                <w:sz w:val="18"/>
                <w:szCs w:val="18"/>
                <w:lang w:val="en-US" w:eastAsia="zh-CN"/>
              </w:rPr>
              <w:t>《关于东莞市塘厦（平远）产业转移工业园环境影响报告书的批复》</w:t>
            </w:r>
          </w:p>
        </w:tc>
        <w:tc>
          <w:tcPr>
            <w:tcW w:w="350" w:type="pct"/>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default" w:ascii="仿宋" w:hAnsi="仿宋" w:eastAsia="仿宋" w:cs="仿宋"/>
                <w:sz w:val="18"/>
                <w:szCs w:val="18"/>
                <w:lang w:val="en-US" w:eastAsia="zh-CN"/>
              </w:rPr>
            </w:pPr>
            <w:r>
              <w:rPr>
                <w:rFonts w:hint="eastAsia" w:ascii="仿宋" w:hAnsi="仿宋" w:cs="仿宋"/>
                <w:sz w:val="18"/>
                <w:szCs w:val="18"/>
                <w:lang w:val="en-US" w:eastAsia="zh-CN"/>
              </w:rPr>
              <w:t>新增调整内容</w:t>
            </w:r>
          </w:p>
        </w:tc>
      </w:tr>
    </w:tbl>
    <w:p>
      <w:pPr>
        <w:pStyle w:val="21"/>
        <w:ind w:left="0" w:leftChars="0" w:firstLine="0" w:firstLineChars="0"/>
        <w:rPr>
          <w:rFonts w:hint="eastAsia" w:ascii="仿宋" w:hAnsi="仿宋" w:eastAsia="仿宋" w:cs="仿宋"/>
          <w:color w:val="000000"/>
          <w:kern w:val="0"/>
          <w:sz w:val="24"/>
          <w:szCs w:val="24"/>
          <w:lang w:eastAsia="zh-CN"/>
        </w:rPr>
      </w:pPr>
    </w:p>
    <w:sectPr>
      <w:pgSz w:w="16838" w:h="11906" w:orient="landscape"/>
      <w:pgMar w:top="1803" w:right="1440" w:bottom="1803" w:left="1440" w:header="851" w:footer="992" w:gutter="0"/>
      <w:pgNumType w:fmt="decimal"/>
      <w:cols w:space="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159"/>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159"/>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CB5846"/>
    <w:multiLevelType w:val="singleLevel"/>
    <w:tmpl w:val="4ECB5846"/>
    <w:lvl w:ilvl="0" w:tentative="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320"/>
  <w:drawingGridVerticalSpacing w:val="21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2NzM0ZjNmYWVlNDNmOGNmNmJmNmQ0NGM1ZTU2MjkifQ=="/>
  </w:docVars>
  <w:rsids>
    <w:rsidRoot w:val="00172A27"/>
    <w:rsid w:val="0000252E"/>
    <w:rsid w:val="00005AD2"/>
    <w:rsid w:val="00007729"/>
    <w:rsid w:val="00014AE8"/>
    <w:rsid w:val="00022ECF"/>
    <w:rsid w:val="00023D05"/>
    <w:rsid w:val="00025D14"/>
    <w:rsid w:val="00025E7B"/>
    <w:rsid w:val="00026768"/>
    <w:rsid w:val="00030DB3"/>
    <w:rsid w:val="0003343E"/>
    <w:rsid w:val="000342AA"/>
    <w:rsid w:val="00034AEF"/>
    <w:rsid w:val="00034C37"/>
    <w:rsid w:val="00034D3A"/>
    <w:rsid w:val="00035671"/>
    <w:rsid w:val="00035E4B"/>
    <w:rsid w:val="00037457"/>
    <w:rsid w:val="00040185"/>
    <w:rsid w:val="00043FA1"/>
    <w:rsid w:val="000501E5"/>
    <w:rsid w:val="000503AA"/>
    <w:rsid w:val="00051645"/>
    <w:rsid w:val="00052956"/>
    <w:rsid w:val="00053F75"/>
    <w:rsid w:val="00057AD2"/>
    <w:rsid w:val="000628A2"/>
    <w:rsid w:val="00063374"/>
    <w:rsid w:val="00065AB2"/>
    <w:rsid w:val="00066C66"/>
    <w:rsid w:val="0007043F"/>
    <w:rsid w:val="00073756"/>
    <w:rsid w:val="000779CE"/>
    <w:rsid w:val="0008041F"/>
    <w:rsid w:val="00082555"/>
    <w:rsid w:val="000856CF"/>
    <w:rsid w:val="00086903"/>
    <w:rsid w:val="00090CC9"/>
    <w:rsid w:val="00096CF4"/>
    <w:rsid w:val="00097421"/>
    <w:rsid w:val="000A2D06"/>
    <w:rsid w:val="000A3F57"/>
    <w:rsid w:val="000A7D84"/>
    <w:rsid w:val="000B0AE5"/>
    <w:rsid w:val="000B4BD3"/>
    <w:rsid w:val="000C3DF5"/>
    <w:rsid w:val="000D18E6"/>
    <w:rsid w:val="000D5FC7"/>
    <w:rsid w:val="000E0350"/>
    <w:rsid w:val="000E71D0"/>
    <w:rsid w:val="000F2039"/>
    <w:rsid w:val="000F397F"/>
    <w:rsid w:val="000F4A7D"/>
    <w:rsid w:val="000F5CF7"/>
    <w:rsid w:val="000F649F"/>
    <w:rsid w:val="000F725F"/>
    <w:rsid w:val="000F762E"/>
    <w:rsid w:val="00121880"/>
    <w:rsid w:val="00124984"/>
    <w:rsid w:val="00125C37"/>
    <w:rsid w:val="001300D2"/>
    <w:rsid w:val="00131FD5"/>
    <w:rsid w:val="00136E46"/>
    <w:rsid w:val="001440E5"/>
    <w:rsid w:val="00144C6F"/>
    <w:rsid w:val="00145119"/>
    <w:rsid w:val="00153404"/>
    <w:rsid w:val="00156BAE"/>
    <w:rsid w:val="00156C95"/>
    <w:rsid w:val="001576D2"/>
    <w:rsid w:val="00162E38"/>
    <w:rsid w:val="00164624"/>
    <w:rsid w:val="0017105E"/>
    <w:rsid w:val="00171A3D"/>
    <w:rsid w:val="00172A27"/>
    <w:rsid w:val="00172F37"/>
    <w:rsid w:val="00174AD6"/>
    <w:rsid w:val="001802E5"/>
    <w:rsid w:val="00181A42"/>
    <w:rsid w:val="00181B25"/>
    <w:rsid w:val="00181E96"/>
    <w:rsid w:val="00183230"/>
    <w:rsid w:val="00183813"/>
    <w:rsid w:val="00184078"/>
    <w:rsid w:val="00184E7D"/>
    <w:rsid w:val="00186B92"/>
    <w:rsid w:val="0018771D"/>
    <w:rsid w:val="001907CB"/>
    <w:rsid w:val="00191F17"/>
    <w:rsid w:val="00196690"/>
    <w:rsid w:val="001A0686"/>
    <w:rsid w:val="001A0D7B"/>
    <w:rsid w:val="001B109C"/>
    <w:rsid w:val="001B6AC2"/>
    <w:rsid w:val="001B6F77"/>
    <w:rsid w:val="001C2866"/>
    <w:rsid w:val="001C39B4"/>
    <w:rsid w:val="001C6C65"/>
    <w:rsid w:val="001D00CA"/>
    <w:rsid w:val="001D209D"/>
    <w:rsid w:val="001E2629"/>
    <w:rsid w:val="001E39D6"/>
    <w:rsid w:val="001E40FC"/>
    <w:rsid w:val="001E4C07"/>
    <w:rsid w:val="001E6048"/>
    <w:rsid w:val="0020198D"/>
    <w:rsid w:val="00201ACD"/>
    <w:rsid w:val="00202CF8"/>
    <w:rsid w:val="0020587D"/>
    <w:rsid w:val="00210FEE"/>
    <w:rsid w:val="002123B7"/>
    <w:rsid w:val="0021604C"/>
    <w:rsid w:val="002164DC"/>
    <w:rsid w:val="00225D5D"/>
    <w:rsid w:val="00227973"/>
    <w:rsid w:val="00231809"/>
    <w:rsid w:val="002357AF"/>
    <w:rsid w:val="002371E0"/>
    <w:rsid w:val="0024089C"/>
    <w:rsid w:val="002416EC"/>
    <w:rsid w:val="00242D87"/>
    <w:rsid w:val="0024480D"/>
    <w:rsid w:val="00244FFF"/>
    <w:rsid w:val="00250696"/>
    <w:rsid w:val="002506E2"/>
    <w:rsid w:val="0025523C"/>
    <w:rsid w:val="00255AFA"/>
    <w:rsid w:val="00261CAE"/>
    <w:rsid w:val="00267316"/>
    <w:rsid w:val="00271364"/>
    <w:rsid w:val="00272EFA"/>
    <w:rsid w:val="00274314"/>
    <w:rsid w:val="00275D24"/>
    <w:rsid w:val="002806E1"/>
    <w:rsid w:val="00283D69"/>
    <w:rsid w:val="00291394"/>
    <w:rsid w:val="00291524"/>
    <w:rsid w:val="00294065"/>
    <w:rsid w:val="002A14FA"/>
    <w:rsid w:val="002A2268"/>
    <w:rsid w:val="002A37A8"/>
    <w:rsid w:val="002B29AD"/>
    <w:rsid w:val="002C6725"/>
    <w:rsid w:val="002D007F"/>
    <w:rsid w:val="002D15C7"/>
    <w:rsid w:val="002D2685"/>
    <w:rsid w:val="002D38D7"/>
    <w:rsid w:val="002D4E50"/>
    <w:rsid w:val="002D665A"/>
    <w:rsid w:val="002D7996"/>
    <w:rsid w:val="002D7CEF"/>
    <w:rsid w:val="002E2540"/>
    <w:rsid w:val="002E5F6C"/>
    <w:rsid w:val="002E75BB"/>
    <w:rsid w:val="002F0F8F"/>
    <w:rsid w:val="002F1487"/>
    <w:rsid w:val="002F26A4"/>
    <w:rsid w:val="002F30F4"/>
    <w:rsid w:val="002F465E"/>
    <w:rsid w:val="002F51B6"/>
    <w:rsid w:val="002F5345"/>
    <w:rsid w:val="002F5DE5"/>
    <w:rsid w:val="002F76FC"/>
    <w:rsid w:val="003033FF"/>
    <w:rsid w:val="00310FEA"/>
    <w:rsid w:val="00312CE1"/>
    <w:rsid w:val="00314957"/>
    <w:rsid w:val="00317AE0"/>
    <w:rsid w:val="003259FB"/>
    <w:rsid w:val="0033147E"/>
    <w:rsid w:val="00333653"/>
    <w:rsid w:val="00344713"/>
    <w:rsid w:val="0034721A"/>
    <w:rsid w:val="00347F00"/>
    <w:rsid w:val="00350720"/>
    <w:rsid w:val="00352070"/>
    <w:rsid w:val="00354175"/>
    <w:rsid w:val="0035447A"/>
    <w:rsid w:val="0035564C"/>
    <w:rsid w:val="00356803"/>
    <w:rsid w:val="00357216"/>
    <w:rsid w:val="00364902"/>
    <w:rsid w:val="0036711A"/>
    <w:rsid w:val="00374358"/>
    <w:rsid w:val="00380301"/>
    <w:rsid w:val="00382F51"/>
    <w:rsid w:val="00383CD8"/>
    <w:rsid w:val="0038578C"/>
    <w:rsid w:val="00391206"/>
    <w:rsid w:val="003926E1"/>
    <w:rsid w:val="00394FDB"/>
    <w:rsid w:val="003966BC"/>
    <w:rsid w:val="003A0F7A"/>
    <w:rsid w:val="003A219B"/>
    <w:rsid w:val="003A38E5"/>
    <w:rsid w:val="003A4CDA"/>
    <w:rsid w:val="003A587F"/>
    <w:rsid w:val="003A6BF3"/>
    <w:rsid w:val="003B1354"/>
    <w:rsid w:val="003B6B60"/>
    <w:rsid w:val="003B7E99"/>
    <w:rsid w:val="003C0CC6"/>
    <w:rsid w:val="003C2411"/>
    <w:rsid w:val="003C6F8E"/>
    <w:rsid w:val="003C72A2"/>
    <w:rsid w:val="003C7403"/>
    <w:rsid w:val="003D22E5"/>
    <w:rsid w:val="003D481F"/>
    <w:rsid w:val="003D5DF6"/>
    <w:rsid w:val="003D74E1"/>
    <w:rsid w:val="003D7AA4"/>
    <w:rsid w:val="003D7CE6"/>
    <w:rsid w:val="003E4C24"/>
    <w:rsid w:val="003E78D6"/>
    <w:rsid w:val="003F46D1"/>
    <w:rsid w:val="003F63CE"/>
    <w:rsid w:val="003F6E28"/>
    <w:rsid w:val="00400A87"/>
    <w:rsid w:val="00400DAE"/>
    <w:rsid w:val="0041020D"/>
    <w:rsid w:val="00420676"/>
    <w:rsid w:val="00421448"/>
    <w:rsid w:val="0042642F"/>
    <w:rsid w:val="00426E07"/>
    <w:rsid w:val="00433D50"/>
    <w:rsid w:val="004353FC"/>
    <w:rsid w:val="004365AB"/>
    <w:rsid w:val="00436797"/>
    <w:rsid w:val="00441847"/>
    <w:rsid w:val="00442366"/>
    <w:rsid w:val="00442A3B"/>
    <w:rsid w:val="00445FD3"/>
    <w:rsid w:val="0044770A"/>
    <w:rsid w:val="00452FDA"/>
    <w:rsid w:val="00454043"/>
    <w:rsid w:val="0045782F"/>
    <w:rsid w:val="00457C17"/>
    <w:rsid w:val="00460671"/>
    <w:rsid w:val="004615C2"/>
    <w:rsid w:val="00463C80"/>
    <w:rsid w:val="00464E29"/>
    <w:rsid w:val="00467D4C"/>
    <w:rsid w:val="00471EF0"/>
    <w:rsid w:val="00474877"/>
    <w:rsid w:val="00475888"/>
    <w:rsid w:val="00482F31"/>
    <w:rsid w:val="004830D5"/>
    <w:rsid w:val="00484441"/>
    <w:rsid w:val="00485E40"/>
    <w:rsid w:val="00486E06"/>
    <w:rsid w:val="00490720"/>
    <w:rsid w:val="00492C48"/>
    <w:rsid w:val="00494D7D"/>
    <w:rsid w:val="004976DF"/>
    <w:rsid w:val="004A4FAB"/>
    <w:rsid w:val="004A56ED"/>
    <w:rsid w:val="004B55C5"/>
    <w:rsid w:val="004B5EAE"/>
    <w:rsid w:val="004C250A"/>
    <w:rsid w:val="004C2C18"/>
    <w:rsid w:val="004C33CB"/>
    <w:rsid w:val="004D0072"/>
    <w:rsid w:val="004D0613"/>
    <w:rsid w:val="004D0B09"/>
    <w:rsid w:val="004D4088"/>
    <w:rsid w:val="004D793C"/>
    <w:rsid w:val="004F3459"/>
    <w:rsid w:val="004F3842"/>
    <w:rsid w:val="004F4E4C"/>
    <w:rsid w:val="004F6ED9"/>
    <w:rsid w:val="00501898"/>
    <w:rsid w:val="00501FD4"/>
    <w:rsid w:val="00503AF5"/>
    <w:rsid w:val="00506050"/>
    <w:rsid w:val="0050641E"/>
    <w:rsid w:val="00506AE4"/>
    <w:rsid w:val="00506DDD"/>
    <w:rsid w:val="00507E42"/>
    <w:rsid w:val="00511C1D"/>
    <w:rsid w:val="00516AF1"/>
    <w:rsid w:val="005215A7"/>
    <w:rsid w:val="00522968"/>
    <w:rsid w:val="005232C1"/>
    <w:rsid w:val="00533D1D"/>
    <w:rsid w:val="005468B2"/>
    <w:rsid w:val="00546EA4"/>
    <w:rsid w:val="0055243C"/>
    <w:rsid w:val="00553DB2"/>
    <w:rsid w:val="00555B26"/>
    <w:rsid w:val="00555DD8"/>
    <w:rsid w:val="00556298"/>
    <w:rsid w:val="00557130"/>
    <w:rsid w:val="005574C9"/>
    <w:rsid w:val="00560417"/>
    <w:rsid w:val="00561218"/>
    <w:rsid w:val="00561A9F"/>
    <w:rsid w:val="00564B45"/>
    <w:rsid w:val="00566284"/>
    <w:rsid w:val="00567C83"/>
    <w:rsid w:val="00584F5D"/>
    <w:rsid w:val="00586D51"/>
    <w:rsid w:val="00587302"/>
    <w:rsid w:val="00590A33"/>
    <w:rsid w:val="00593BC9"/>
    <w:rsid w:val="0059589C"/>
    <w:rsid w:val="00596447"/>
    <w:rsid w:val="005975D7"/>
    <w:rsid w:val="00597AE1"/>
    <w:rsid w:val="005A030B"/>
    <w:rsid w:val="005A109E"/>
    <w:rsid w:val="005A14B1"/>
    <w:rsid w:val="005A14BD"/>
    <w:rsid w:val="005A736B"/>
    <w:rsid w:val="005B6BB1"/>
    <w:rsid w:val="005C24F8"/>
    <w:rsid w:val="005C42E7"/>
    <w:rsid w:val="005C53BF"/>
    <w:rsid w:val="005C55D7"/>
    <w:rsid w:val="005C73B7"/>
    <w:rsid w:val="005D174A"/>
    <w:rsid w:val="005D3054"/>
    <w:rsid w:val="005D33C8"/>
    <w:rsid w:val="005D5383"/>
    <w:rsid w:val="005E22B7"/>
    <w:rsid w:val="005E3AE9"/>
    <w:rsid w:val="005E5506"/>
    <w:rsid w:val="005F2B02"/>
    <w:rsid w:val="005F3F74"/>
    <w:rsid w:val="005F652A"/>
    <w:rsid w:val="0060080A"/>
    <w:rsid w:val="00605C9B"/>
    <w:rsid w:val="00605E89"/>
    <w:rsid w:val="006060E6"/>
    <w:rsid w:val="00607EF9"/>
    <w:rsid w:val="00611253"/>
    <w:rsid w:val="00613E05"/>
    <w:rsid w:val="00617C92"/>
    <w:rsid w:val="00620242"/>
    <w:rsid w:val="00620364"/>
    <w:rsid w:val="00621565"/>
    <w:rsid w:val="00622238"/>
    <w:rsid w:val="006269E0"/>
    <w:rsid w:val="006305C0"/>
    <w:rsid w:val="00631DA8"/>
    <w:rsid w:val="00635D29"/>
    <w:rsid w:val="00636B4D"/>
    <w:rsid w:val="00640665"/>
    <w:rsid w:val="006415FB"/>
    <w:rsid w:val="00641969"/>
    <w:rsid w:val="00644D38"/>
    <w:rsid w:val="006459D7"/>
    <w:rsid w:val="006476D5"/>
    <w:rsid w:val="00651AED"/>
    <w:rsid w:val="00653A88"/>
    <w:rsid w:val="00654B8E"/>
    <w:rsid w:val="00657FDB"/>
    <w:rsid w:val="0066087C"/>
    <w:rsid w:val="006638CD"/>
    <w:rsid w:val="00665D92"/>
    <w:rsid w:val="00666548"/>
    <w:rsid w:val="00667E95"/>
    <w:rsid w:val="0067284A"/>
    <w:rsid w:val="00674A6B"/>
    <w:rsid w:val="006759E2"/>
    <w:rsid w:val="00675BE9"/>
    <w:rsid w:val="00676CCB"/>
    <w:rsid w:val="00680A66"/>
    <w:rsid w:val="00680A67"/>
    <w:rsid w:val="0068221A"/>
    <w:rsid w:val="00687005"/>
    <w:rsid w:val="006951D7"/>
    <w:rsid w:val="006970C3"/>
    <w:rsid w:val="006A2D38"/>
    <w:rsid w:val="006A3005"/>
    <w:rsid w:val="006A6F8B"/>
    <w:rsid w:val="006B067C"/>
    <w:rsid w:val="006B668D"/>
    <w:rsid w:val="006B7D32"/>
    <w:rsid w:val="006C24BB"/>
    <w:rsid w:val="006C2715"/>
    <w:rsid w:val="006C3046"/>
    <w:rsid w:val="006C3682"/>
    <w:rsid w:val="006C4019"/>
    <w:rsid w:val="006C573D"/>
    <w:rsid w:val="006D41DA"/>
    <w:rsid w:val="006D49BB"/>
    <w:rsid w:val="006E0875"/>
    <w:rsid w:val="006E4531"/>
    <w:rsid w:val="006E536C"/>
    <w:rsid w:val="006E5FFF"/>
    <w:rsid w:val="006E6856"/>
    <w:rsid w:val="006F150C"/>
    <w:rsid w:val="006F2AE7"/>
    <w:rsid w:val="006F5624"/>
    <w:rsid w:val="0070120E"/>
    <w:rsid w:val="007029C5"/>
    <w:rsid w:val="00703421"/>
    <w:rsid w:val="00707CC3"/>
    <w:rsid w:val="00712B33"/>
    <w:rsid w:val="00713260"/>
    <w:rsid w:val="00720AAB"/>
    <w:rsid w:val="0072111A"/>
    <w:rsid w:val="007272DC"/>
    <w:rsid w:val="00727D6A"/>
    <w:rsid w:val="00731011"/>
    <w:rsid w:val="007342EF"/>
    <w:rsid w:val="007368C2"/>
    <w:rsid w:val="007458E1"/>
    <w:rsid w:val="007571A7"/>
    <w:rsid w:val="00757608"/>
    <w:rsid w:val="007600B8"/>
    <w:rsid w:val="00763D6B"/>
    <w:rsid w:val="007640E6"/>
    <w:rsid w:val="007640EB"/>
    <w:rsid w:val="00764940"/>
    <w:rsid w:val="007664A1"/>
    <w:rsid w:val="00767333"/>
    <w:rsid w:val="007739F1"/>
    <w:rsid w:val="00775B84"/>
    <w:rsid w:val="00780F90"/>
    <w:rsid w:val="0078473F"/>
    <w:rsid w:val="00784B2D"/>
    <w:rsid w:val="00785EC8"/>
    <w:rsid w:val="007A5D34"/>
    <w:rsid w:val="007A6847"/>
    <w:rsid w:val="007A6DCF"/>
    <w:rsid w:val="007B3DB5"/>
    <w:rsid w:val="007B3DB6"/>
    <w:rsid w:val="007B41EF"/>
    <w:rsid w:val="007B5F74"/>
    <w:rsid w:val="007C5D8F"/>
    <w:rsid w:val="007C698C"/>
    <w:rsid w:val="007D219F"/>
    <w:rsid w:val="007D75F9"/>
    <w:rsid w:val="007E0376"/>
    <w:rsid w:val="007E2B38"/>
    <w:rsid w:val="007E4618"/>
    <w:rsid w:val="007F1C0C"/>
    <w:rsid w:val="007F2446"/>
    <w:rsid w:val="007F3661"/>
    <w:rsid w:val="007F3946"/>
    <w:rsid w:val="007F3E4F"/>
    <w:rsid w:val="007F612E"/>
    <w:rsid w:val="00802A3E"/>
    <w:rsid w:val="008045ED"/>
    <w:rsid w:val="00805E04"/>
    <w:rsid w:val="008077DB"/>
    <w:rsid w:val="00807C92"/>
    <w:rsid w:val="0081295E"/>
    <w:rsid w:val="0081397B"/>
    <w:rsid w:val="00815AA5"/>
    <w:rsid w:val="00817C0B"/>
    <w:rsid w:val="00820FBF"/>
    <w:rsid w:val="008261A6"/>
    <w:rsid w:val="00826C19"/>
    <w:rsid w:val="00826DD1"/>
    <w:rsid w:val="00830E19"/>
    <w:rsid w:val="00832669"/>
    <w:rsid w:val="008335CF"/>
    <w:rsid w:val="00834CB6"/>
    <w:rsid w:val="00836716"/>
    <w:rsid w:val="008373AC"/>
    <w:rsid w:val="00840998"/>
    <w:rsid w:val="00840CB5"/>
    <w:rsid w:val="00841FE6"/>
    <w:rsid w:val="00842783"/>
    <w:rsid w:val="00844F37"/>
    <w:rsid w:val="00845309"/>
    <w:rsid w:val="00846496"/>
    <w:rsid w:val="00847519"/>
    <w:rsid w:val="008515C9"/>
    <w:rsid w:val="008529DF"/>
    <w:rsid w:val="00854B61"/>
    <w:rsid w:val="0085664C"/>
    <w:rsid w:val="0086060A"/>
    <w:rsid w:val="00860D54"/>
    <w:rsid w:val="00861C16"/>
    <w:rsid w:val="00864CAF"/>
    <w:rsid w:val="008662AF"/>
    <w:rsid w:val="00874BAF"/>
    <w:rsid w:val="00877ACA"/>
    <w:rsid w:val="00882C0E"/>
    <w:rsid w:val="0089180E"/>
    <w:rsid w:val="00891A25"/>
    <w:rsid w:val="008A242E"/>
    <w:rsid w:val="008A4652"/>
    <w:rsid w:val="008A5B43"/>
    <w:rsid w:val="008A7058"/>
    <w:rsid w:val="008A79D0"/>
    <w:rsid w:val="008B046C"/>
    <w:rsid w:val="008B0EB2"/>
    <w:rsid w:val="008B2742"/>
    <w:rsid w:val="008B6706"/>
    <w:rsid w:val="008B765A"/>
    <w:rsid w:val="008B78FF"/>
    <w:rsid w:val="008C24CC"/>
    <w:rsid w:val="008C4BA5"/>
    <w:rsid w:val="008C5679"/>
    <w:rsid w:val="008C6181"/>
    <w:rsid w:val="008C6386"/>
    <w:rsid w:val="008C663E"/>
    <w:rsid w:val="008D04AF"/>
    <w:rsid w:val="008D0525"/>
    <w:rsid w:val="008D4B45"/>
    <w:rsid w:val="008E27DA"/>
    <w:rsid w:val="008E47EF"/>
    <w:rsid w:val="008E4A02"/>
    <w:rsid w:val="008E65BB"/>
    <w:rsid w:val="008F004B"/>
    <w:rsid w:val="008F305C"/>
    <w:rsid w:val="008F580A"/>
    <w:rsid w:val="009000B5"/>
    <w:rsid w:val="009065CF"/>
    <w:rsid w:val="0090685A"/>
    <w:rsid w:val="0091349D"/>
    <w:rsid w:val="00914500"/>
    <w:rsid w:val="0091488C"/>
    <w:rsid w:val="00916B66"/>
    <w:rsid w:val="0092782D"/>
    <w:rsid w:val="00934E96"/>
    <w:rsid w:val="00935FA3"/>
    <w:rsid w:val="00936171"/>
    <w:rsid w:val="00936FB7"/>
    <w:rsid w:val="00941F4B"/>
    <w:rsid w:val="00943079"/>
    <w:rsid w:val="009441AE"/>
    <w:rsid w:val="00944A1E"/>
    <w:rsid w:val="00944F75"/>
    <w:rsid w:val="00946107"/>
    <w:rsid w:val="0095048C"/>
    <w:rsid w:val="00952DCD"/>
    <w:rsid w:val="00960049"/>
    <w:rsid w:val="00962C14"/>
    <w:rsid w:val="00973307"/>
    <w:rsid w:val="009735DD"/>
    <w:rsid w:val="00973829"/>
    <w:rsid w:val="0098508F"/>
    <w:rsid w:val="00985A08"/>
    <w:rsid w:val="00985C49"/>
    <w:rsid w:val="009861BA"/>
    <w:rsid w:val="00986411"/>
    <w:rsid w:val="00991DD7"/>
    <w:rsid w:val="00991F80"/>
    <w:rsid w:val="00995609"/>
    <w:rsid w:val="0099610F"/>
    <w:rsid w:val="009A3BFA"/>
    <w:rsid w:val="009A4AAA"/>
    <w:rsid w:val="009A52A4"/>
    <w:rsid w:val="009B3062"/>
    <w:rsid w:val="009B39C6"/>
    <w:rsid w:val="009B6420"/>
    <w:rsid w:val="009B7E07"/>
    <w:rsid w:val="009C59C6"/>
    <w:rsid w:val="009C5BE2"/>
    <w:rsid w:val="009C72D4"/>
    <w:rsid w:val="009D1AF8"/>
    <w:rsid w:val="009E0CD5"/>
    <w:rsid w:val="009E284B"/>
    <w:rsid w:val="009E284D"/>
    <w:rsid w:val="009E3D61"/>
    <w:rsid w:val="009E41C5"/>
    <w:rsid w:val="009E4290"/>
    <w:rsid w:val="009E4776"/>
    <w:rsid w:val="009E60E8"/>
    <w:rsid w:val="009E6292"/>
    <w:rsid w:val="009F00A0"/>
    <w:rsid w:val="009F2B77"/>
    <w:rsid w:val="009F493B"/>
    <w:rsid w:val="009F4F24"/>
    <w:rsid w:val="009F5EB7"/>
    <w:rsid w:val="009F5FF2"/>
    <w:rsid w:val="009F62D8"/>
    <w:rsid w:val="009F6AB4"/>
    <w:rsid w:val="00A0106F"/>
    <w:rsid w:val="00A04AC6"/>
    <w:rsid w:val="00A05F3C"/>
    <w:rsid w:val="00A062C3"/>
    <w:rsid w:val="00A219A9"/>
    <w:rsid w:val="00A22BF6"/>
    <w:rsid w:val="00A2316F"/>
    <w:rsid w:val="00A23953"/>
    <w:rsid w:val="00A34D94"/>
    <w:rsid w:val="00A3739E"/>
    <w:rsid w:val="00A40082"/>
    <w:rsid w:val="00A406B0"/>
    <w:rsid w:val="00A43E42"/>
    <w:rsid w:val="00A473D0"/>
    <w:rsid w:val="00A628E1"/>
    <w:rsid w:val="00A65B33"/>
    <w:rsid w:val="00A70109"/>
    <w:rsid w:val="00A70492"/>
    <w:rsid w:val="00A7126A"/>
    <w:rsid w:val="00A76C0B"/>
    <w:rsid w:val="00A76C12"/>
    <w:rsid w:val="00A82375"/>
    <w:rsid w:val="00A826C4"/>
    <w:rsid w:val="00A8564B"/>
    <w:rsid w:val="00A86ADF"/>
    <w:rsid w:val="00A87CF0"/>
    <w:rsid w:val="00A87D42"/>
    <w:rsid w:val="00A908D6"/>
    <w:rsid w:val="00AA16E3"/>
    <w:rsid w:val="00AA31A5"/>
    <w:rsid w:val="00AA4844"/>
    <w:rsid w:val="00AA66A5"/>
    <w:rsid w:val="00AB26C5"/>
    <w:rsid w:val="00AB356B"/>
    <w:rsid w:val="00AC3FBD"/>
    <w:rsid w:val="00AD0B4E"/>
    <w:rsid w:val="00AD420B"/>
    <w:rsid w:val="00AD5079"/>
    <w:rsid w:val="00AD6C89"/>
    <w:rsid w:val="00AE02C3"/>
    <w:rsid w:val="00AE1EA4"/>
    <w:rsid w:val="00AE21D8"/>
    <w:rsid w:val="00AE2292"/>
    <w:rsid w:val="00AE22FF"/>
    <w:rsid w:val="00AE2AD0"/>
    <w:rsid w:val="00AE4354"/>
    <w:rsid w:val="00AF061C"/>
    <w:rsid w:val="00AF2936"/>
    <w:rsid w:val="00AF36DE"/>
    <w:rsid w:val="00AF3BB0"/>
    <w:rsid w:val="00AF562B"/>
    <w:rsid w:val="00AF6799"/>
    <w:rsid w:val="00B01C27"/>
    <w:rsid w:val="00B06A52"/>
    <w:rsid w:val="00B11EFA"/>
    <w:rsid w:val="00B334BA"/>
    <w:rsid w:val="00B3380F"/>
    <w:rsid w:val="00B3519B"/>
    <w:rsid w:val="00B354FC"/>
    <w:rsid w:val="00B41C0C"/>
    <w:rsid w:val="00B478AA"/>
    <w:rsid w:val="00B479E6"/>
    <w:rsid w:val="00B504DD"/>
    <w:rsid w:val="00B529E4"/>
    <w:rsid w:val="00B5300A"/>
    <w:rsid w:val="00B55B89"/>
    <w:rsid w:val="00B607AB"/>
    <w:rsid w:val="00B63C4D"/>
    <w:rsid w:val="00B648C6"/>
    <w:rsid w:val="00B728A6"/>
    <w:rsid w:val="00B73B02"/>
    <w:rsid w:val="00B76F83"/>
    <w:rsid w:val="00B779FE"/>
    <w:rsid w:val="00B82561"/>
    <w:rsid w:val="00B849D7"/>
    <w:rsid w:val="00B9040A"/>
    <w:rsid w:val="00B905DB"/>
    <w:rsid w:val="00B92A08"/>
    <w:rsid w:val="00B93225"/>
    <w:rsid w:val="00B93743"/>
    <w:rsid w:val="00B93FA7"/>
    <w:rsid w:val="00B96885"/>
    <w:rsid w:val="00B96C47"/>
    <w:rsid w:val="00BA771C"/>
    <w:rsid w:val="00BB0695"/>
    <w:rsid w:val="00BB1C74"/>
    <w:rsid w:val="00BB2002"/>
    <w:rsid w:val="00BC7F9C"/>
    <w:rsid w:val="00BD1FD4"/>
    <w:rsid w:val="00BD2697"/>
    <w:rsid w:val="00BD317C"/>
    <w:rsid w:val="00BD43E0"/>
    <w:rsid w:val="00BD7E90"/>
    <w:rsid w:val="00BE1574"/>
    <w:rsid w:val="00BE3CA8"/>
    <w:rsid w:val="00BE44A9"/>
    <w:rsid w:val="00BE4F05"/>
    <w:rsid w:val="00BE5226"/>
    <w:rsid w:val="00BF0140"/>
    <w:rsid w:val="00BF0FEA"/>
    <w:rsid w:val="00BF1447"/>
    <w:rsid w:val="00BF315F"/>
    <w:rsid w:val="00C00B1C"/>
    <w:rsid w:val="00C028A2"/>
    <w:rsid w:val="00C05A97"/>
    <w:rsid w:val="00C073FF"/>
    <w:rsid w:val="00C103BD"/>
    <w:rsid w:val="00C11CCA"/>
    <w:rsid w:val="00C1230B"/>
    <w:rsid w:val="00C13DD2"/>
    <w:rsid w:val="00C16127"/>
    <w:rsid w:val="00C16CCB"/>
    <w:rsid w:val="00C16EE4"/>
    <w:rsid w:val="00C17024"/>
    <w:rsid w:val="00C17C9E"/>
    <w:rsid w:val="00C25B61"/>
    <w:rsid w:val="00C267FC"/>
    <w:rsid w:val="00C305A4"/>
    <w:rsid w:val="00C33605"/>
    <w:rsid w:val="00C41271"/>
    <w:rsid w:val="00C4325B"/>
    <w:rsid w:val="00C45E23"/>
    <w:rsid w:val="00C465D7"/>
    <w:rsid w:val="00C4762A"/>
    <w:rsid w:val="00C47B7C"/>
    <w:rsid w:val="00C50AC7"/>
    <w:rsid w:val="00C513BB"/>
    <w:rsid w:val="00C52EC0"/>
    <w:rsid w:val="00C53448"/>
    <w:rsid w:val="00C55B10"/>
    <w:rsid w:val="00C576B3"/>
    <w:rsid w:val="00C57A06"/>
    <w:rsid w:val="00C57BC1"/>
    <w:rsid w:val="00C632F1"/>
    <w:rsid w:val="00C64448"/>
    <w:rsid w:val="00C67937"/>
    <w:rsid w:val="00C70F98"/>
    <w:rsid w:val="00C75D33"/>
    <w:rsid w:val="00C864DD"/>
    <w:rsid w:val="00C87D9F"/>
    <w:rsid w:val="00C90A83"/>
    <w:rsid w:val="00C91076"/>
    <w:rsid w:val="00C93502"/>
    <w:rsid w:val="00C96A13"/>
    <w:rsid w:val="00CB05D2"/>
    <w:rsid w:val="00CB15BD"/>
    <w:rsid w:val="00CB1F69"/>
    <w:rsid w:val="00CB2131"/>
    <w:rsid w:val="00CB4419"/>
    <w:rsid w:val="00CB51C2"/>
    <w:rsid w:val="00CB5662"/>
    <w:rsid w:val="00CB57DE"/>
    <w:rsid w:val="00CB7F95"/>
    <w:rsid w:val="00CC3404"/>
    <w:rsid w:val="00CC5EAE"/>
    <w:rsid w:val="00CE03BB"/>
    <w:rsid w:val="00CE0965"/>
    <w:rsid w:val="00CE0F6E"/>
    <w:rsid w:val="00CE6FFA"/>
    <w:rsid w:val="00CF0A2F"/>
    <w:rsid w:val="00CF1C2F"/>
    <w:rsid w:val="00CF38AD"/>
    <w:rsid w:val="00CF50C0"/>
    <w:rsid w:val="00CF525C"/>
    <w:rsid w:val="00CF75F4"/>
    <w:rsid w:val="00D01F64"/>
    <w:rsid w:val="00D03FA5"/>
    <w:rsid w:val="00D06B64"/>
    <w:rsid w:val="00D14201"/>
    <w:rsid w:val="00D1641E"/>
    <w:rsid w:val="00D2003A"/>
    <w:rsid w:val="00D208D7"/>
    <w:rsid w:val="00D22843"/>
    <w:rsid w:val="00D240D9"/>
    <w:rsid w:val="00D33151"/>
    <w:rsid w:val="00D36828"/>
    <w:rsid w:val="00D37A64"/>
    <w:rsid w:val="00D41954"/>
    <w:rsid w:val="00D4317F"/>
    <w:rsid w:val="00D43769"/>
    <w:rsid w:val="00D44AB2"/>
    <w:rsid w:val="00D5052C"/>
    <w:rsid w:val="00D54318"/>
    <w:rsid w:val="00D5517D"/>
    <w:rsid w:val="00D57569"/>
    <w:rsid w:val="00D60CFB"/>
    <w:rsid w:val="00D66549"/>
    <w:rsid w:val="00D713B2"/>
    <w:rsid w:val="00D76039"/>
    <w:rsid w:val="00D77759"/>
    <w:rsid w:val="00D802C5"/>
    <w:rsid w:val="00D816AE"/>
    <w:rsid w:val="00D816E1"/>
    <w:rsid w:val="00D84CB1"/>
    <w:rsid w:val="00D85C50"/>
    <w:rsid w:val="00D90BD4"/>
    <w:rsid w:val="00D92B1F"/>
    <w:rsid w:val="00D94168"/>
    <w:rsid w:val="00D9524A"/>
    <w:rsid w:val="00D976E1"/>
    <w:rsid w:val="00D9773B"/>
    <w:rsid w:val="00DB15B6"/>
    <w:rsid w:val="00DC4E60"/>
    <w:rsid w:val="00DC6858"/>
    <w:rsid w:val="00DD06B0"/>
    <w:rsid w:val="00DD0D97"/>
    <w:rsid w:val="00DD152D"/>
    <w:rsid w:val="00DD3C7B"/>
    <w:rsid w:val="00DD4789"/>
    <w:rsid w:val="00DD4FA8"/>
    <w:rsid w:val="00DD79CD"/>
    <w:rsid w:val="00DE4D81"/>
    <w:rsid w:val="00DF4D37"/>
    <w:rsid w:val="00E0075F"/>
    <w:rsid w:val="00E05A21"/>
    <w:rsid w:val="00E06425"/>
    <w:rsid w:val="00E10294"/>
    <w:rsid w:val="00E106D2"/>
    <w:rsid w:val="00E10812"/>
    <w:rsid w:val="00E10D90"/>
    <w:rsid w:val="00E17476"/>
    <w:rsid w:val="00E17E63"/>
    <w:rsid w:val="00E20AFC"/>
    <w:rsid w:val="00E22418"/>
    <w:rsid w:val="00E26F57"/>
    <w:rsid w:val="00E27982"/>
    <w:rsid w:val="00E33456"/>
    <w:rsid w:val="00E37C87"/>
    <w:rsid w:val="00E44E00"/>
    <w:rsid w:val="00E53EEF"/>
    <w:rsid w:val="00E55182"/>
    <w:rsid w:val="00E55961"/>
    <w:rsid w:val="00E55C84"/>
    <w:rsid w:val="00E62CCC"/>
    <w:rsid w:val="00E6309F"/>
    <w:rsid w:val="00E653F1"/>
    <w:rsid w:val="00E66FF3"/>
    <w:rsid w:val="00E7397E"/>
    <w:rsid w:val="00E73D4C"/>
    <w:rsid w:val="00E841B6"/>
    <w:rsid w:val="00E84FAE"/>
    <w:rsid w:val="00E87FAA"/>
    <w:rsid w:val="00E937AE"/>
    <w:rsid w:val="00EA211E"/>
    <w:rsid w:val="00EA2D98"/>
    <w:rsid w:val="00EB282D"/>
    <w:rsid w:val="00EB44BB"/>
    <w:rsid w:val="00EB6012"/>
    <w:rsid w:val="00EC26E0"/>
    <w:rsid w:val="00EC2829"/>
    <w:rsid w:val="00EC51A8"/>
    <w:rsid w:val="00EC7EFD"/>
    <w:rsid w:val="00ED5F62"/>
    <w:rsid w:val="00ED70FF"/>
    <w:rsid w:val="00EE1F9D"/>
    <w:rsid w:val="00EE327F"/>
    <w:rsid w:val="00EE4FB4"/>
    <w:rsid w:val="00EF09CC"/>
    <w:rsid w:val="00EF469F"/>
    <w:rsid w:val="00F021CA"/>
    <w:rsid w:val="00F1336F"/>
    <w:rsid w:val="00F1450D"/>
    <w:rsid w:val="00F14710"/>
    <w:rsid w:val="00F1679E"/>
    <w:rsid w:val="00F2272D"/>
    <w:rsid w:val="00F25808"/>
    <w:rsid w:val="00F344A2"/>
    <w:rsid w:val="00F3571F"/>
    <w:rsid w:val="00F45444"/>
    <w:rsid w:val="00F462CB"/>
    <w:rsid w:val="00F514DB"/>
    <w:rsid w:val="00F51A57"/>
    <w:rsid w:val="00F53264"/>
    <w:rsid w:val="00F552EA"/>
    <w:rsid w:val="00F603E6"/>
    <w:rsid w:val="00F62144"/>
    <w:rsid w:val="00F7379F"/>
    <w:rsid w:val="00F87512"/>
    <w:rsid w:val="00F87726"/>
    <w:rsid w:val="00F92655"/>
    <w:rsid w:val="00F96F33"/>
    <w:rsid w:val="00F97DD8"/>
    <w:rsid w:val="00FA1BF9"/>
    <w:rsid w:val="00FA6948"/>
    <w:rsid w:val="00FA7BC1"/>
    <w:rsid w:val="00FB56A6"/>
    <w:rsid w:val="00FC01E2"/>
    <w:rsid w:val="00FC6449"/>
    <w:rsid w:val="00FD0B20"/>
    <w:rsid w:val="00FD159E"/>
    <w:rsid w:val="00FD5545"/>
    <w:rsid w:val="00FE1748"/>
    <w:rsid w:val="00FE400E"/>
    <w:rsid w:val="00FE458A"/>
    <w:rsid w:val="00FE4B83"/>
    <w:rsid w:val="00FE6CF9"/>
    <w:rsid w:val="00FF1986"/>
    <w:rsid w:val="00FF3A70"/>
    <w:rsid w:val="01922FDC"/>
    <w:rsid w:val="021843D5"/>
    <w:rsid w:val="06D118A6"/>
    <w:rsid w:val="06FD0568"/>
    <w:rsid w:val="07A71752"/>
    <w:rsid w:val="081560D4"/>
    <w:rsid w:val="08DD2784"/>
    <w:rsid w:val="0A1246B0"/>
    <w:rsid w:val="0A6F1043"/>
    <w:rsid w:val="0ADD6A68"/>
    <w:rsid w:val="0B007D34"/>
    <w:rsid w:val="0B892750"/>
    <w:rsid w:val="0E0770C6"/>
    <w:rsid w:val="0FE44F29"/>
    <w:rsid w:val="10CD20A0"/>
    <w:rsid w:val="10E423B2"/>
    <w:rsid w:val="118346CF"/>
    <w:rsid w:val="11AF5659"/>
    <w:rsid w:val="13C15975"/>
    <w:rsid w:val="14972685"/>
    <w:rsid w:val="14C55E60"/>
    <w:rsid w:val="14FE0240"/>
    <w:rsid w:val="155B5C22"/>
    <w:rsid w:val="16261A3E"/>
    <w:rsid w:val="1672617A"/>
    <w:rsid w:val="16865379"/>
    <w:rsid w:val="16AB22F5"/>
    <w:rsid w:val="16F23A1C"/>
    <w:rsid w:val="17407F0F"/>
    <w:rsid w:val="17473D3D"/>
    <w:rsid w:val="19424F3C"/>
    <w:rsid w:val="1A1B241E"/>
    <w:rsid w:val="1AE364CE"/>
    <w:rsid w:val="1B7C7047"/>
    <w:rsid w:val="1B8C6F67"/>
    <w:rsid w:val="1BC31CAE"/>
    <w:rsid w:val="1BDD206F"/>
    <w:rsid w:val="1C7B4A90"/>
    <w:rsid w:val="1D383726"/>
    <w:rsid w:val="1D934E3A"/>
    <w:rsid w:val="1E04013A"/>
    <w:rsid w:val="1F645F09"/>
    <w:rsid w:val="1FF937B7"/>
    <w:rsid w:val="20A44489"/>
    <w:rsid w:val="21432E6B"/>
    <w:rsid w:val="22174256"/>
    <w:rsid w:val="247A7465"/>
    <w:rsid w:val="24C01C52"/>
    <w:rsid w:val="250E1E50"/>
    <w:rsid w:val="2558039D"/>
    <w:rsid w:val="29E8431C"/>
    <w:rsid w:val="2BB55F54"/>
    <w:rsid w:val="2BCF2051"/>
    <w:rsid w:val="2D3F1B8A"/>
    <w:rsid w:val="2D476FB4"/>
    <w:rsid w:val="2D5E6E4B"/>
    <w:rsid w:val="2E6322FA"/>
    <w:rsid w:val="30C3266E"/>
    <w:rsid w:val="310B2A9A"/>
    <w:rsid w:val="31163B8F"/>
    <w:rsid w:val="31820941"/>
    <w:rsid w:val="32507C1D"/>
    <w:rsid w:val="32E27213"/>
    <w:rsid w:val="34640701"/>
    <w:rsid w:val="350513BC"/>
    <w:rsid w:val="35423579"/>
    <w:rsid w:val="368963E8"/>
    <w:rsid w:val="36B00505"/>
    <w:rsid w:val="37A23B2A"/>
    <w:rsid w:val="38BF2C10"/>
    <w:rsid w:val="39860939"/>
    <w:rsid w:val="399B28DB"/>
    <w:rsid w:val="3A503557"/>
    <w:rsid w:val="3CC90F76"/>
    <w:rsid w:val="3EDA1E96"/>
    <w:rsid w:val="3F973AC8"/>
    <w:rsid w:val="41052441"/>
    <w:rsid w:val="416F73CE"/>
    <w:rsid w:val="42230D3D"/>
    <w:rsid w:val="42255201"/>
    <w:rsid w:val="423E3E87"/>
    <w:rsid w:val="437A0EB2"/>
    <w:rsid w:val="459A309A"/>
    <w:rsid w:val="46086C49"/>
    <w:rsid w:val="46542FB1"/>
    <w:rsid w:val="47B47B43"/>
    <w:rsid w:val="4B28661A"/>
    <w:rsid w:val="4D4A178F"/>
    <w:rsid w:val="4E937BFF"/>
    <w:rsid w:val="507546D4"/>
    <w:rsid w:val="50B60BB9"/>
    <w:rsid w:val="517A394C"/>
    <w:rsid w:val="51B03E58"/>
    <w:rsid w:val="52380FD4"/>
    <w:rsid w:val="530F50BF"/>
    <w:rsid w:val="54143024"/>
    <w:rsid w:val="545D36F6"/>
    <w:rsid w:val="55FF120F"/>
    <w:rsid w:val="56C44BCF"/>
    <w:rsid w:val="57FC60C6"/>
    <w:rsid w:val="58EC0F80"/>
    <w:rsid w:val="5A4F7372"/>
    <w:rsid w:val="5B01324C"/>
    <w:rsid w:val="5B110D22"/>
    <w:rsid w:val="5B3866FE"/>
    <w:rsid w:val="5C0E429B"/>
    <w:rsid w:val="5C155772"/>
    <w:rsid w:val="5CAD5F1E"/>
    <w:rsid w:val="5FDB1C41"/>
    <w:rsid w:val="60813189"/>
    <w:rsid w:val="61D2367E"/>
    <w:rsid w:val="61EE4D13"/>
    <w:rsid w:val="62194993"/>
    <w:rsid w:val="62DD2A39"/>
    <w:rsid w:val="63004E32"/>
    <w:rsid w:val="63E26BE4"/>
    <w:rsid w:val="648F470F"/>
    <w:rsid w:val="6526735C"/>
    <w:rsid w:val="65A25A7C"/>
    <w:rsid w:val="661C3DB1"/>
    <w:rsid w:val="663529F6"/>
    <w:rsid w:val="6777511B"/>
    <w:rsid w:val="67784B43"/>
    <w:rsid w:val="677D08DA"/>
    <w:rsid w:val="67863576"/>
    <w:rsid w:val="68154515"/>
    <w:rsid w:val="6888552E"/>
    <w:rsid w:val="68D347FA"/>
    <w:rsid w:val="69DB2B9F"/>
    <w:rsid w:val="6A38011E"/>
    <w:rsid w:val="6A822C72"/>
    <w:rsid w:val="6A840B66"/>
    <w:rsid w:val="6C465EC8"/>
    <w:rsid w:val="6C8206D0"/>
    <w:rsid w:val="6C87574D"/>
    <w:rsid w:val="6E8D2104"/>
    <w:rsid w:val="6F961B22"/>
    <w:rsid w:val="705D1B8B"/>
    <w:rsid w:val="7203182B"/>
    <w:rsid w:val="72641036"/>
    <w:rsid w:val="73012A08"/>
    <w:rsid w:val="743814BE"/>
    <w:rsid w:val="75394239"/>
    <w:rsid w:val="757D5C51"/>
    <w:rsid w:val="77275875"/>
    <w:rsid w:val="77E856CF"/>
    <w:rsid w:val="782377C2"/>
    <w:rsid w:val="78272FE3"/>
    <w:rsid w:val="78FA7377"/>
    <w:rsid w:val="798908BC"/>
    <w:rsid w:val="7A7D2ECE"/>
    <w:rsid w:val="7ABE723F"/>
    <w:rsid w:val="7ABF1D9F"/>
    <w:rsid w:val="7C294058"/>
    <w:rsid w:val="7C73144A"/>
    <w:rsid w:val="7C851980"/>
    <w:rsid w:val="7D4D3CF3"/>
    <w:rsid w:val="7E7A6F9E"/>
    <w:rsid w:val="7F0B110E"/>
    <w:rsid w:val="7F16583B"/>
    <w:rsid w:val="7F786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32"/>
      <w:szCs w:val="24"/>
      <w:lang w:val="en-US" w:eastAsia="zh-CN" w:bidi="ar-SA"/>
    </w:rPr>
  </w:style>
  <w:style w:type="paragraph" w:styleId="4">
    <w:name w:val="heading 1"/>
    <w:basedOn w:val="1"/>
    <w:next w:val="1"/>
    <w:link w:val="32"/>
    <w:qFormat/>
    <w:uiPriority w:val="9"/>
    <w:pPr>
      <w:keepNext/>
      <w:keepLines/>
      <w:spacing w:beforeAutospacing="1" w:afterAutospacing="1" w:line="440" w:lineRule="exact"/>
      <w:ind w:left="100" w:leftChars="100" w:right="100" w:rightChars="100"/>
      <w:outlineLvl w:val="0"/>
    </w:pPr>
    <w:rPr>
      <w:rFonts w:eastAsia="宋体"/>
      <w:b/>
      <w:bCs/>
      <w:kern w:val="44"/>
      <w:szCs w:val="44"/>
    </w:rPr>
  </w:style>
  <w:style w:type="paragraph" w:styleId="5">
    <w:name w:val="heading 2"/>
    <w:basedOn w:val="1"/>
    <w:next w:val="1"/>
    <w:link w:val="33"/>
    <w:unhideWhenUsed/>
    <w:qFormat/>
    <w:uiPriority w:val="9"/>
    <w:pPr>
      <w:keepNext/>
      <w:keepLines/>
      <w:spacing w:beforeAutospacing="1" w:afterAutospacing="1" w:line="440" w:lineRule="exact"/>
      <w:outlineLvl w:val="1"/>
    </w:pPr>
    <w:rPr>
      <w:rFonts w:eastAsia="黑体" w:cstheme="majorBidi"/>
      <w:bCs/>
      <w:sz w:val="30"/>
      <w:szCs w:val="32"/>
    </w:rPr>
  </w:style>
  <w:style w:type="paragraph" w:styleId="6">
    <w:name w:val="heading 3"/>
    <w:basedOn w:val="1"/>
    <w:next w:val="1"/>
    <w:link w:val="34"/>
    <w:unhideWhenUsed/>
    <w:qFormat/>
    <w:uiPriority w:val="9"/>
    <w:pPr>
      <w:keepNext/>
      <w:keepLines/>
      <w:spacing w:beforeAutospacing="1" w:afterAutospacing="1" w:line="440" w:lineRule="exact"/>
      <w:jc w:val="left"/>
      <w:outlineLvl w:val="2"/>
    </w:pPr>
    <w:rPr>
      <w:b/>
      <w:bCs/>
      <w:sz w:val="30"/>
      <w:szCs w:val="32"/>
    </w:rPr>
  </w:style>
  <w:style w:type="paragraph" w:styleId="7">
    <w:name w:val="heading 4"/>
    <w:basedOn w:val="8"/>
    <w:next w:val="8"/>
    <w:qFormat/>
    <w:uiPriority w:val="0"/>
    <w:pPr>
      <w:keepNext/>
      <w:keepLines/>
      <w:ind w:left="0" w:leftChars="0" w:firstLine="0" w:firstLineChars="0"/>
      <w:jc w:val="left"/>
      <w:outlineLvl w:val="3"/>
    </w:pPr>
    <w:rPr>
      <w:b/>
      <w:sz w:val="28"/>
    </w:rPr>
  </w:style>
  <w:style w:type="paragraph" w:styleId="9">
    <w:name w:val="heading 5"/>
    <w:basedOn w:val="1"/>
    <w:next w:val="1"/>
    <w:unhideWhenUsed/>
    <w:qFormat/>
    <w:uiPriority w:val="9"/>
    <w:pPr>
      <w:keepNext/>
      <w:keepLines/>
      <w:spacing w:line="600" w:lineRule="exact"/>
      <w:outlineLvl w:val="4"/>
    </w:pPr>
    <w:rPr>
      <w:b/>
      <w:sz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Calibri" w:hAnsi="Calibri" w:eastAsia="宋体" w:cs="Times New Roman"/>
      <w:sz w:val="24"/>
      <w:szCs w:val="24"/>
    </w:rPr>
  </w:style>
  <w:style w:type="paragraph" w:styleId="3">
    <w:name w:val="Title"/>
    <w:basedOn w:val="1"/>
    <w:next w:val="1"/>
    <w:qFormat/>
    <w:uiPriority w:val="10"/>
    <w:pPr>
      <w:spacing w:before="240" w:after="60"/>
      <w:jc w:val="center"/>
      <w:outlineLvl w:val="0"/>
    </w:pPr>
    <w:rPr>
      <w:rFonts w:ascii="Cambria" w:hAnsi="Cambria" w:cs="Times New Roman"/>
      <w:b/>
      <w:bCs/>
      <w:sz w:val="32"/>
      <w:szCs w:val="32"/>
    </w:rPr>
  </w:style>
  <w:style w:type="paragraph" w:styleId="8">
    <w:name w:val="table of figures"/>
    <w:basedOn w:val="1"/>
    <w:next w:val="1"/>
    <w:qFormat/>
    <w:uiPriority w:val="0"/>
    <w:pPr>
      <w:ind w:left="200" w:leftChars="200" w:hanging="200" w:hangingChars="200"/>
    </w:pPr>
  </w:style>
  <w:style w:type="paragraph" w:styleId="10">
    <w:name w:val="caption"/>
    <w:basedOn w:val="1"/>
    <w:next w:val="1"/>
    <w:semiHidden/>
    <w:unhideWhenUsed/>
    <w:qFormat/>
    <w:uiPriority w:val="35"/>
    <w:rPr>
      <w:rFonts w:ascii="Arial" w:hAnsi="Arial" w:eastAsia="黑体"/>
      <w:sz w:val="20"/>
    </w:rPr>
  </w:style>
  <w:style w:type="paragraph" w:styleId="11">
    <w:name w:val="annotation text"/>
    <w:basedOn w:val="1"/>
    <w:link w:val="35"/>
    <w:semiHidden/>
    <w:unhideWhenUsed/>
    <w:qFormat/>
    <w:uiPriority w:val="99"/>
    <w:pPr>
      <w:jc w:val="left"/>
    </w:pPr>
  </w:style>
  <w:style w:type="paragraph" w:styleId="12">
    <w:name w:val="Salutation"/>
    <w:basedOn w:val="1"/>
    <w:next w:val="1"/>
    <w:unhideWhenUsed/>
    <w:qFormat/>
    <w:uiPriority w:val="99"/>
    <w:rPr>
      <w:rFonts w:hint="eastAsia" w:ascii="等线" w:hAnsi="等线" w:eastAsia="等线" w:cs="Times New Roman"/>
      <w:szCs w:val="22"/>
    </w:rPr>
  </w:style>
  <w:style w:type="paragraph" w:styleId="13">
    <w:name w:val="Body Text Indent"/>
    <w:basedOn w:val="1"/>
    <w:qFormat/>
    <w:uiPriority w:val="0"/>
    <w:pPr>
      <w:ind w:firstLine="645"/>
    </w:pPr>
    <w:rPr>
      <w:rFonts w:ascii="仿宋_GB2312" w:eastAsia="仿宋_GB2312"/>
      <w:sz w:val="32"/>
    </w:rPr>
  </w:style>
  <w:style w:type="paragraph" w:styleId="14">
    <w:name w:val="toc 3"/>
    <w:basedOn w:val="1"/>
    <w:next w:val="1"/>
    <w:unhideWhenUsed/>
    <w:qFormat/>
    <w:uiPriority w:val="39"/>
    <w:pPr>
      <w:ind w:left="840" w:leftChars="400"/>
    </w:pPr>
  </w:style>
  <w:style w:type="paragraph" w:styleId="15">
    <w:name w:val="Balloon Text"/>
    <w:basedOn w:val="1"/>
    <w:link w:val="28"/>
    <w:semiHidden/>
    <w:unhideWhenUsed/>
    <w:qFormat/>
    <w:uiPriority w:val="99"/>
    <w:rPr>
      <w:sz w:val="18"/>
      <w:szCs w:val="18"/>
    </w:rPr>
  </w:style>
  <w:style w:type="paragraph" w:styleId="16">
    <w:name w:val="footer"/>
    <w:basedOn w:val="1"/>
    <w:link w:val="30"/>
    <w:unhideWhenUsed/>
    <w:qFormat/>
    <w:uiPriority w:val="99"/>
    <w:pPr>
      <w:tabs>
        <w:tab w:val="center" w:pos="4153"/>
        <w:tab w:val="right" w:pos="8306"/>
      </w:tabs>
      <w:snapToGrid w:val="0"/>
      <w:jc w:val="left"/>
    </w:pPr>
    <w:rPr>
      <w:sz w:val="18"/>
      <w:szCs w:val="18"/>
    </w:rPr>
  </w:style>
  <w:style w:type="paragraph" w:styleId="17">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annotation subject"/>
    <w:basedOn w:val="11"/>
    <w:next w:val="11"/>
    <w:link w:val="36"/>
    <w:semiHidden/>
    <w:unhideWhenUsed/>
    <w:qFormat/>
    <w:uiPriority w:val="99"/>
    <w:rPr>
      <w:b/>
      <w:bCs/>
    </w:rPr>
  </w:style>
  <w:style w:type="paragraph" w:styleId="21">
    <w:name w:val="Body Text First Indent"/>
    <w:basedOn w:val="2"/>
    <w:qFormat/>
    <w:uiPriority w:val="0"/>
    <w:pPr>
      <w:widowControl/>
      <w:adjustRightInd w:val="0"/>
      <w:snapToGrid w:val="0"/>
      <w:spacing w:before="100" w:beforeAutospacing="1"/>
      <w:ind w:firstLine="420" w:firstLineChars="100"/>
    </w:pPr>
    <w:rPr>
      <w:rFonts w:ascii="Tahoma" w:hAnsi="Tahoma" w:cs="Tahoma"/>
      <w:sz w:val="22"/>
    </w:rPr>
  </w:style>
  <w:style w:type="paragraph" w:styleId="22">
    <w:name w:val="Body Text First Indent 2"/>
    <w:basedOn w:val="13"/>
    <w:next w:val="21"/>
    <w:qFormat/>
    <w:uiPriority w:val="0"/>
    <w:pPr>
      <w:ind w:firstLine="420" w:firstLineChars="200"/>
    </w:pPr>
    <w:rPr>
      <w:rFonts w:ascii="Calibri" w:hAnsi="Calibri" w:cs="Times New Roman"/>
      <w:sz w:val="21"/>
      <w:szCs w:val="24"/>
    </w:rPr>
  </w:style>
  <w:style w:type="table" w:styleId="24">
    <w:name w:val="Table Gri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unhideWhenUsed/>
    <w:qFormat/>
    <w:uiPriority w:val="99"/>
    <w:rPr>
      <w:color w:val="0000FF"/>
      <w:u w:val="single"/>
    </w:rPr>
  </w:style>
  <w:style w:type="character" w:styleId="27">
    <w:name w:val="annotation reference"/>
    <w:basedOn w:val="25"/>
    <w:semiHidden/>
    <w:unhideWhenUsed/>
    <w:qFormat/>
    <w:uiPriority w:val="99"/>
    <w:rPr>
      <w:sz w:val="21"/>
      <w:szCs w:val="21"/>
    </w:rPr>
  </w:style>
  <w:style w:type="character" w:customStyle="1" w:styleId="28">
    <w:name w:val="批注框文本 Char"/>
    <w:basedOn w:val="25"/>
    <w:link w:val="15"/>
    <w:semiHidden/>
    <w:qFormat/>
    <w:uiPriority w:val="99"/>
    <w:rPr>
      <w:rFonts w:ascii="Times New Roman" w:hAnsi="Times New Roman" w:eastAsia="仿宋_GB2312" w:cs="Times New Roman"/>
      <w:kern w:val="2"/>
      <w:sz w:val="18"/>
      <w:szCs w:val="18"/>
    </w:rPr>
  </w:style>
  <w:style w:type="character" w:customStyle="1" w:styleId="29">
    <w:name w:val="页眉 Char"/>
    <w:basedOn w:val="25"/>
    <w:link w:val="17"/>
    <w:qFormat/>
    <w:uiPriority w:val="99"/>
    <w:rPr>
      <w:rFonts w:ascii="Times New Roman" w:hAnsi="Times New Roman" w:eastAsia="仿宋_GB2312" w:cs="Times New Roman"/>
      <w:kern w:val="2"/>
      <w:sz w:val="18"/>
      <w:szCs w:val="18"/>
    </w:rPr>
  </w:style>
  <w:style w:type="character" w:customStyle="1" w:styleId="30">
    <w:name w:val="页脚 Char"/>
    <w:basedOn w:val="25"/>
    <w:link w:val="16"/>
    <w:qFormat/>
    <w:uiPriority w:val="99"/>
    <w:rPr>
      <w:rFonts w:ascii="Times New Roman" w:hAnsi="Times New Roman" w:eastAsia="仿宋_GB2312" w:cs="Times New Roman"/>
      <w:kern w:val="2"/>
      <w:sz w:val="18"/>
      <w:szCs w:val="18"/>
    </w:rPr>
  </w:style>
  <w:style w:type="paragraph" w:styleId="31">
    <w:name w:val="List Paragraph"/>
    <w:basedOn w:val="1"/>
    <w:unhideWhenUsed/>
    <w:qFormat/>
    <w:uiPriority w:val="99"/>
    <w:pPr>
      <w:ind w:firstLine="420" w:firstLineChars="200"/>
    </w:pPr>
  </w:style>
  <w:style w:type="character" w:customStyle="1" w:styleId="32">
    <w:name w:val="标题 1 Char"/>
    <w:basedOn w:val="25"/>
    <w:link w:val="4"/>
    <w:qFormat/>
    <w:uiPriority w:val="9"/>
    <w:rPr>
      <w:rFonts w:ascii="Times New Roman" w:hAnsi="Times New Roman" w:eastAsia="宋体" w:cs="Times New Roman"/>
      <w:b/>
      <w:bCs/>
      <w:kern w:val="44"/>
      <w:sz w:val="32"/>
      <w:szCs w:val="44"/>
    </w:rPr>
  </w:style>
  <w:style w:type="character" w:customStyle="1" w:styleId="33">
    <w:name w:val="标题 2 Char"/>
    <w:basedOn w:val="25"/>
    <w:link w:val="5"/>
    <w:qFormat/>
    <w:uiPriority w:val="9"/>
    <w:rPr>
      <w:rFonts w:ascii="Times New Roman" w:hAnsi="Times New Roman" w:eastAsia="黑体" w:cstheme="majorBidi"/>
      <w:bCs/>
      <w:kern w:val="2"/>
      <w:sz w:val="30"/>
      <w:szCs w:val="32"/>
    </w:rPr>
  </w:style>
  <w:style w:type="character" w:customStyle="1" w:styleId="34">
    <w:name w:val="标题 3 Char"/>
    <w:basedOn w:val="25"/>
    <w:link w:val="6"/>
    <w:qFormat/>
    <w:uiPriority w:val="9"/>
    <w:rPr>
      <w:rFonts w:ascii="Times New Roman" w:hAnsi="Times New Roman" w:eastAsia="仿宋" w:cs="Times New Roman"/>
      <w:b/>
      <w:bCs/>
      <w:kern w:val="2"/>
      <w:sz w:val="30"/>
      <w:szCs w:val="32"/>
    </w:rPr>
  </w:style>
  <w:style w:type="character" w:customStyle="1" w:styleId="35">
    <w:name w:val="批注文字 Char"/>
    <w:basedOn w:val="25"/>
    <w:link w:val="11"/>
    <w:semiHidden/>
    <w:qFormat/>
    <w:uiPriority w:val="99"/>
    <w:rPr>
      <w:rFonts w:ascii="Times New Roman" w:hAnsi="Times New Roman" w:eastAsia="仿宋_GB2312" w:cs="Times New Roman"/>
      <w:kern w:val="2"/>
      <w:sz w:val="32"/>
      <w:szCs w:val="24"/>
    </w:rPr>
  </w:style>
  <w:style w:type="character" w:customStyle="1" w:styleId="36">
    <w:name w:val="批注主题 Char"/>
    <w:basedOn w:val="35"/>
    <w:link w:val="20"/>
    <w:semiHidden/>
    <w:qFormat/>
    <w:uiPriority w:val="99"/>
    <w:rPr>
      <w:rFonts w:ascii="Times New Roman" w:hAnsi="Times New Roman" w:eastAsia="仿宋_GB2312" w:cs="Times New Roman"/>
      <w:b/>
      <w:bCs/>
      <w:kern w:val="2"/>
      <w:sz w:val="32"/>
      <w:szCs w:val="24"/>
    </w:rPr>
  </w:style>
  <w:style w:type="character" w:customStyle="1" w:styleId="37">
    <w:name w:val="font11"/>
    <w:basedOn w:val="25"/>
    <w:qFormat/>
    <w:uiPriority w:val="0"/>
    <w:rPr>
      <w:rFonts w:hint="eastAsia" w:ascii="宋体" w:hAnsi="宋体" w:eastAsia="宋体" w:cs="宋体"/>
      <w:color w:val="000000"/>
      <w:sz w:val="21"/>
      <w:szCs w:val="21"/>
      <w:u w:val="none"/>
    </w:rPr>
  </w:style>
  <w:style w:type="character" w:customStyle="1" w:styleId="38">
    <w:name w:val="font31"/>
    <w:basedOn w:val="25"/>
    <w:qFormat/>
    <w:uiPriority w:val="0"/>
    <w:rPr>
      <w:rFonts w:hint="default" w:ascii="Times New Roman" w:hAnsi="Times New Roman" w:cs="Times New Roman"/>
      <w:color w:val="000000"/>
      <w:sz w:val="22"/>
      <w:szCs w:val="22"/>
      <w:u w:val="none"/>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1">
    <w:name w:val="WPSOffice手动目录 3"/>
    <w:qFormat/>
    <w:uiPriority w:val="0"/>
    <w:pPr>
      <w:ind w:left="400" w:leftChars="400"/>
    </w:pPr>
    <w:rPr>
      <w:rFonts w:ascii="Times New Roman" w:hAnsi="Times New Roman" w:eastAsia="宋体" w:cs="Times New Roman"/>
      <w:lang w:val="en-US" w:eastAsia="zh-CN" w:bidi="ar-SA"/>
    </w:rPr>
  </w:style>
  <w:style w:type="paragraph" w:styleId="42">
    <w:name w:val="No Spacing"/>
    <w:link w:val="43"/>
    <w:qFormat/>
    <w:uiPriority w:val="1"/>
    <w:rPr>
      <w:rFonts w:asciiTheme="minorHAnsi" w:hAnsiTheme="minorHAnsi" w:eastAsiaTheme="minorEastAsia" w:cstheme="minorBidi"/>
      <w:sz w:val="22"/>
      <w:szCs w:val="22"/>
      <w:lang w:val="en-US" w:eastAsia="zh-CN" w:bidi="ar-SA"/>
    </w:rPr>
  </w:style>
  <w:style w:type="character" w:customStyle="1" w:styleId="43">
    <w:name w:val="无间隔 Char"/>
    <w:basedOn w:val="25"/>
    <w:link w:val="42"/>
    <w:qFormat/>
    <w:uiPriority w:val="1"/>
    <w:rPr>
      <w:rFonts w:asciiTheme="minorHAnsi" w:hAnsiTheme="minorHAnsi" w:eastAsiaTheme="minorEastAsia" w:cstheme="minorBidi"/>
      <w:sz w:val="22"/>
      <w:szCs w:val="22"/>
    </w:rPr>
  </w:style>
  <w:style w:type="paragraph" w:customStyle="1" w:styleId="44">
    <w:name w:val="_Style 5"/>
    <w:qFormat/>
    <w:uiPriority w:val="0"/>
    <w:pPr>
      <w:widowControl w:val="0"/>
      <w:ind w:firstLine="200" w:firstLineChars="200"/>
      <w:jc w:val="both"/>
    </w:pPr>
    <w:rPr>
      <w:rFonts w:ascii="Calibri" w:hAnsi="Calibri" w:eastAsia="宋体" w:cs="Times New Roman"/>
      <w:kern w:val="2"/>
      <w:sz w:val="24"/>
      <w:szCs w:val="22"/>
      <w:lang w:val="en-US" w:eastAsia="zh-CN" w:bidi="ar-SA"/>
    </w:rPr>
  </w:style>
  <w:style w:type="paragraph" w:customStyle="1" w:styleId="45">
    <w:name w:val="表格"/>
    <w:basedOn w:val="1"/>
    <w:qFormat/>
    <w:uiPriority w:val="0"/>
    <w:pPr>
      <w:spacing w:beforeLines="0" w:afterLines="0" w:line="300" w:lineRule="exact"/>
      <w:ind w:firstLine="0" w:firstLineChars="0"/>
      <w:jc w:val="center"/>
    </w:pPr>
    <w:rPr>
      <w:rFonts w:eastAsia="楷体_GB2312"/>
      <w:sz w:val="24"/>
    </w:rPr>
  </w:style>
  <w:style w:type="character" w:customStyle="1" w:styleId="46">
    <w:name w:val="font61"/>
    <w:basedOn w:val="25"/>
    <w:qFormat/>
    <w:uiPriority w:val="0"/>
    <w:rPr>
      <w:rFonts w:hint="eastAsia" w:ascii="仿宋" w:hAnsi="仿宋" w:eastAsia="仿宋" w:cs="仿宋"/>
      <w:b/>
      <w:bCs/>
      <w:color w:val="000000"/>
      <w:sz w:val="22"/>
      <w:szCs w:val="22"/>
      <w:u w:val="none"/>
      <w:vertAlign w:val="superscript"/>
    </w:rPr>
  </w:style>
  <w:style w:type="character" w:customStyle="1" w:styleId="47">
    <w:name w:val="font21"/>
    <w:basedOn w:val="25"/>
    <w:qFormat/>
    <w:uiPriority w:val="0"/>
    <w:rPr>
      <w:rFonts w:hint="eastAsia" w:ascii="仿宋" w:hAnsi="仿宋" w:eastAsia="仿宋" w:cs="仿宋"/>
      <w:b/>
      <w:bCs/>
      <w:color w:val="000000"/>
      <w:sz w:val="22"/>
      <w:szCs w:val="22"/>
      <w:u w:val="none"/>
    </w:rPr>
  </w:style>
  <w:style w:type="character" w:customStyle="1" w:styleId="48">
    <w:name w:val="font51"/>
    <w:qFormat/>
    <w:uiPriority w:val="0"/>
    <w:rPr>
      <w:rFonts w:hint="default" w:ascii="Times New Roman" w:hAnsi="Times New Roman" w:cs="Times New Roman"/>
      <w:b/>
      <w:bCs/>
      <w:color w:val="000000"/>
      <w:sz w:val="24"/>
      <w:szCs w:val="24"/>
      <w:u w:val="none"/>
    </w:rPr>
  </w:style>
  <w:style w:type="character" w:customStyle="1" w:styleId="49">
    <w:name w:val="font41"/>
    <w:basedOn w:val="25"/>
    <w:uiPriority w:val="0"/>
    <w:rPr>
      <w:rFonts w:hint="eastAsia" w:ascii="仿宋" w:hAnsi="仿宋" w:eastAsia="仿宋" w:cs="仿宋"/>
      <w:b/>
      <w:bCs/>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93C8ED-5D34-45AE-ADBB-27A938B58BA1}">
  <ds:schemaRefs/>
</ds:datastoreItem>
</file>

<file path=docProps/app.xml><?xml version="1.0" encoding="utf-8"?>
<Properties xmlns="http://schemas.openxmlformats.org/officeDocument/2006/extended-properties" xmlns:vt="http://schemas.openxmlformats.org/officeDocument/2006/docPropsVTypes">
  <Template>Normal.dotm</Template>
  <Pages>81</Pages>
  <Words>27253</Words>
  <Characters>37308</Characters>
  <Lines>297</Lines>
  <Paragraphs>83</Paragraphs>
  <TotalTime>1</TotalTime>
  <ScaleCrop>false</ScaleCrop>
  <LinksUpToDate>false</LinksUpToDate>
  <CharactersWithSpaces>37407</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2023-07-07T07:11:00Z</dcterms:created>
  <dc:creator>lenovo</dc:creator>
  <cp:lastModifiedBy>ICHO</cp:lastModifiedBy>
  <cp:lastPrinted>2023-06-16T09:02:00Z</cp:lastPrinted>
  <dcterms:modified xsi:type="dcterms:W3CDTF">2023-08-30T07:27:46Z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B93937FEE1CB4C6B92AA5A592AACE8AB_13</vt:lpwstr>
  </property>
</Properties>
</file>