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黑体" w:cs="Times New Roman"/>
          <w:bCs/>
          <w:color w:val="auto"/>
          <w:spacing w:val="-6"/>
          <w:sz w:val="32"/>
          <w:szCs w:val="32"/>
          <w:lang w:val="en-US" w:eastAsia="zh-CN"/>
        </w:rPr>
      </w:pPr>
      <w:r>
        <w:rPr>
          <w:rFonts w:hint="default" w:ascii="Times New Roman" w:hAnsi="Times New Roman" w:eastAsia="黑体" w:cs="Times New Roman"/>
          <w:bCs/>
          <w:color w:val="auto"/>
          <w:spacing w:val="-6"/>
          <w:sz w:val="32"/>
          <w:szCs w:val="32"/>
        </w:rPr>
        <w:t>附件</w:t>
      </w:r>
      <w:r>
        <w:rPr>
          <w:rFonts w:hint="eastAsia" w:eastAsia="黑体" w:cs="Times New Roman"/>
          <w:bCs/>
          <w:color w:val="auto"/>
          <w:spacing w:val="-6"/>
          <w:sz w:val="32"/>
          <w:szCs w:val="32"/>
          <w:lang w:val="en-US" w:eastAsia="zh-CN"/>
        </w:rPr>
        <w:t>2</w:t>
      </w:r>
      <w:bookmarkStart w:id="1" w:name="_GoBack"/>
      <w:bookmarkEnd w:id="1"/>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color w:val="auto"/>
          <w:spacing w:val="-6"/>
          <w:position w:val="1"/>
          <w:sz w:val="32"/>
          <w:szCs w:val="32"/>
        </w:rPr>
      </w:pPr>
    </w:p>
    <w:p>
      <w:pPr>
        <w:pStyle w:val="7"/>
        <w:bidi w:val="0"/>
        <w:rPr>
          <w:rFonts w:hint="eastAsia" w:cs="Times New Roman"/>
        </w:rPr>
      </w:pPr>
      <w:r>
        <w:rPr>
          <w:rFonts w:hint="eastAsia" w:cs="Times New Roman"/>
          <w:lang w:eastAsia="zh-CN"/>
        </w:rPr>
        <w:t>梅州市</w:t>
      </w:r>
      <w:r>
        <w:rPr>
          <w:rFonts w:hint="eastAsia" w:cs="Times New Roman"/>
        </w:rPr>
        <w:t>电动自行车充电器产品质量</w:t>
      </w:r>
    </w:p>
    <w:p>
      <w:pPr>
        <w:pStyle w:val="7"/>
        <w:bidi w:val="0"/>
        <w:rPr>
          <w:rFonts w:hint="eastAsia" w:cs="Times New Roman"/>
        </w:rPr>
      </w:pPr>
      <w:r>
        <w:rPr>
          <w:rFonts w:hint="eastAsia" w:cs="Times New Roman"/>
        </w:rPr>
        <w:t>监督抽查实施细则</w:t>
      </w:r>
    </w:p>
    <w:p>
      <w:pPr>
        <w:pStyle w:val="8"/>
        <w:bidi w:val="0"/>
        <w:rPr>
          <w:rFonts w:hint="default" w:ascii="Times New Roman" w:hAnsi="Times New Roman" w:eastAsia="楷体_GB2312" w:cs="Times New Roman"/>
          <w:lang w:eastAsia="zh-CN"/>
        </w:rPr>
      </w:pPr>
      <w:bookmarkStart w:id="0" w:name="_Hlk125997372"/>
      <w:r>
        <w:rPr>
          <w:rFonts w:hint="default" w:ascii="Times New Roman" w:hAnsi="Times New Roman" w:eastAsia="楷体_GB2312" w:cs="Times New Roman"/>
          <w:sz w:val="32"/>
          <w:szCs w:val="32"/>
          <w:lang w:eastAsia="zh-CN"/>
        </w:rPr>
        <w:t>（2024年版）</w:t>
      </w:r>
    </w:p>
    <w:bookmarkEnd w:id="0"/>
    <w:p>
      <w:pPr>
        <w:bidi w:val="0"/>
        <w:adjustRightInd/>
        <w:snapToGrid/>
        <w:spacing w:line="560" w:lineRule="exact"/>
        <w:jc w:val="both"/>
        <w:rPr>
          <w:rFonts w:hint="eastAsia" w:ascii="仿宋_GB2312" w:hAnsi="仿宋_GB2312" w:eastAsia="仿宋_GB2312" w:cs="仿宋_GB2312"/>
          <w:sz w:val="32"/>
          <w:szCs w:val="32"/>
        </w:rPr>
      </w:pPr>
    </w:p>
    <w:p>
      <w:pPr>
        <w:pStyle w:val="9"/>
        <w:bidi w:val="0"/>
        <w:rPr>
          <w:rFonts w:hint="default" w:ascii="Times New Roman" w:hAnsi="Times New Roman" w:cs="Times New Roman"/>
        </w:rPr>
      </w:pPr>
      <w:r>
        <w:rPr>
          <w:rFonts w:hint="default" w:ascii="Times New Roman" w:hAnsi="Times New Roman" w:cs="Times New Roman"/>
        </w:rPr>
        <w:t>1 抽样方法</w:t>
      </w:r>
    </w:p>
    <w:p>
      <w:pPr>
        <w:bidi w:val="0"/>
        <w:adjustRightInd/>
        <w:snapToGrid/>
        <w:spacing w:line="560" w:lineRule="exact"/>
        <w:ind w:firstLine="61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以随机抽样的方式在被抽样生产者、销售者的待销产品中抽</w:t>
      </w:r>
      <w:r>
        <w:rPr>
          <w:rFonts w:hint="default" w:ascii="Times New Roman" w:hAnsi="Times New Roman" w:eastAsia="仿宋_GB2312" w:cs="Times New Roman"/>
          <w:sz w:val="32"/>
          <w:szCs w:val="32"/>
        </w:rPr>
        <w:t>取。</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随机数一般可使用随机数表等方法产生。</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每批次样品抽取4只，其中2只作为检验样品，2只作为备用样品。</w:t>
      </w:r>
    </w:p>
    <w:p>
      <w:pPr>
        <w:pStyle w:val="9"/>
        <w:bidi w:val="0"/>
        <w:rPr>
          <w:rFonts w:hint="default" w:ascii="Times New Roman" w:hAnsi="Times New Roman" w:eastAsia="黑体" w:cs="Times New Roman"/>
          <w:lang w:eastAsia="zh-CN"/>
        </w:rPr>
      </w:pPr>
      <w:r>
        <w:rPr>
          <w:rFonts w:hint="default" w:ascii="Times New Roman" w:hAnsi="Times New Roman" w:eastAsia="黑体" w:cs="Times New Roman"/>
          <w:sz w:val="32"/>
          <w:szCs w:val="32"/>
          <w:lang w:eastAsia="zh-CN"/>
        </w:rPr>
        <w:t>2 检验依据</w:t>
      </w:r>
    </w:p>
    <w:p>
      <w:pPr>
        <w:bidi w:val="0"/>
        <w:adjustRightInd/>
        <w:snapToGrid/>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 电动自行车充电器（GB 4706.1—2005、GB 4706.18—2014、GB 4343.1-2018）</w:t>
      </w:r>
    </w:p>
    <w:tbl>
      <w:tblPr>
        <w:tblStyle w:val="5"/>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972"/>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21" w:type="pct"/>
            <w:noWrap w:val="0"/>
            <w:vAlign w:val="center"/>
          </w:tcPr>
          <w:p>
            <w:pPr>
              <w:spacing w:line="56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2251" w:type="pct"/>
            <w:noWrap w:val="0"/>
            <w:vAlign w:val="center"/>
          </w:tcPr>
          <w:p>
            <w:pPr>
              <w:spacing w:line="56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检验项目</w:t>
            </w:r>
          </w:p>
        </w:tc>
        <w:tc>
          <w:tcPr>
            <w:tcW w:w="2226" w:type="pct"/>
            <w:noWrap w:val="0"/>
            <w:vAlign w:val="center"/>
          </w:tcPr>
          <w:p>
            <w:pPr>
              <w:spacing w:line="56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p>
        </w:tc>
        <w:tc>
          <w:tcPr>
            <w:tcW w:w="22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对触及带电部件的防护</w:t>
            </w:r>
          </w:p>
        </w:tc>
        <w:tc>
          <w:tcPr>
            <w:tcW w:w="22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4706.1—2005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p>
        </w:tc>
        <w:tc>
          <w:tcPr>
            <w:tcW w:w="22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工作温度下的泄漏电流和电气强度</w:t>
            </w:r>
          </w:p>
        </w:tc>
        <w:tc>
          <w:tcPr>
            <w:tcW w:w="22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4706.1—2005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w:t>
            </w:r>
          </w:p>
        </w:tc>
        <w:tc>
          <w:tcPr>
            <w:tcW w:w="22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非正常工作</w:t>
            </w:r>
          </w:p>
        </w:tc>
        <w:tc>
          <w:tcPr>
            <w:tcW w:w="22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4706.1—2005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4</w:t>
            </w:r>
          </w:p>
        </w:tc>
        <w:tc>
          <w:tcPr>
            <w:tcW w:w="22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机械强度</w:t>
            </w:r>
          </w:p>
        </w:tc>
        <w:tc>
          <w:tcPr>
            <w:tcW w:w="22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4706.1—2005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5</w:t>
            </w:r>
          </w:p>
        </w:tc>
        <w:tc>
          <w:tcPr>
            <w:tcW w:w="22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内部布线</w:t>
            </w:r>
          </w:p>
        </w:tc>
        <w:tc>
          <w:tcPr>
            <w:tcW w:w="22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4706.1—2005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6</w:t>
            </w:r>
          </w:p>
        </w:tc>
        <w:tc>
          <w:tcPr>
            <w:tcW w:w="22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电源连接和外部软线</w:t>
            </w:r>
          </w:p>
        </w:tc>
        <w:tc>
          <w:tcPr>
            <w:tcW w:w="22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4706.1—2005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4706.18—2014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7</w:t>
            </w:r>
          </w:p>
        </w:tc>
        <w:tc>
          <w:tcPr>
            <w:tcW w:w="22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连续骚扰电压</w:t>
            </w:r>
          </w:p>
        </w:tc>
        <w:tc>
          <w:tcPr>
            <w:tcW w:w="22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w:t>
            </w:r>
          </w:p>
        </w:tc>
        <w:tc>
          <w:tcPr>
            <w:tcW w:w="225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骚扰功率、辐射骚扰</w:t>
            </w:r>
          </w:p>
        </w:tc>
        <w:tc>
          <w:tcPr>
            <w:tcW w:w="22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4343.1-2018</w:t>
            </w:r>
          </w:p>
        </w:tc>
      </w:tr>
    </w:tbl>
    <w:p>
      <w:pPr>
        <w:bidi w:val="0"/>
        <w:adjustRightInd/>
        <w:snapToGrid/>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  电动自行车充电器（GB 42296—2022）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61" w:type="dxa"/>
            <w:noWrap w:val="0"/>
            <w:vAlign w:val="center"/>
          </w:tcPr>
          <w:p>
            <w:pPr>
              <w:spacing w:line="56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4126" w:type="dxa"/>
            <w:noWrap w:val="0"/>
            <w:vAlign w:val="center"/>
          </w:tcPr>
          <w:p>
            <w:pPr>
              <w:spacing w:line="56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检验项目</w:t>
            </w:r>
          </w:p>
        </w:tc>
        <w:tc>
          <w:tcPr>
            <w:tcW w:w="4087" w:type="dxa"/>
            <w:noWrap w:val="0"/>
            <w:vAlign w:val="center"/>
          </w:tcPr>
          <w:p>
            <w:pPr>
              <w:spacing w:line="56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外壳冲击</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跌落</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工作温度下的泄漏电流</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4</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电气强度</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5</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防触电保护</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6</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非正常工作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（仅测5.2.5.1、5.2.5.2）</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7</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超温保护</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过充切断</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9</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延时切断</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10</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耐热</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11</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灼热丝</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GB 42296—2022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端子骚扰电压</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42296—2022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骚扰功率、辐射骚扰</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42296—2022</w:t>
            </w:r>
          </w:p>
        </w:tc>
      </w:tr>
    </w:tbl>
    <w:p>
      <w:pPr>
        <w:bidi w:val="0"/>
        <w:adjustRightInd/>
        <w:snapToGrid/>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 电动自行车充电器（GB/T 36944—2018）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1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检验项目</w:t>
            </w:r>
          </w:p>
        </w:tc>
        <w:tc>
          <w:tcPr>
            <w:tcW w:w="4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机械强度</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36944—2018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泄漏电流</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36944—2018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电气强度</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36944—2018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4</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防触电保护</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36944—2018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5</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非正常工作</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36944—2018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6</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内部布线</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36944—2018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7</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电源软线</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36944—2018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电源端子骚扰电压</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36944—2018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9</w:t>
            </w:r>
          </w:p>
        </w:tc>
        <w:tc>
          <w:tcPr>
            <w:tcW w:w="41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骚扰功率</w:t>
            </w:r>
          </w:p>
        </w:tc>
        <w:tc>
          <w:tcPr>
            <w:tcW w:w="4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GB/T 36944—2018</w:t>
            </w:r>
          </w:p>
        </w:tc>
      </w:tr>
    </w:tbl>
    <w:p>
      <w:pPr>
        <w:bidi w:val="0"/>
        <w:adjustRightInd/>
        <w:snapToGrid/>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 电动自行车充电器（QB/T 2947.1—2008、QB/T 2947.3—2008）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132"/>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1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检验项目</w:t>
            </w:r>
          </w:p>
        </w:tc>
        <w:tc>
          <w:tcPr>
            <w:tcW w:w="39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p>
        </w:tc>
        <w:tc>
          <w:tcPr>
            <w:tcW w:w="41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对触及带电部件的防护</w:t>
            </w:r>
          </w:p>
        </w:tc>
        <w:tc>
          <w:tcPr>
            <w:tcW w:w="39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2947.1—2008</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p>
        </w:tc>
        <w:tc>
          <w:tcPr>
            <w:tcW w:w="41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工作温度下的泄漏电流和电气强度</w:t>
            </w:r>
          </w:p>
        </w:tc>
        <w:tc>
          <w:tcPr>
            <w:tcW w:w="39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2947.1—2008</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w:t>
            </w:r>
          </w:p>
        </w:tc>
        <w:tc>
          <w:tcPr>
            <w:tcW w:w="41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过载保护</w:t>
            </w:r>
          </w:p>
        </w:tc>
        <w:tc>
          <w:tcPr>
            <w:tcW w:w="39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2947.1—2008</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4</w:t>
            </w:r>
          </w:p>
        </w:tc>
        <w:tc>
          <w:tcPr>
            <w:tcW w:w="41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机械强度</w:t>
            </w:r>
          </w:p>
        </w:tc>
        <w:tc>
          <w:tcPr>
            <w:tcW w:w="39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2947.1—2008</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5</w:t>
            </w:r>
          </w:p>
        </w:tc>
        <w:tc>
          <w:tcPr>
            <w:tcW w:w="41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布线</w:t>
            </w:r>
          </w:p>
        </w:tc>
        <w:tc>
          <w:tcPr>
            <w:tcW w:w="39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2947.1—2008</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6</w:t>
            </w:r>
          </w:p>
        </w:tc>
        <w:tc>
          <w:tcPr>
            <w:tcW w:w="41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输入、输出线及插头</w:t>
            </w:r>
          </w:p>
        </w:tc>
        <w:tc>
          <w:tcPr>
            <w:tcW w:w="39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2947.1—2008</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QB/T 2947.3—2008</w:t>
            </w:r>
          </w:p>
        </w:tc>
      </w:tr>
    </w:tbl>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执行企业标准、团体标准、地方标准的产品，检验项目参照上述内容执行。</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凡是注日期的文件，其随后所有的修改单（不包括勘误的内容）或修订版不适用于本细则。凡是不注日期的文件，其最新版本适用于本细则。</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2023年7月1日以后生产的产品及2024年7月1日以后销售的产品，均执行GB 42296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2022标准。</w:t>
      </w:r>
    </w:p>
    <w:p>
      <w:pPr>
        <w:pStyle w:val="9"/>
        <w:bidi w:val="0"/>
        <w:rPr>
          <w:rFonts w:hint="default" w:ascii="Times New Roman" w:hAnsi="Times New Roman" w:eastAsia="黑体" w:cs="Times New Roman"/>
          <w:lang w:eastAsia="zh-CN"/>
        </w:rPr>
      </w:pPr>
      <w:r>
        <w:rPr>
          <w:rFonts w:hint="default" w:ascii="Times New Roman" w:hAnsi="Times New Roman" w:eastAsia="黑体" w:cs="Times New Roman"/>
          <w:sz w:val="32"/>
          <w:szCs w:val="32"/>
          <w:lang w:eastAsia="zh-CN"/>
        </w:rPr>
        <w:t>3 判定规则</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3.1依据标准</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4706.1—2005 家用和类似用途电器的安全  第1部分：通用要求</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4706.18—2014 家用和类似用途电器的安全  电池充电器的特殊要求</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42296—2022 电动自行车用充电器安全技术要求</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GB/T 36944—2018 电动自行车用充电器技术要求</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4343.1-2018家用电器、电动工具和类似器具的电磁兼容要求 第1部分：发射</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QB/T 2947.1—2008 电动自行车用蓄电池及充电器  第1部分：密封铅酸蓄电池及充电器</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QB/T 2947.3—2008 电动自行车用蓄电池及充电器  第3部分：锂离子蓄电池及充电器</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现行有效的企业标准、团体标准、地方标准及产品明示质量要求</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3.2判定原则</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p>
    <w:p>
      <w:pPr>
        <w:bidi w:val="0"/>
        <w:adjustRightInd/>
        <w:snapToGrid/>
        <w:spacing w:line="560" w:lineRule="exact"/>
        <w:outlineLvl w:val="9"/>
        <w:rPr>
          <w:rFonts w:hint="default" w:ascii="Times New Roman" w:hAnsi="Times New Roman" w:eastAsia="仿宋_GB2312" w:cs="Times New Roman"/>
          <w:sz w:val="32"/>
          <w:szCs w:val="32"/>
          <w:lang w:val="en-US" w:eastAsia="zh-CN"/>
        </w:rPr>
      </w:pPr>
    </w:p>
    <w:p>
      <w:pPr>
        <w:bidi w:val="0"/>
        <w:adjustRightInd/>
        <w:snapToGrid/>
        <w:spacing w:line="560" w:lineRule="exact"/>
        <w:outlineLvl w:val="9"/>
        <w:rPr>
          <w:rFonts w:hint="eastAsia" w:ascii="仿宋_GB2312" w:hAnsi="仿宋_GB2312" w:eastAsia="仿宋_GB2312" w:cs="仿宋_GB2312"/>
          <w:color w:val="auto"/>
          <w:kern w:val="2"/>
          <w:sz w:val="32"/>
          <w:szCs w:val="32"/>
          <w:highlight w:val="none"/>
          <w:lang w:val="en-US" w:eastAsia="zh-CN" w:bidi="ar-SA"/>
        </w:rPr>
      </w:pPr>
    </w:p>
    <w:p>
      <w:pPr>
        <w:widowControl w:val="0"/>
        <w:bidi w:val="0"/>
        <w:adjustRightInd/>
        <w:snapToGrid/>
        <w:spacing w:line="560" w:lineRule="exact"/>
        <w:jc w:val="center"/>
        <w:outlineLvl w:val="9"/>
        <w:rPr>
          <w:rFonts w:hint="eastAsia" w:ascii="仿宋_GB2312" w:hAnsi="仿宋_GB2312" w:eastAsia="仿宋_GB2312" w:cs="仿宋_GB2312"/>
          <w:color w:val="auto"/>
          <w:kern w:val="2"/>
          <w:sz w:val="32"/>
          <w:szCs w:val="32"/>
          <w:highlight w:val="none"/>
          <w:lang w:val="en-US" w:eastAsia="zh-CN" w:bidi="ar-SA"/>
        </w:rPr>
      </w:pPr>
    </w:p>
    <w:p>
      <w:pPr>
        <w:numPr>
          <w:ilvl w:val="0"/>
          <w:numId w:val="0"/>
        </w:numPr>
        <w:ind w:firstLine="640" w:firstLineChars="200"/>
        <w:jc w:val="both"/>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right"/>
        <w:textAlignment w:val="auto"/>
        <w:outlineLvl w:val="9"/>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620A7"/>
    <w:rsid w:val="09C57CD1"/>
    <w:rsid w:val="5DFF4D1C"/>
    <w:rsid w:val="65EFA42B"/>
    <w:rsid w:val="664D62C5"/>
    <w:rsid w:val="6A4620A7"/>
    <w:rsid w:val="7B3B6C6F"/>
    <w:rsid w:val="7FDDF11F"/>
    <w:rsid w:val="7FFC50B1"/>
    <w:rsid w:val="BA7B23C6"/>
    <w:rsid w:val="FBE5F6AD"/>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unhideWhenUsed/>
    <w:qFormat/>
    <w:uiPriority w:val="9"/>
    <w:pPr>
      <w:keepNext/>
      <w:keepLines/>
      <w:numPr>
        <w:ilvl w:val="0"/>
        <w:numId w:val="1"/>
      </w:numPr>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4">
    <w:name w:val="Normal Indent"/>
    <w:basedOn w:val="1"/>
    <w:qFormat/>
    <w:uiPriority w:val="0"/>
    <w:pPr>
      <w:ind w:firstLine="420" w:firstLineChars="200"/>
    </w:pPr>
    <w:rPr>
      <w:szCs w:val="21"/>
    </w:rPr>
  </w:style>
  <w:style w:type="paragraph" w:customStyle="1" w:styleId="7">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8">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9">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2023-07-14T07:20:00Z</dcterms:created>
  <dc:creator>林基建</dc:creator>
  <cp:lastModifiedBy>greatwall</cp:lastModifiedBy>
  <dcterms:modified xsi:type="dcterms:W3CDTF">2024-07-22T11:04:36Z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