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rPr>
          <w:rFonts w:eastAsia="黑体"/>
          <w:color w:val="000000"/>
          <w:sz w:val="44"/>
          <w:szCs w:val="44"/>
          <w:lang w:bidi="ar"/>
        </w:rPr>
      </w:pPr>
      <w:bookmarkStart w:id="0" w:name="_Toc29522"/>
    </w:p>
    <w:bookmarkEnd w:id="0"/>
    <w:p>
      <w:pPr>
        <w:pStyle w:val="14"/>
        <w:tabs>
          <w:tab w:val="clear" w:pos="8296"/>
        </w:tabs>
        <w:spacing w:line="560" w:lineRule="exact"/>
        <w:ind w:firstLine="0" w:firstLineChars="0"/>
        <w:jc w:val="center"/>
        <w:rPr>
          <w:rFonts w:eastAsia="方正小标宋简体"/>
          <w:color w:val="000000"/>
          <w:sz w:val="44"/>
          <w:szCs w:val="44"/>
          <w:lang w:bidi="ar"/>
        </w:rPr>
      </w:pPr>
    </w:p>
    <w:p>
      <w:pPr>
        <w:ind w:firstLine="880"/>
        <w:rPr>
          <w:rFonts w:eastAsia="方正小标宋简体"/>
          <w:color w:val="000000"/>
          <w:sz w:val="44"/>
          <w:szCs w:val="44"/>
          <w:lang w:bidi="ar"/>
        </w:rPr>
      </w:pPr>
    </w:p>
    <w:p>
      <w:pPr>
        <w:pStyle w:val="33"/>
        <w:rPr>
          <w:rFonts w:ascii="Times New Roman" w:hAnsi="Times New Roman" w:cs="Times New Roman"/>
        </w:rPr>
      </w:pPr>
    </w:p>
    <w:p>
      <w:pPr>
        <w:pStyle w:val="33"/>
        <w:rPr>
          <w:rFonts w:ascii="Times New Roman" w:hAnsi="Times New Roman" w:cs="Times New Roman"/>
        </w:rPr>
      </w:pPr>
      <w:bookmarkStart w:id="1" w:name="_Hlk171507177"/>
      <w:r>
        <w:rPr>
          <w:rFonts w:ascii="Times New Roman" w:hAnsi="Times New Roman" w:cs="Times New Roman"/>
        </w:rPr>
        <w:t>梅州市</w:t>
      </w:r>
      <w:bookmarkStart w:id="2" w:name="_Hlk172704907"/>
      <w:r>
        <w:rPr>
          <w:rFonts w:hint="eastAsia" w:ascii="Times New Roman" w:hAnsi="Times New Roman" w:cs="Times New Roman"/>
        </w:rPr>
        <w:t>“6</w:t>
      </w:r>
      <w:r>
        <w:rPr>
          <w:rFonts w:ascii="Times New Roman" w:hAnsi="Times New Roman" w:eastAsia="Times New Roman" w:cs="Times New Roman"/>
          <w:spacing w:val="6"/>
        </w:rPr>
        <w:t>·</w:t>
      </w:r>
      <w:r>
        <w:rPr>
          <w:rFonts w:hint="eastAsia" w:ascii="Times New Roman" w:hAnsi="Times New Roman" w:cs="Times New Roman"/>
        </w:rPr>
        <w:t>16”特大暴雨</w:t>
      </w:r>
    </w:p>
    <w:bookmarkEnd w:id="2"/>
    <w:p>
      <w:pPr>
        <w:pStyle w:val="33"/>
        <w:rPr>
          <w:rFonts w:ascii="Times New Roman" w:hAnsi="Times New Roman" w:cs="Times New Roman"/>
        </w:rPr>
      </w:pPr>
      <w:r>
        <w:rPr>
          <w:rFonts w:ascii="Times New Roman" w:hAnsi="Times New Roman" w:cs="Times New Roman"/>
        </w:rPr>
        <w:t>灾后恢复重建</w:t>
      </w:r>
      <w:r>
        <w:rPr>
          <w:rFonts w:hint="eastAsia" w:ascii="Times New Roman" w:hAnsi="Times New Roman" w:cs="Times New Roman"/>
        </w:rPr>
        <w:t>提升防灾减灾能力</w:t>
      </w:r>
      <w:r>
        <w:rPr>
          <w:rFonts w:ascii="Times New Roman" w:hAnsi="Times New Roman" w:cs="Times New Roman"/>
        </w:rPr>
        <w:t>规划</w:t>
      </w:r>
    </w:p>
    <w:p>
      <w:pPr>
        <w:ind w:firstLine="640"/>
        <w:rPr>
          <w:lang w:bidi="ar"/>
        </w:rPr>
      </w:pPr>
    </w:p>
    <w:bookmarkEnd w:id="1"/>
    <w:p>
      <w:pPr>
        <w:pStyle w:val="14"/>
        <w:tabs>
          <w:tab w:val="clear" w:pos="8296"/>
        </w:tabs>
        <w:spacing w:line="560" w:lineRule="exact"/>
        <w:ind w:firstLine="0" w:firstLineChars="0"/>
        <w:jc w:val="center"/>
        <w:rPr>
          <w:rFonts w:eastAsia="方正小标宋简体"/>
          <w:color w:val="000000"/>
          <w:sz w:val="44"/>
          <w:szCs w:val="44"/>
          <w:lang w:bidi="ar"/>
        </w:rPr>
      </w:pPr>
      <w:r>
        <w:rPr>
          <w:rFonts w:eastAsia="方正小标宋简体"/>
          <w:color w:val="000000"/>
          <w:sz w:val="44"/>
          <w:szCs w:val="44"/>
          <w:lang w:bidi="ar"/>
        </w:rPr>
        <w:t>（</w:t>
      </w:r>
      <w:r>
        <w:rPr>
          <w:rFonts w:hint="eastAsia" w:eastAsia="方正小标宋简体"/>
          <w:color w:val="000000"/>
          <w:sz w:val="44"/>
          <w:szCs w:val="44"/>
          <w:lang w:bidi="ar"/>
        </w:rPr>
        <w:t>征求意见稿</w:t>
      </w:r>
      <w:r>
        <w:rPr>
          <w:rFonts w:eastAsia="方正小标宋简体"/>
          <w:color w:val="000000"/>
          <w:sz w:val="44"/>
          <w:szCs w:val="44"/>
          <w:lang w:bidi="ar"/>
        </w:rPr>
        <w:t>）</w:t>
      </w: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widowControl/>
        <w:ind w:firstLine="0" w:firstLineChars="0"/>
        <w:jc w:val="center"/>
        <w:rPr>
          <w:rFonts w:eastAsia="方正小标宋简体"/>
          <w:b/>
          <w:color w:val="000000"/>
          <w:sz w:val="48"/>
        </w:rPr>
      </w:pPr>
    </w:p>
    <w:p>
      <w:pPr>
        <w:pStyle w:val="2"/>
        <w:ind w:firstLine="640"/>
      </w:pPr>
    </w:p>
    <w:p>
      <w:pPr>
        <w:widowControl/>
        <w:adjustRightInd w:val="0"/>
        <w:snapToGrid w:val="0"/>
        <w:ind w:firstLine="0" w:firstLineChars="0"/>
        <w:jc w:val="center"/>
        <w:rPr>
          <w:rFonts w:eastAsia="方正小标宋简体"/>
          <w:bCs/>
          <w:color w:val="000000"/>
          <w:kern w:val="44"/>
          <w:sz w:val="36"/>
          <w:szCs w:val="36"/>
        </w:rPr>
      </w:pPr>
      <w:r>
        <w:rPr>
          <w:rFonts w:eastAsia="方正小标宋简体"/>
          <w:bCs/>
          <w:color w:val="000000"/>
          <w:kern w:val="44"/>
          <w:sz w:val="36"/>
          <w:szCs w:val="36"/>
        </w:rPr>
        <w:t>梅州市发展和改革局</w:t>
      </w:r>
    </w:p>
    <w:p>
      <w:pPr>
        <w:widowControl/>
        <w:adjustRightInd w:val="0"/>
        <w:snapToGrid w:val="0"/>
        <w:ind w:firstLine="0" w:firstLineChars="0"/>
        <w:jc w:val="center"/>
        <w:rPr>
          <w:rFonts w:eastAsia="楷体_GB2312"/>
          <w:b/>
          <w:color w:val="000000"/>
          <w:kern w:val="44"/>
          <w:sz w:val="36"/>
          <w:szCs w:val="36"/>
        </w:rPr>
      </w:pPr>
      <w:r>
        <w:rPr>
          <w:rFonts w:eastAsia="楷体_GB2312"/>
          <w:b/>
          <w:color w:val="000000"/>
          <w:kern w:val="44"/>
          <w:sz w:val="36"/>
          <w:szCs w:val="36"/>
        </w:rPr>
        <w:t>2024年7月</w:t>
      </w:r>
    </w:p>
    <w:p>
      <w:pPr>
        <w:pStyle w:val="2"/>
        <w:ind w:firstLine="0" w:firstLineChars="0"/>
        <w:rPr>
          <w:rFonts w:eastAsia="黑体"/>
          <w:b/>
          <w:color w:val="000000"/>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720" w:num="1"/>
          <w:docGrid w:type="lines" w:linePitch="435" w:charSpace="0"/>
        </w:sectPr>
      </w:pPr>
      <w:bookmarkStart w:id="3" w:name="_Toc17411"/>
      <w:bookmarkStart w:id="4" w:name="_Toc4982"/>
      <w:bookmarkStart w:id="5" w:name="_Toc2377"/>
      <w:bookmarkStart w:id="6" w:name="_Toc30706"/>
      <w:bookmarkStart w:id="7" w:name="_Toc2228"/>
      <w:bookmarkStart w:id="8" w:name="_Toc25447"/>
      <w:bookmarkStart w:id="9" w:name="_Toc29603"/>
    </w:p>
    <w:p>
      <w:pPr>
        <w:pStyle w:val="2"/>
        <w:ind w:firstLine="0" w:firstLineChars="0"/>
        <w:jc w:val="center"/>
        <w:rPr>
          <w:rFonts w:eastAsia="黑体"/>
          <w:b/>
          <w:color w:val="000000"/>
          <w:sz w:val="36"/>
          <w:szCs w:val="36"/>
          <w:lang w:val="zh-CN"/>
        </w:rPr>
        <w:sectPr>
          <w:footerReference r:id="rId12" w:type="first"/>
          <w:footerReference r:id="rId11" w:type="default"/>
          <w:type w:val="continuous"/>
          <w:pgSz w:w="11906" w:h="16838"/>
          <w:pgMar w:top="1440" w:right="1800" w:bottom="1440" w:left="1800" w:header="851" w:footer="992" w:gutter="0"/>
          <w:pgNumType w:fmt="upperRoman" w:start="1"/>
          <w:cols w:space="720" w:num="1"/>
          <w:titlePg/>
          <w:docGrid w:type="lines" w:linePitch="435" w:charSpace="0"/>
        </w:sectPr>
      </w:pPr>
    </w:p>
    <w:sdt>
      <w:sdtPr>
        <w:rPr>
          <w:rFonts w:ascii="Times New Roman" w:hAnsi="Times New Roman" w:eastAsia="仿宋_GB2312" w:cs="Times New Roman"/>
          <w:color w:val="auto"/>
          <w:kern w:val="2"/>
          <w:szCs w:val="24"/>
          <w:lang w:val="zh-CN"/>
        </w:rPr>
        <w:id w:val="-893199207"/>
        <w:docPartObj>
          <w:docPartGallery w:val="Table of Contents"/>
          <w:docPartUnique/>
        </w:docPartObj>
      </w:sdtPr>
      <w:sdtEndPr>
        <w:rPr>
          <w:rFonts w:ascii="楷体_GB2312" w:hAnsi="楷体_GB2312" w:eastAsia="楷体_GB2312" w:cs="Times New Roman"/>
          <w:b/>
          <w:bCs/>
          <w:color w:val="auto"/>
          <w:kern w:val="2"/>
          <w:szCs w:val="24"/>
          <w:lang w:val="zh-CN"/>
        </w:rPr>
      </w:sdtEndPr>
      <w:sdtContent>
        <w:p>
          <w:pPr>
            <w:pStyle w:val="56"/>
            <w:jc w:val="center"/>
            <w:rPr>
              <w:rFonts w:ascii="Times New Roman" w:hAnsi="Times New Roman" w:eastAsia="方正小标宋简体" w:cs="Times New Roman"/>
              <w:color w:val="auto"/>
              <w:sz w:val="40"/>
              <w:szCs w:val="40"/>
            </w:rPr>
          </w:pPr>
          <w:r>
            <w:rPr>
              <w:rFonts w:ascii="Times New Roman" w:hAnsi="Times New Roman" w:eastAsia="方正小标宋简体" w:cs="Times New Roman"/>
              <w:color w:val="auto"/>
              <w:sz w:val="40"/>
              <w:szCs w:val="40"/>
              <w:lang w:val="zh-CN"/>
            </w:rPr>
            <w:t>目</w:t>
          </w:r>
          <w:r>
            <w:rPr>
              <w:rFonts w:hint="eastAsia" w:ascii="Times New Roman" w:hAnsi="Times New Roman" w:eastAsia="方正小标宋简体" w:cs="Times New Roman"/>
              <w:color w:val="auto"/>
              <w:sz w:val="40"/>
              <w:szCs w:val="40"/>
              <w:lang w:val="zh-CN"/>
            </w:rPr>
            <w:t xml:space="preserve">  </w:t>
          </w:r>
          <w:r>
            <w:rPr>
              <w:rFonts w:ascii="Times New Roman" w:hAnsi="Times New Roman" w:eastAsia="方正小标宋简体" w:cs="Times New Roman"/>
              <w:color w:val="auto"/>
              <w:sz w:val="40"/>
              <w:szCs w:val="40"/>
              <w:lang w:val="zh-CN"/>
            </w:rPr>
            <w:t>录</w:t>
          </w:r>
        </w:p>
        <w:p>
          <w:pPr>
            <w:pStyle w:val="25"/>
            <w:rPr>
              <w:rFonts w:ascii="楷体_GB2312" w:hAnsi="楷体_GB2312" w:eastAsia="楷体_GB2312" w:cstheme="minorBidi"/>
              <w:b/>
              <w:bCs/>
              <w:sz w:val="22"/>
              <w14:ligatures w14:val="standardContextual"/>
            </w:rPr>
          </w:pPr>
          <w:r>
            <w:rPr>
              <w:rFonts w:ascii="楷体_GB2312" w:hAnsi="楷体_GB2312" w:eastAsia="楷体_GB2312"/>
            </w:rPr>
            <w:fldChar w:fldCharType="begin"/>
          </w:r>
          <w:r>
            <w:rPr>
              <w:rFonts w:ascii="楷体_GB2312" w:hAnsi="楷体_GB2312" w:eastAsia="楷体_GB2312"/>
            </w:rPr>
            <w:instrText xml:space="preserve"> TOC \o "1-2" \h \z \u </w:instrText>
          </w:r>
          <w:r>
            <w:rPr>
              <w:rFonts w:ascii="楷体_GB2312" w:hAnsi="楷体_GB2312" w:eastAsia="楷体_GB2312"/>
            </w:rPr>
            <w:fldChar w:fldCharType="separate"/>
          </w:r>
          <w:r>
            <w:fldChar w:fldCharType="begin"/>
          </w:r>
          <w:r>
            <w:instrText xml:space="preserve"> HYPERLINK \l "_Toc173243492" </w:instrText>
          </w:r>
          <w:r>
            <w:fldChar w:fldCharType="separate"/>
          </w:r>
          <w:r>
            <w:rPr>
              <w:rStyle w:val="39"/>
              <w:rFonts w:ascii="楷体_GB2312" w:hAnsi="楷体_GB2312" w:eastAsia="楷体_GB2312"/>
              <w:b/>
              <w:bCs/>
            </w:rPr>
            <w:t>第一章  基本情况</w:t>
          </w:r>
          <w:r>
            <w:rPr>
              <w:rFonts w:ascii="楷体_GB2312" w:hAnsi="楷体_GB2312" w:eastAsia="楷体_GB2312"/>
              <w:b/>
              <w:bCs/>
            </w:rPr>
            <w:tab/>
          </w:r>
          <w:r>
            <w:rPr>
              <w:rFonts w:ascii="楷体_GB2312" w:hAnsi="楷体_GB2312" w:eastAsia="楷体_GB2312"/>
              <w:b/>
              <w:bCs/>
            </w:rPr>
            <w:fldChar w:fldCharType="begin"/>
          </w:r>
          <w:r>
            <w:rPr>
              <w:rFonts w:ascii="楷体_GB2312" w:hAnsi="楷体_GB2312" w:eastAsia="楷体_GB2312"/>
              <w:b/>
              <w:bCs/>
            </w:rPr>
            <w:instrText xml:space="preserve"> PAGEREF _Toc173243492 \h </w:instrText>
          </w:r>
          <w:r>
            <w:rPr>
              <w:rFonts w:ascii="楷体_GB2312" w:hAnsi="楷体_GB2312" w:eastAsia="楷体_GB2312"/>
              <w:b/>
              <w:bCs/>
            </w:rPr>
            <w:fldChar w:fldCharType="separate"/>
          </w:r>
          <w:r>
            <w:rPr>
              <w:rFonts w:ascii="楷体_GB2312" w:hAnsi="楷体_GB2312" w:eastAsia="楷体_GB2312"/>
              <w:b/>
              <w:bCs/>
            </w:rPr>
            <w:t>1</w:t>
          </w:r>
          <w:r>
            <w:rPr>
              <w:rFonts w:ascii="楷体_GB2312" w:hAnsi="楷体_GB2312" w:eastAsia="楷体_GB2312"/>
              <w:b/>
              <w:bCs/>
            </w:rPr>
            <w:fldChar w:fldCharType="end"/>
          </w:r>
          <w:r>
            <w:rPr>
              <w:rFonts w:ascii="楷体_GB2312" w:hAnsi="楷体_GB2312" w:eastAsia="楷体_GB2312"/>
              <w:b/>
              <w:bCs/>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"_Toc173243493" </w:instrText>
          </w:r>
          <w:r>
            <w:fldChar w:fldCharType="separate"/>
          </w:r>
          <w:r>
            <w:rPr>
              <w:rStyle w:val="39"/>
              <w:rFonts w:ascii="楷体_GB2312" w:hAnsi="楷体_GB2312"/>
            </w:rPr>
            <w:t>第一节 灾情特征</w:t>
          </w:r>
          <w:r>
            <w:rPr>
              <w:rFonts w:ascii="楷体_GB2312" w:hAnsi="楷体_GB2312"/>
            </w:rPr>
            <w:tab/>
          </w:r>
          <w:r>
            <w:rPr>
              <w:rFonts w:ascii="楷体_GB2312" w:hAnsi="楷体_GB2312"/>
            </w:rPr>
            <w:fldChar w:fldCharType="begin"/>
          </w:r>
          <w:r>
            <w:rPr>
              <w:rFonts w:ascii="楷体_GB2312" w:hAnsi="楷体_GB2312"/>
            </w:rPr>
            <w:instrText xml:space="preserve"> PAGEREF _Toc173243493 \h </w:instrText>
          </w:r>
          <w:r>
            <w:rPr>
              <w:rFonts w:ascii="楷体_GB2312" w:hAnsi="楷体_GB2312"/>
            </w:rPr>
            <w:fldChar w:fldCharType="separate"/>
          </w:r>
          <w:r>
            <w:rPr>
              <w:rFonts w:ascii="楷体_GB2312" w:hAnsi="楷体_GB2312"/>
            </w:rPr>
            <w:t>1</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"_Toc173243494" </w:instrText>
          </w:r>
          <w:r>
            <w:fldChar w:fldCharType="separate"/>
          </w:r>
          <w:r>
            <w:rPr>
              <w:rStyle w:val="39"/>
              <w:rFonts w:ascii="楷体_GB2312" w:hAnsi="楷体_GB2312"/>
            </w:rPr>
            <w:t>第二节 规划范围</w:t>
          </w:r>
          <w:r>
            <w:rPr>
              <w:rFonts w:ascii="楷体_GB2312" w:hAnsi="楷体_GB2312"/>
            </w:rPr>
            <w:tab/>
          </w:r>
          <w:r>
            <w:rPr>
              <w:rFonts w:ascii="楷体_GB2312" w:hAnsi="楷体_GB2312"/>
            </w:rPr>
            <w:fldChar w:fldCharType="begin"/>
          </w:r>
          <w:r>
            <w:rPr>
              <w:rFonts w:ascii="楷体_GB2312" w:hAnsi="楷体_GB2312"/>
            </w:rPr>
            <w:instrText xml:space="preserve"> PAGEREF _Toc173243494 \h </w:instrText>
          </w:r>
          <w:r>
            <w:rPr>
              <w:rFonts w:ascii="楷体_GB2312" w:hAnsi="楷体_GB2312"/>
            </w:rPr>
            <w:fldChar w:fldCharType="separate"/>
          </w:r>
          <w:r>
            <w:rPr>
              <w:rFonts w:ascii="楷体_GB2312" w:hAnsi="楷体_GB2312"/>
            </w:rPr>
            <w:t>1</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"_Toc173243495" </w:instrText>
          </w:r>
          <w:r>
            <w:fldChar w:fldCharType="separate"/>
          </w:r>
          <w:r>
            <w:rPr>
              <w:rStyle w:val="39"/>
              <w:rFonts w:ascii="楷体_GB2312" w:hAnsi="楷体_GB2312"/>
            </w:rPr>
            <w:t>第三节 面临形势</w:t>
          </w:r>
          <w:r>
            <w:rPr>
              <w:rFonts w:ascii="楷体_GB2312" w:hAnsi="楷体_GB2312"/>
            </w:rPr>
            <w:tab/>
          </w:r>
          <w:r>
            <w:rPr>
              <w:rFonts w:ascii="楷体_GB2312" w:hAnsi="楷体_GB2312"/>
            </w:rPr>
            <w:fldChar w:fldCharType="begin"/>
          </w:r>
          <w:r>
            <w:rPr>
              <w:rFonts w:ascii="楷体_GB2312" w:hAnsi="楷体_GB2312"/>
            </w:rPr>
            <w:instrText xml:space="preserve"> PAGEREF _Toc173243495 \h </w:instrText>
          </w:r>
          <w:r>
            <w:rPr>
              <w:rFonts w:ascii="楷体_GB2312" w:hAnsi="楷体_GB2312"/>
            </w:rPr>
            <w:fldChar w:fldCharType="separate"/>
          </w:r>
          <w:r>
            <w:rPr>
              <w:rFonts w:ascii="楷体_GB2312" w:hAnsi="楷体_GB2312"/>
            </w:rPr>
            <w:t>1</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"_Toc173243496" </w:instrText>
          </w:r>
          <w:r>
            <w:fldChar w:fldCharType="separate"/>
          </w:r>
          <w:r>
            <w:rPr>
              <w:rStyle w:val="39"/>
              <w:rFonts w:ascii="楷体_GB2312" w:hAnsi="楷体_GB2312"/>
            </w:rPr>
            <w:t>第四节 主要任务</w:t>
          </w:r>
          <w:r>
            <w:rPr>
              <w:rFonts w:ascii="楷体_GB2312" w:hAnsi="楷体_GB2312"/>
            </w:rPr>
            <w:tab/>
          </w:r>
          <w:r>
            <w:rPr>
              <w:rFonts w:ascii="楷体_GB2312" w:hAnsi="楷体_GB2312"/>
            </w:rPr>
            <w:fldChar w:fldCharType="begin"/>
          </w:r>
          <w:r>
            <w:rPr>
              <w:rFonts w:ascii="楷体_GB2312" w:hAnsi="楷体_GB2312"/>
            </w:rPr>
            <w:instrText xml:space="preserve"> PAGEREF _Toc173243496 \h </w:instrText>
          </w:r>
          <w:r>
            <w:rPr>
              <w:rFonts w:ascii="楷体_GB2312" w:hAnsi="楷体_GB2312"/>
            </w:rPr>
            <w:fldChar w:fldCharType="separate"/>
          </w:r>
          <w:r>
            <w:rPr>
              <w:rFonts w:ascii="楷体_GB2312" w:hAnsi="楷体_GB2312"/>
            </w:rPr>
            <w:t>2</w:t>
          </w:r>
          <w:r>
            <w:rPr>
              <w:rFonts w:ascii="楷体_GB2312" w:hAnsi="楷体_GB2312"/>
            </w:rPr>
            <w:fldChar w:fldCharType="end"/>
          </w:r>
          <w:r>
            <w:rPr>
              <w:rFonts w:ascii="楷体_GB2312" w:hAnsi="楷体_GB2312"/>
            </w:rPr>
            <w:fldChar w:fldCharType="end"/>
          </w:r>
        </w:p>
        <w:p>
          <w:pPr>
            <w:pStyle w:val="25"/>
            <w:rPr>
              <w:rFonts w:ascii="楷体_GB2312" w:hAnsi="楷体_GB2312" w:eastAsia="楷体_GB2312" w:cstheme="minorBidi"/>
              <w:b/>
              <w:bCs/>
              <w:sz w:val="22"/>
              <w14:ligatures w14:val="standardContextual"/>
            </w:rPr>
          </w:pPr>
          <w:r>
            <w:fldChar w:fldCharType="begin"/>
          </w:r>
          <w:r>
            <w:instrText xml:space="preserve"> HYPERLINK \l "_Toc173243497" </w:instrText>
          </w:r>
          <w:r>
            <w:fldChar w:fldCharType="separate"/>
          </w:r>
          <w:r>
            <w:rPr>
              <w:rStyle w:val="39"/>
              <w:rFonts w:ascii="楷体_GB2312" w:hAnsi="楷体_GB2312" w:eastAsia="楷体_GB2312"/>
              <w:b/>
              <w:bCs/>
            </w:rPr>
            <w:t>第二章  总体要求</w:t>
          </w:r>
          <w:r>
            <w:rPr>
              <w:rFonts w:ascii="楷体_GB2312" w:hAnsi="楷体_GB2312" w:eastAsia="楷体_GB2312"/>
              <w:b/>
              <w:bCs/>
            </w:rPr>
            <w:tab/>
          </w:r>
          <w:r>
            <w:rPr>
              <w:rFonts w:ascii="楷体_GB2312" w:hAnsi="楷体_GB2312" w:eastAsia="楷体_GB2312"/>
              <w:b/>
              <w:bCs/>
            </w:rPr>
            <w:fldChar w:fldCharType="begin"/>
          </w:r>
          <w:r>
            <w:rPr>
              <w:rFonts w:ascii="楷体_GB2312" w:hAnsi="楷体_GB2312" w:eastAsia="楷体_GB2312"/>
              <w:b/>
              <w:bCs/>
            </w:rPr>
            <w:instrText xml:space="preserve"> PAGEREF _Toc173243497 \h </w:instrText>
          </w:r>
          <w:r>
            <w:rPr>
              <w:rFonts w:ascii="楷体_GB2312" w:hAnsi="楷体_GB2312" w:eastAsia="楷体_GB2312"/>
              <w:b/>
              <w:bCs/>
            </w:rPr>
            <w:fldChar w:fldCharType="separate"/>
          </w:r>
          <w:r>
            <w:rPr>
              <w:rFonts w:ascii="楷体_GB2312" w:hAnsi="楷体_GB2312" w:eastAsia="楷体_GB2312"/>
              <w:b/>
              <w:bCs/>
            </w:rPr>
            <w:t>3</w:t>
          </w:r>
          <w:r>
            <w:rPr>
              <w:rFonts w:ascii="楷体_GB2312" w:hAnsi="楷体_GB2312" w:eastAsia="楷体_GB2312"/>
              <w:b/>
              <w:bCs/>
            </w:rPr>
            <w:fldChar w:fldCharType="end"/>
          </w:r>
          <w:r>
            <w:rPr>
              <w:rFonts w:ascii="楷体_GB2312" w:hAnsi="楷体_GB2312" w:eastAsia="楷体_GB2312"/>
              <w:b/>
              <w:bCs/>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"_Toc173243498" </w:instrText>
          </w:r>
          <w:r>
            <w:fldChar w:fldCharType="separate"/>
          </w:r>
          <w:r>
            <w:rPr>
              <w:rStyle w:val="39"/>
              <w:rFonts w:ascii="楷体_GB2312" w:hAnsi="楷体_GB2312"/>
              <w:bCs/>
              <w:kern w:val="44"/>
            </w:rPr>
            <w:t>第一节 指导思想</w:t>
          </w:r>
          <w:r>
            <w:rPr>
              <w:rFonts w:ascii="楷体_GB2312" w:hAnsi="楷体_GB2312"/>
            </w:rPr>
            <w:tab/>
          </w:r>
          <w:r>
            <w:rPr>
              <w:rFonts w:ascii="楷体_GB2312" w:hAnsi="楷体_GB2312"/>
            </w:rPr>
            <w:fldChar w:fldCharType="begin"/>
          </w:r>
          <w:r>
            <w:rPr>
              <w:rFonts w:ascii="楷体_GB2312" w:hAnsi="楷体_GB2312"/>
            </w:rPr>
            <w:instrText xml:space="preserve"> PAGEREF _Toc173243498 \h </w:instrText>
          </w:r>
          <w:r>
            <w:rPr>
              <w:rFonts w:ascii="楷体_GB2312" w:hAnsi="楷体_GB2312"/>
            </w:rPr>
            <w:fldChar w:fldCharType="separate"/>
          </w:r>
          <w:r>
            <w:rPr>
              <w:rFonts w:ascii="楷体_GB2312" w:hAnsi="楷体_GB2312"/>
            </w:rPr>
            <w:t>3</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"_Toc173243499" </w:instrText>
          </w:r>
          <w:r>
            <w:fldChar w:fldCharType="separate"/>
          </w:r>
          <w:r>
            <w:rPr>
              <w:rStyle w:val="39"/>
              <w:rFonts w:ascii="楷体_GB2312" w:hAnsi="楷体_GB2312"/>
            </w:rPr>
            <w:t>第二节 基本原则</w:t>
          </w:r>
          <w:r>
            <w:rPr>
              <w:rFonts w:ascii="楷体_GB2312" w:hAnsi="楷体_GB2312"/>
            </w:rPr>
            <w:tab/>
          </w:r>
          <w:r>
            <w:rPr>
              <w:rFonts w:ascii="楷体_GB2312" w:hAnsi="楷体_GB2312"/>
            </w:rPr>
            <w:fldChar w:fldCharType="begin"/>
          </w:r>
          <w:r>
            <w:rPr>
              <w:rFonts w:ascii="楷体_GB2312" w:hAnsi="楷体_GB2312"/>
            </w:rPr>
            <w:instrText xml:space="preserve"> PAGEREF _Toc173243499 \h </w:instrText>
          </w:r>
          <w:r>
            <w:rPr>
              <w:rFonts w:ascii="楷体_GB2312" w:hAnsi="楷体_GB2312"/>
            </w:rPr>
            <w:fldChar w:fldCharType="separate"/>
          </w:r>
          <w:r>
            <w:rPr>
              <w:rFonts w:ascii="楷体_GB2312" w:hAnsi="楷体_GB2312"/>
            </w:rPr>
            <w:t>3</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"_Toc173243500" </w:instrText>
          </w:r>
          <w:r>
            <w:fldChar w:fldCharType="separate"/>
          </w:r>
          <w:r>
            <w:rPr>
              <w:rStyle w:val="39"/>
              <w:rFonts w:ascii="楷体_GB2312" w:hAnsi="楷体_GB2312"/>
            </w:rPr>
            <w:t>第三节 规划目标</w:t>
          </w:r>
          <w:r>
            <w:rPr>
              <w:rFonts w:ascii="楷体_GB2312" w:hAnsi="楷体_GB2312"/>
            </w:rPr>
            <w:tab/>
          </w:r>
          <w:r>
            <w:rPr>
              <w:rFonts w:ascii="楷体_GB2312" w:hAnsi="楷体_GB2312"/>
            </w:rPr>
            <w:fldChar w:fldCharType="begin"/>
          </w:r>
          <w:r>
            <w:rPr>
              <w:rFonts w:ascii="楷体_GB2312" w:hAnsi="楷体_GB2312"/>
            </w:rPr>
            <w:instrText xml:space="preserve"> PAGEREF _Toc173243500 \h </w:instrText>
          </w:r>
          <w:r>
            <w:rPr>
              <w:rFonts w:ascii="楷体_GB2312" w:hAnsi="楷体_GB2312"/>
            </w:rPr>
            <w:fldChar w:fldCharType="separate"/>
          </w:r>
          <w:r>
            <w:rPr>
              <w:rFonts w:ascii="楷体_GB2312" w:hAnsi="楷体_GB2312"/>
            </w:rPr>
            <w:t>3</w:t>
          </w:r>
          <w:r>
            <w:rPr>
              <w:rFonts w:ascii="楷体_GB2312" w:hAnsi="楷体_GB2312"/>
            </w:rPr>
            <w:fldChar w:fldCharType="end"/>
          </w:r>
          <w:r>
            <w:rPr>
              <w:rFonts w:ascii="楷体_GB2312" w:hAnsi="楷体_GB2312"/>
            </w:rPr>
            <w:fldChar w:fldCharType="end"/>
          </w:r>
        </w:p>
        <w:p>
          <w:pPr>
            <w:pStyle w:val="25"/>
            <w:rPr>
              <w:rFonts w:ascii="楷体_GB2312" w:hAnsi="楷体_GB2312" w:eastAsia="楷体_GB2312" w:cstheme="minorBidi"/>
              <w:b/>
              <w:bCs/>
              <w:sz w:val="22"/>
              <w14:ligatures w14:val="standardContextual"/>
            </w:rPr>
          </w:pPr>
          <w:r>
            <w:fldChar w:fldCharType="begin"/>
          </w:r>
          <w:r>
            <w:instrText xml:space="preserve"> HYPERLINK \l "_Toc173243501" </w:instrText>
          </w:r>
          <w:r>
            <w:fldChar w:fldCharType="separate"/>
          </w:r>
          <w:r>
            <w:rPr>
              <w:rStyle w:val="39"/>
              <w:rFonts w:ascii="楷体_GB2312" w:hAnsi="楷体_GB2312" w:eastAsia="楷体_GB2312"/>
              <w:b/>
              <w:bCs/>
            </w:rPr>
            <w:t>第三章  加快住房恢复重建，补齐公共服务短板</w:t>
          </w:r>
          <w:r>
            <w:rPr>
              <w:rFonts w:ascii="楷体_GB2312" w:hAnsi="楷体_GB2312" w:eastAsia="楷体_GB2312"/>
              <w:b/>
              <w:bCs/>
            </w:rPr>
            <w:tab/>
          </w:r>
          <w:r>
            <w:rPr>
              <w:rFonts w:ascii="楷体_GB2312" w:hAnsi="楷体_GB2312" w:eastAsia="楷体_GB2312"/>
              <w:b/>
              <w:bCs/>
            </w:rPr>
            <w:fldChar w:fldCharType="begin"/>
          </w:r>
          <w:r>
            <w:rPr>
              <w:rFonts w:ascii="楷体_GB2312" w:hAnsi="楷体_GB2312" w:eastAsia="楷体_GB2312"/>
              <w:b/>
              <w:bCs/>
            </w:rPr>
            <w:instrText xml:space="preserve"> PAGEREF _Toc173243501 \h </w:instrText>
          </w:r>
          <w:r>
            <w:rPr>
              <w:rFonts w:ascii="楷体_GB2312" w:hAnsi="楷体_GB2312" w:eastAsia="楷体_GB2312"/>
              <w:b/>
              <w:bCs/>
            </w:rPr>
            <w:fldChar w:fldCharType="separate"/>
          </w:r>
          <w:r>
            <w:rPr>
              <w:rFonts w:ascii="楷体_GB2312" w:hAnsi="楷体_GB2312" w:eastAsia="楷体_GB2312"/>
              <w:b/>
              <w:bCs/>
            </w:rPr>
            <w:t>4</w:t>
          </w:r>
          <w:r>
            <w:rPr>
              <w:rFonts w:ascii="楷体_GB2312" w:hAnsi="楷体_GB2312" w:eastAsia="楷体_GB2312"/>
              <w:b/>
              <w:bCs/>
            </w:rPr>
            <w:fldChar w:fldCharType="end"/>
          </w:r>
          <w:r>
            <w:rPr>
              <w:rFonts w:ascii="楷体_GB2312" w:hAnsi="楷体_GB2312" w:eastAsia="楷体_GB2312"/>
              <w:b/>
              <w:bCs/>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"_Toc173243502" </w:instrText>
          </w:r>
          <w:r>
            <w:fldChar w:fldCharType="separate"/>
          </w:r>
          <w:r>
            <w:rPr>
              <w:rStyle w:val="39"/>
              <w:rFonts w:ascii="楷体_GB2312" w:hAnsi="楷体_GB2312"/>
            </w:rPr>
            <w:t>第一节 妥善推进居民住房安置</w:t>
          </w:r>
          <w:r>
            <w:rPr>
              <w:rFonts w:ascii="楷体_GB2312" w:hAnsi="楷体_GB2312"/>
            </w:rPr>
            <w:tab/>
          </w:r>
          <w:r>
            <w:rPr>
              <w:rFonts w:ascii="楷体_GB2312" w:hAnsi="楷体_GB2312"/>
            </w:rPr>
            <w:fldChar w:fldCharType="begin"/>
          </w:r>
          <w:r>
            <w:rPr>
              <w:rFonts w:ascii="楷体_GB2312" w:hAnsi="楷体_GB2312"/>
            </w:rPr>
            <w:instrText xml:space="preserve"> PAGEREF _Toc173243502 \h </w:instrText>
          </w:r>
          <w:r>
            <w:rPr>
              <w:rFonts w:ascii="楷体_GB2312" w:hAnsi="楷体_GB2312"/>
            </w:rPr>
            <w:fldChar w:fldCharType="separate"/>
          </w:r>
          <w:r>
            <w:rPr>
              <w:rFonts w:ascii="楷体_GB2312" w:hAnsi="楷体_GB2312"/>
            </w:rPr>
            <w:t>4</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"_Toc173243503" </w:instrText>
          </w:r>
          <w:r>
            <w:fldChar w:fldCharType="separate"/>
          </w:r>
          <w:r>
            <w:rPr>
              <w:rStyle w:val="39"/>
              <w:rFonts w:ascii="楷体_GB2312" w:hAnsi="楷体_GB2312"/>
            </w:rPr>
            <w:t>第二节 优先补齐公共服务设施</w:t>
          </w:r>
          <w:r>
            <w:rPr>
              <w:rFonts w:ascii="楷体_GB2312" w:hAnsi="楷体_GB2312"/>
            </w:rPr>
            <w:tab/>
          </w:r>
          <w:r>
            <w:rPr>
              <w:rFonts w:ascii="楷体_GB2312" w:hAnsi="楷体_GB2312"/>
            </w:rPr>
            <w:fldChar w:fldCharType="begin"/>
          </w:r>
          <w:r>
            <w:rPr>
              <w:rFonts w:ascii="楷体_GB2312" w:hAnsi="楷体_GB2312"/>
            </w:rPr>
            <w:instrText xml:space="preserve"> PAGEREF _Toc173243503 \h </w:instrText>
          </w:r>
          <w:r>
            <w:rPr>
              <w:rFonts w:ascii="楷体_GB2312" w:hAnsi="楷体_GB2312"/>
            </w:rPr>
            <w:fldChar w:fldCharType="separate"/>
          </w:r>
          <w:r>
            <w:rPr>
              <w:rFonts w:ascii="楷体_GB2312" w:hAnsi="楷体_GB2312"/>
            </w:rPr>
            <w:t>4</w:t>
          </w:r>
          <w:r>
            <w:rPr>
              <w:rFonts w:ascii="楷体_GB2312" w:hAnsi="楷体_GB2312"/>
            </w:rPr>
            <w:fldChar w:fldCharType="end"/>
          </w:r>
          <w:r>
            <w:rPr>
              <w:rFonts w:ascii="楷体_GB2312" w:hAnsi="楷体_GB2312"/>
            </w:rPr>
            <w:fldChar w:fldCharType="end"/>
          </w:r>
        </w:p>
        <w:p>
          <w:pPr>
            <w:pStyle w:val="25"/>
            <w:rPr>
              <w:rFonts w:ascii="楷体_GB2312" w:hAnsi="楷体_GB2312" w:eastAsia="楷体_GB2312" w:cstheme="minorBidi"/>
              <w:b/>
              <w:bCs/>
              <w:sz w:val="22"/>
              <w14:ligatures w14:val="standardContextual"/>
            </w:rPr>
          </w:pPr>
          <w:r>
            <w:fldChar w:fldCharType="begin"/>
          </w:r>
          <w:r>
            <w:instrText xml:space="preserve"> HYPERLINK \l "_Toc173243504" </w:instrText>
          </w:r>
          <w:r>
            <w:fldChar w:fldCharType="separate"/>
          </w:r>
          <w:r>
            <w:rPr>
              <w:rStyle w:val="39"/>
              <w:rFonts w:ascii="楷体_GB2312" w:hAnsi="楷体_GB2312" w:eastAsia="楷体_GB2312"/>
              <w:b/>
              <w:bCs/>
            </w:rPr>
            <w:t>第四章  加速基础设施修复，提升设施保障水平</w:t>
          </w:r>
          <w:r>
            <w:rPr>
              <w:rFonts w:ascii="楷体_GB2312" w:hAnsi="楷体_GB2312" w:eastAsia="楷体_GB2312"/>
              <w:b/>
              <w:bCs/>
            </w:rPr>
            <w:tab/>
          </w:r>
          <w:r>
            <w:rPr>
              <w:rFonts w:ascii="楷体_GB2312" w:hAnsi="楷体_GB2312" w:eastAsia="楷体_GB2312"/>
              <w:b/>
              <w:bCs/>
            </w:rPr>
            <w:fldChar w:fldCharType="begin"/>
          </w:r>
          <w:r>
            <w:rPr>
              <w:rFonts w:ascii="楷体_GB2312" w:hAnsi="楷体_GB2312" w:eastAsia="楷体_GB2312"/>
              <w:b/>
              <w:bCs/>
            </w:rPr>
            <w:instrText xml:space="preserve"> PAGEREF _Toc173243504 \h </w:instrText>
          </w:r>
          <w:r>
            <w:rPr>
              <w:rFonts w:ascii="楷体_GB2312" w:hAnsi="楷体_GB2312" w:eastAsia="楷体_GB2312"/>
              <w:b/>
              <w:bCs/>
            </w:rPr>
            <w:fldChar w:fldCharType="separate"/>
          </w:r>
          <w:r>
            <w:rPr>
              <w:rFonts w:ascii="楷体_GB2312" w:hAnsi="楷体_GB2312" w:eastAsia="楷体_GB2312"/>
              <w:b/>
              <w:bCs/>
            </w:rPr>
            <w:t>6</w:t>
          </w:r>
          <w:r>
            <w:rPr>
              <w:rFonts w:ascii="楷体_GB2312" w:hAnsi="楷体_GB2312" w:eastAsia="楷体_GB2312"/>
              <w:b/>
              <w:bCs/>
            </w:rPr>
            <w:fldChar w:fldCharType="end"/>
          </w:r>
          <w:r>
            <w:rPr>
              <w:rFonts w:ascii="楷体_GB2312" w:hAnsi="楷体_GB2312" w:eastAsia="楷体_GB2312"/>
              <w:b/>
              <w:bCs/>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"_Toc173243505" </w:instrText>
          </w:r>
          <w:r>
            <w:fldChar w:fldCharType="separate"/>
          </w:r>
          <w:r>
            <w:rPr>
              <w:rStyle w:val="39"/>
              <w:rFonts w:ascii="楷体_GB2312" w:hAnsi="楷体_GB2312"/>
            </w:rPr>
            <w:t>第一节 水利设施修复提升</w:t>
          </w:r>
          <w:r>
            <w:rPr>
              <w:rFonts w:ascii="楷体_GB2312" w:hAnsi="楷体_GB2312"/>
            </w:rPr>
            <w:tab/>
          </w:r>
          <w:r>
            <w:rPr>
              <w:rFonts w:ascii="楷体_GB2312" w:hAnsi="楷体_GB2312"/>
            </w:rPr>
            <w:fldChar w:fldCharType="begin"/>
          </w:r>
          <w:r>
            <w:rPr>
              <w:rFonts w:ascii="楷体_GB2312" w:hAnsi="楷体_GB2312"/>
            </w:rPr>
            <w:instrText xml:space="preserve"> PAGEREF _Toc173243505 \h </w:instrText>
          </w:r>
          <w:r>
            <w:rPr>
              <w:rFonts w:ascii="楷体_GB2312" w:hAnsi="楷体_GB2312"/>
            </w:rPr>
            <w:fldChar w:fldCharType="separate"/>
          </w:r>
          <w:r>
            <w:rPr>
              <w:rFonts w:ascii="楷体_GB2312" w:hAnsi="楷体_GB2312"/>
            </w:rPr>
            <w:t>6</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"_Toc173243506" </w:instrText>
          </w:r>
          <w:r>
            <w:fldChar w:fldCharType="separate"/>
          </w:r>
          <w:r>
            <w:rPr>
              <w:rStyle w:val="39"/>
              <w:rFonts w:ascii="楷体_GB2312" w:hAnsi="楷体_GB2312"/>
            </w:rPr>
            <w:t>第二节 交通设施恢复提升</w:t>
          </w:r>
          <w:r>
            <w:rPr>
              <w:rFonts w:ascii="楷体_GB2312" w:hAnsi="楷体_GB2312"/>
            </w:rPr>
            <w:tab/>
          </w:r>
          <w:r>
            <w:rPr>
              <w:rFonts w:ascii="楷体_GB2312" w:hAnsi="楷体_GB2312"/>
            </w:rPr>
            <w:fldChar w:fldCharType="begin"/>
          </w:r>
          <w:r>
            <w:rPr>
              <w:rFonts w:ascii="楷体_GB2312" w:hAnsi="楷体_GB2312"/>
            </w:rPr>
            <w:instrText xml:space="preserve"> PAGEREF _Toc173243506 \h </w:instrText>
          </w:r>
          <w:r>
            <w:rPr>
              <w:rFonts w:ascii="楷体_GB2312" w:hAnsi="楷体_GB2312"/>
            </w:rPr>
            <w:fldChar w:fldCharType="separate"/>
          </w:r>
          <w:r>
            <w:rPr>
              <w:rFonts w:ascii="楷体_GB2312" w:hAnsi="楷体_GB2312"/>
            </w:rPr>
            <w:t>6</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"_Toc173243507" </w:instrText>
          </w:r>
          <w:r>
            <w:fldChar w:fldCharType="separate"/>
          </w:r>
          <w:r>
            <w:rPr>
              <w:rStyle w:val="39"/>
              <w:rFonts w:ascii="楷体_GB2312" w:hAnsi="楷体_GB2312"/>
            </w:rPr>
            <w:t>第三节 市政设施恢复提升</w:t>
          </w:r>
          <w:r>
            <w:rPr>
              <w:rFonts w:ascii="楷体_GB2312" w:hAnsi="楷体_GB2312"/>
            </w:rPr>
            <w:tab/>
          </w:r>
          <w:r>
            <w:rPr>
              <w:rFonts w:ascii="楷体_GB2312" w:hAnsi="楷体_GB2312"/>
            </w:rPr>
            <w:fldChar w:fldCharType="begin"/>
          </w:r>
          <w:r>
            <w:rPr>
              <w:rFonts w:ascii="楷体_GB2312" w:hAnsi="楷体_GB2312"/>
            </w:rPr>
            <w:instrText xml:space="preserve"> PAGEREF _Toc173243507 \h </w:instrText>
          </w:r>
          <w:r>
            <w:rPr>
              <w:rFonts w:ascii="楷体_GB2312" w:hAnsi="楷体_GB2312"/>
            </w:rPr>
            <w:fldChar w:fldCharType="separate"/>
          </w:r>
          <w:r>
            <w:rPr>
              <w:rFonts w:ascii="楷体_GB2312" w:hAnsi="楷体_GB2312"/>
            </w:rPr>
            <w:t>8</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"_Toc173243508" </w:instrText>
          </w:r>
          <w:r>
            <w:fldChar w:fldCharType="separate"/>
          </w:r>
          <w:r>
            <w:rPr>
              <w:rStyle w:val="39"/>
              <w:rFonts w:ascii="楷体_GB2312" w:hAnsi="楷体_GB2312"/>
            </w:rPr>
            <w:t>第四节 电力通信设施恢复提升</w:t>
          </w:r>
          <w:r>
            <w:rPr>
              <w:rFonts w:ascii="楷体_GB2312" w:hAnsi="楷体_GB2312"/>
            </w:rPr>
            <w:tab/>
          </w:r>
          <w:r>
            <w:rPr>
              <w:rFonts w:ascii="楷体_GB2312" w:hAnsi="楷体_GB2312"/>
            </w:rPr>
            <w:fldChar w:fldCharType="begin"/>
          </w:r>
          <w:r>
            <w:rPr>
              <w:rFonts w:ascii="楷体_GB2312" w:hAnsi="楷体_GB2312"/>
            </w:rPr>
            <w:instrText xml:space="preserve"> PAGEREF _Toc173243508 \h </w:instrText>
          </w:r>
          <w:r>
            <w:rPr>
              <w:rFonts w:ascii="楷体_GB2312" w:hAnsi="楷体_GB2312"/>
            </w:rPr>
            <w:fldChar w:fldCharType="separate"/>
          </w:r>
          <w:r>
            <w:rPr>
              <w:rFonts w:ascii="楷体_GB2312" w:hAnsi="楷体_GB2312"/>
            </w:rPr>
            <w:t>9</w:t>
          </w:r>
          <w:r>
            <w:rPr>
              <w:rFonts w:ascii="楷体_GB2312" w:hAnsi="楷体_GB2312"/>
            </w:rPr>
            <w:fldChar w:fldCharType="end"/>
          </w:r>
          <w:r>
            <w:rPr>
              <w:rFonts w:ascii="楷体_GB2312" w:hAnsi="楷体_GB2312"/>
            </w:rPr>
            <w:fldChar w:fldCharType="end"/>
          </w:r>
        </w:p>
        <w:p>
          <w:pPr>
            <w:pStyle w:val="25"/>
            <w:rPr>
              <w:rFonts w:ascii="楷体_GB2312" w:hAnsi="楷体_GB2312" w:eastAsia="楷体_GB2312" w:cstheme="minorBidi"/>
              <w:b/>
              <w:bCs/>
              <w:sz w:val="22"/>
              <w14:ligatures w14:val="standardContextual"/>
            </w:rPr>
          </w:pPr>
          <w:r>
            <w:fldChar w:fldCharType="begin"/>
          </w:r>
          <w:r>
            <w:instrText xml:space="preserve"> HYPERLINK \l "_Toc173243509" </w:instrText>
          </w:r>
          <w:r>
            <w:fldChar w:fldCharType="separate"/>
          </w:r>
          <w:r>
            <w:rPr>
              <w:rStyle w:val="39"/>
              <w:rFonts w:ascii="楷体_GB2312" w:hAnsi="楷体_GB2312" w:eastAsia="楷体_GB2312"/>
              <w:b/>
              <w:bCs/>
            </w:rPr>
            <w:t>第五章  实施生态修复涵养，筑牢生态安全屏障</w:t>
          </w:r>
          <w:r>
            <w:rPr>
              <w:rFonts w:ascii="楷体_GB2312" w:hAnsi="楷体_GB2312" w:eastAsia="楷体_GB2312"/>
              <w:b/>
              <w:bCs/>
            </w:rPr>
            <w:tab/>
          </w:r>
          <w:r>
            <w:rPr>
              <w:rFonts w:ascii="楷体_GB2312" w:hAnsi="楷体_GB2312" w:eastAsia="楷体_GB2312"/>
              <w:b/>
              <w:bCs/>
            </w:rPr>
            <w:fldChar w:fldCharType="begin"/>
          </w:r>
          <w:r>
            <w:rPr>
              <w:rFonts w:ascii="楷体_GB2312" w:hAnsi="楷体_GB2312" w:eastAsia="楷体_GB2312"/>
              <w:b/>
              <w:bCs/>
            </w:rPr>
            <w:instrText xml:space="preserve"> PAGEREF _Toc173243509 \h </w:instrText>
          </w:r>
          <w:r>
            <w:rPr>
              <w:rFonts w:ascii="楷体_GB2312" w:hAnsi="楷体_GB2312" w:eastAsia="楷体_GB2312"/>
              <w:b/>
              <w:bCs/>
            </w:rPr>
            <w:fldChar w:fldCharType="separate"/>
          </w:r>
          <w:r>
            <w:rPr>
              <w:rFonts w:ascii="楷体_GB2312" w:hAnsi="楷体_GB2312" w:eastAsia="楷体_GB2312"/>
              <w:b/>
              <w:bCs/>
            </w:rPr>
            <w:t>10</w:t>
          </w:r>
          <w:r>
            <w:rPr>
              <w:rFonts w:ascii="楷体_GB2312" w:hAnsi="楷体_GB2312" w:eastAsia="楷体_GB2312"/>
              <w:b/>
              <w:bCs/>
            </w:rPr>
            <w:fldChar w:fldCharType="end"/>
          </w:r>
          <w:r>
            <w:rPr>
              <w:rFonts w:ascii="楷体_GB2312" w:hAnsi="楷体_GB2312" w:eastAsia="楷体_GB2312"/>
              <w:b/>
              <w:bCs/>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"_Toc173243510" </w:instrText>
          </w:r>
          <w:r>
            <w:fldChar w:fldCharType="separate"/>
          </w:r>
          <w:r>
            <w:rPr>
              <w:rStyle w:val="39"/>
              <w:rFonts w:ascii="楷体_GB2312" w:hAnsi="楷体_GB2312"/>
            </w:rPr>
            <w:t>第一节 加快生态环境修复</w:t>
          </w:r>
          <w:r>
            <w:rPr>
              <w:rFonts w:ascii="楷体_GB2312" w:hAnsi="楷体_GB2312"/>
            </w:rPr>
            <w:tab/>
          </w:r>
          <w:r>
            <w:rPr>
              <w:rFonts w:ascii="楷体_GB2312" w:hAnsi="楷体_GB2312"/>
            </w:rPr>
            <w:fldChar w:fldCharType="begin"/>
          </w:r>
          <w:r>
            <w:rPr>
              <w:rFonts w:ascii="楷体_GB2312" w:hAnsi="楷体_GB2312"/>
            </w:rPr>
            <w:instrText xml:space="preserve"> PAGEREF _Toc173243510 \h </w:instrText>
          </w:r>
          <w:r>
            <w:rPr>
              <w:rFonts w:ascii="楷体_GB2312" w:hAnsi="楷体_GB2312"/>
            </w:rPr>
            <w:fldChar w:fldCharType="separate"/>
          </w:r>
          <w:r>
            <w:rPr>
              <w:rFonts w:ascii="楷体_GB2312" w:hAnsi="楷体_GB2312"/>
            </w:rPr>
            <w:t>10</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"_Toc173243511" </w:instrText>
          </w:r>
          <w:r>
            <w:fldChar w:fldCharType="separate"/>
          </w:r>
          <w:r>
            <w:rPr>
              <w:rStyle w:val="39"/>
              <w:rFonts w:ascii="楷体_GB2312" w:hAnsi="楷体_GB2312"/>
            </w:rPr>
            <w:t>第二节 加强环境整治</w:t>
          </w:r>
          <w:r>
            <w:rPr>
              <w:rFonts w:ascii="楷体_GB2312" w:hAnsi="楷体_GB2312"/>
            </w:rPr>
            <w:tab/>
          </w:r>
          <w:r>
            <w:rPr>
              <w:rFonts w:ascii="楷体_GB2312" w:hAnsi="楷体_GB2312"/>
            </w:rPr>
            <w:fldChar w:fldCharType="begin"/>
          </w:r>
          <w:r>
            <w:rPr>
              <w:rFonts w:ascii="楷体_GB2312" w:hAnsi="楷体_GB2312"/>
            </w:rPr>
            <w:instrText xml:space="preserve"> PAGEREF _Toc173243511 \h </w:instrText>
          </w:r>
          <w:r>
            <w:rPr>
              <w:rFonts w:ascii="楷体_GB2312" w:hAnsi="楷体_GB2312"/>
            </w:rPr>
            <w:fldChar w:fldCharType="separate"/>
          </w:r>
          <w:r>
            <w:rPr>
              <w:rFonts w:ascii="楷体_GB2312" w:hAnsi="楷体_GB2312"/>
            </w:rPr>
            <w:t>10</w:t>
          </w:r>
          <w:r>
            <w:rPr>
              <w:rFonts w:ascii="楷体_GB2312" w:hAnsi="楷体_GB2312"/>
            </w:rPr>
            <w:fldChar w:fldCharType="end"/>
          </w:r>
          <w:r>
            <w:rPr>
              <w:rFonts w:ascii="楷体_GB2312" w:hAnsi="楷体_GB2312"/>
            </w:rPr>
            <w:fldChar w:fldCharType="end"/>
          </w:r>
        </w:p>
        <w:p>
          <w:pPr>
            <w:pStyle w:val="25"/>
            <w:rPr>
              <w:rFonts w:ascii="楷体_GB2312" w:hAnsi="楷体_GB2312" w:eastAsia="楷体_GB2312" w:cstheme="minorBidi"/>
              <w:b/>
              <w:bCs/>
              <w:sz w:val="22"/>
              <w14:ligatures w14:val="standardContextual"/>
            </w:rPr>
          </w:pPr>
          <w:r>
            <w:fldChar w:fldCharType="begin"/>
          </w:r>
          <w:r>
            <w:instrText xml:space="preserve"> HYPERLINK \l "_Toc173243512" </w:instrText>
          </w:r>
          <w:r>
            <w:fldChar w:fldCharType="separate"/>
          </w:r>
          <w:r>
            <w:rPr>
              <w:rStyle w:val="39"/>
              <w:rFonts w:ascii="楷体_GB2312" w:hAnsi="楷体_GB2312" w:eastAsia="楷体_GB2312"/>
              <w:b/>
              <w:bCs/>
            </w:rPr>
            <w:t>第六章  扎实推动复工复产，推动产业恢复振兴</w:t>
          </w:r>
          <w:r>
            <w:rPr>
              <w:rFonts w:ascii="楷体_GB2312" w:hAnsi="楷体_GB2312" w:eastAsia="楷体_GB2312"/>
              <w:b/>
              <w:bCs/>
            </w:rPr>
            <w:tab/>
          </w:r>
          <w:r>
            <w:rPr>
              <w:rFonts w:ascii="楷体_GB2312" w:hAnsi="楷体_GB2312" w:eastAsia="楷体_GB2312"/>
              <w:b/>
              <w:bCs/>
            </w:rPr>
            <w:fldChar w:fldCharType="begin"/>
          </w:r>
          <w:r>
            <w:rPr>
              <w:rFonts w:ascii="楷体_GB2312" w:hAnsi="楷体_GB2312" w:eastAsia="楷体_GB2312"/>
              <w:b/>
              <w:bCs/>
            </w:rPr>
            <w:instrText xml:space="preserve"> PAGEREF _Toc173243512 \h </w:instrText>
          </w:r>
          <w:r>
            <w:rPr>
              <w:rFonts w:ascii="楷体_GB2312" w:hAnsi="楷体_GB2312" w:eastAsia="楷体_GB2312"/>
              <w:b/>
              <w:bCs/>
            </w:rPr>
            <w:fldChar w:fldCharType="separate"/>
          </w:r>
          <w:r>
            <w:rPr>
              <w:rFonts w:ascii="楷体_GB2312" w:hAnsi="楷体_GB2312" w:eastAsia="楷体_GB2312"/>
              <w:b/>
              <w:bCs/>
            </w:rPr>
            <w:t>12</w:t>
          </w:r>
          <w:r>
            <w:rPr>
              <w:rFonts w:ascii="楷体_GB2312" w:hAnsi="楷体_GB2312" w:eastAsia="楷体_GB2312"/>
              <w:b/>
              <w:bCs/>
            </w:rPr>
            <w:fldChar w:fldCharType="end"/>
          </w:r>
          <w:r>
            <w:rPr>
              <w:rFonts w:ascii="楷体_GB2312" w:hAnsi="楷体_GB2312" w:eastAsia="楷体_GB2312"/>
              <w:b/>
              <w:bCs/>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"_Toc173243513" </w:instrText>
          </w:r>
          <w:r>
            <w:fldChar w:fldCharType="separate"/>
          </w:r>
          <w:r>
            <w:rPr>
              <w:rStyle w:val="39"/>
              <w:rFonts w:ascii="楷体_GB2312" w:hAnsi="楷体_GB2312"/>
            </w:rPr>
            <w:t>第一节 加快恢复农业生产</w:t>
          </w:r>
          <w:r>
            <w:rPr>
              <w:rFonts w:ascii="楷体_GB2312" w:hAnsi="楷体_GB2312"/>
            </w:rPr>
            <w:tab/>
          </w:r>
          <w:r>
            <w:rPr>
              <w:rFonts w:ascii="楷体_GB2312" w:hAnsi="楷体_GB2312"/>
            </w:rPr>
            <w:fldChar w:fldCharType="begin"/>
          </w:r>
          <w:r>
            <w:rPr>
              <w:rFonts w:ascii="楷体_GB2312" w:hAnsi="楷体_GB2312"/>
            </w:rPr>
            <w:instrText xml:space="preserve"> PAGEREF _Toc173243513 \h </w:instrText>
          </w:r>
          <w:r>
            <w:rPr>
              <w:rFonts w:ascii="楷体_GB2312" w:hAnsi="楷体_GB2312"/>
            </w:rPr>
            <w:fldChar w:fldCharType="separate"/>
          </w:r>
          <w:r>
            <w:rPr>
              <w:rFonts w:ascii="楷体_GB2312" w:hAnsi="楷体_GB2312"/>
            </w:rPr>
            <w:t>12</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"_Toc173243514" </w:instrText>
          </w:r>
          <w:r>
            <w:fldChar w:fldCharType="separate"/>
          </w:r>
          <w:r>
            <w:rPr>
              <w:rStyle w:val="39"/>
              <w:rFonts w:ascii="楷体_GB2312" w:hAnsi="楷体_GB2312"/>
            </w:rPr>
            <w:t>第二节 促进工业和服务业恢复</w:t>
          </w:r>
          <w:r>
            <w:rPr>
              <w:rFonts w:ascii="楷体_GB2312" w:hAnsi="楷体_GB2312"/>
            </w:rPr>
            <w:tab/>
          </w:r>
          <w:r>
            <w:rPr>
              <w:rFonts w:ascii="楷体_GB2312" w:hAnsi="楷体_GB2312"/>
            </w:rPr>
            <w:fldChar w:fldCharType="begin"/>
          </w:r>
          <w:r>
            <w:rPr>
              <w:rFonts w:ascii="楷体_GB2312" w:hAnsi="楷体_GB2312"/>
            </w:rPr>
            <w:instrText xml:space="preserve"> PAGEREF _Toc173243514 \h </w:instrText>
          </w:r>
          <w:r>
            <w:rPr>
              <w:rFonts w:ascii="楷体_GB2312" w:hAnsi="楷体_GB2312"/>
            </w:rPr>
            <w:fldChar w:fldCharType="separate"/>
          </w:r>
          <w:r>
            <w:rPr>
              <w:rFonts w:ascii="楷体_GB2312" w:hAnsi="楷体_GB2312"/>
            </w:rPr>
            <w:t>12</w:t>
          </w:r>
          <w:r>
            <w:rPr>
              <w:rFonts w:ascii="楷体_GB2312" w:hAnsi="楷体_GB2312"/>
            </w:rPr>
            <w:fldChar w:fldCharType="end"/>
          </w:r>
          <w:r>
            <w:rPr>
              <w:rFonts w:ascii="楷体_GB2312" w:hAnsi="楷体_GB2312"/>
            </w:rPr>
            <w:fldChar w:fldCharType="end"/>
          </w:r>
        </w:p>
        <w:p>
          <w:pPr>
            <w:pStyle w:val="25"/>
            <w:rPr>
              <w:rFonts w:ascii="楷体_GB2312" w:hAnsi="楷体_GB2312" w:eastAsia="楷体_GB2312" w:cstheme="minorBidi"/>
              <w:b/>
              <w:bCs/>
              <w:sz w:val="22"/>
              <w14:ligatures w14:val="standardContextual"/>
            </w:rPr>
          </w:pPr>
          <w:r>
            <w:fldChar w:fldCharType="begin"/>
          </w:r>
          <w:r>
            <w:instrText xml:space="preserve"> HYPERLINK \l "_Toc173243515" </w:instrText>
          </w:r>
          <w:r>
            <w:fldChar w:fldCharType="separate"/>
          </w:r>
          <w:r>
            <w:rPr>
              <w:rStyle w:val="39"/>
              <w:rFonts w:ascii="楷体_GB2312" w:hAnsi="楷体_GB2312" w:eastAsia="楷体_GB2312"/>
              <w:b/>
              <w:bCs/>
            </w:rPr>
            <w:t>第七章  提升防灾减灾能力，夯实安全发展基础</w:t>
          </w:r>
          <w:r>
            <w:rPr>
              <w:rFonts w:ascii="楷体_GB2312" w:hAnsi="楷体_GB2312" w:eastAsia="楷体_GB2312"/>
              <w:b/>
              <w:bCs/>
            </w:rPr>
            <w:tab/>
          </w:r>
          <w:r>
            <w:rPr>
              <w:rFonts w:ascii="楷体_GB2312" w:hAnsi="楷体_GB2312" w:eastAsia="楷体_GB2312"/>
              <w:b/>
              <w:bCs/>
            </w:rPr>
            <w:fldChar w:fldCharType="begin"/>
          </w:r>
          <w:r>
            <w:rPr>
              <w:rFonts w:ascii="楷体_GB2312" w:hAnsi="楷体_GB2312" w:eastAsia="楷体_GB2312"/>
              <w:b/>
              <w:bCs/>
            </w:rPr>
            <w:instrText xml:space="preserve"> PAGEREF _Toc173243515 \h </w:instrText>
          </w:r>
          <w:r>
            <w:rPr>
              <w:rFonts w:ascii="楷体_GB2312" w:hAnsi="楷体_GB2312" w:eastAsia="楷体_GB2312"/>
              <w:b/>
              <w:bCs/>
            </w:rPr>
            <w:fldChar w:fldCharType="separate"/>
          </w:r>
          <w:r>
            <w:rPr>
              <w:rFonts w:ascii="楷体_GB2312" w:hAnsi="楷体_GB2312" w:eastAsia="楷体_GB2312"/>
              <w:b/>
              <w:bCs/>
            </w:rPr>
            <w:t>14</w:t>
          </w:r>
          <w:r>
            <w:rPr>
              <w:rFonts w:ascii="楷体_GB2312" w:hAnsi="楷体_GB2312" w:eastAsia="楷体_GB2312"/>
              <w:b/>
              <w:bCs/>
            </w:rPr>
            <w:fldChar w:fldCharType="end"/>
          </w:r>
          <w:r>
            <w:rPr>
              <w:rFonts w:ascii="楷体_GB2312" w:hAnsi="楷体_GB2312" w:eastAsia="楷体_GB2312"/>
              <w:b/>
              <w:bCs/>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"_Toc173243516" </w:instrText>
          </w:r>
          <w:r>
            <w:fldChar w:fldCharType="separate"/>
          </w:r>
          <w:r>
            <w:rPr>
              <w:rStyle w:val="39"/>
              <w:rFonts w:ascii="楷体_GB2312" w:hAnsi="楷体_GB2312"/>
              <w:kern w:val="0"/>
            </w:rPr>
            <w:t>第一节 强化灾害监测预警防治能力</w:t>
          </w:r>
          <w:r>
            <w:rPr>
              <w:rFonts w:ascii="楷体_GB2312" w:hAnsi="楷体_GB2312"/>
            </w:rPr>
            <w:tab/>
          </w:r>
          <w:r>
            <w:rPr>
              <w:rFonts w:ascii="楷体_GB2312" w:hAnsi="楷体_GB2312"/>
            </w:rPr>
            <w:fldChar w:fldCharType="begin"/>
          </w:r>
          <w:r>
            <w:rPr>
              <w:rFonts w:ascii="楷体_GB2312" w:hAnsi="楷体_GB2312"/>
            </w:rPr>
            <w:instrText xml:space="preserve"> PAGEREF _Toc173243516 \h </w:instrText>
          </w:r>
          <w:r>
            <w:rPr>
              <w:rFonts w:ascii="楷体_GB2312" w:hAnsi="楷体_GB2312"/>
            </w:rPr>
            <w:fldChar w:fldCharType="separate"/>
          </w:r>
          <w:r>
            <w:rPr>
              <w:rFonts w:ascii="楷体_GB2312" w:hAnsi="楷体_GB2312"/>
            </w:rPr>
            <w:t>14</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"_Toc173243517" </w:instrText>
          </w:r>
          <w:r>
            <w:fldChar w:fldCharType="separate"/>
          </w:r>
          <w:r>
            <w:rPr>
              <w:rStyle w:val="39"/>
              <w:rFonts w:ascii="楷体_GB2312" w:hAnsi="楷体_GB2312"/>
              <w:kern w:val="0"/>
            </w:rPr>
            <w:t>第二节 加强灾害应急保障能力</w:t>
          </w:r>
          <w:r>
            <w:rPr>
              <w:rFonts w:ascii="楷体_GB2312" w:hAnsi="楷体_GB2312"/>
            </w:rPr>
            <w:tab/>
          </w:r>
          <w:r>
            <w:rPr>
              <w:rFonts w:ascii="楷体_GB2312" w:hAnsi="楷体_GB2312"/>
            </w:rPr>
            <w:fldChar w:fldCharType="begin"/>
          </w:r>
          <w:r>
            <w:rPr>
              <w:rFonts w:ascii="楷体_GB2312" w:hAnsi="楷体_GB2312"/>
            </w:rPr>
            <w:instrText xml:space="preserve"> PAGEREF _Toc173243517 \h </w:instrText>
          </w:r>
          <w:r>
            <w:rPr>
              <w:rFonts w:ascii="楷体_GB2312" w:hAnsi="楷体_GB2312"/>
            </w:rPr>
            <w:fldChar w:fldCharType="separate"/>
          </w:r>
          <w:r>
            <w:rPr>
              <w:rFonts w:ascii="楷体_GB2312" w:hAnsi="楷体_GB2312"/>
            </w:rPr>
            <w:t>15</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"_Toc173243518" </w:instrText>
          </w:r>
          <w:r>
            <w:fldChar w:fldCharType="separate"/>
          </w:r>
          <w:r>
            <w:rPr>
              <w:rStyle w:val="39"/>
              <w:rFonts w:ascii="楷体_GB2312" w:hAnsi="楷体_GB2312"/>
              <w:kern w:val="0"/>
            </w:rPr>
            <w:t>第三节 加强地质灾害防范治理</w:t>
          </w:r>
          <w:r>
            <w:rPr>
              <w:rFonts w:ascii="楷体_GB2312" w:hAnsi="楷体_GB2312"/>
            </w:rPr>
            <w:tab/>
          </w:r>
          <w:r>
            <w:rPr>
              <w:rFonts w:ascii="楷体_GB2312" w:hAnsi="楷体_GB2312"/>
            </w:rPr>
            <w:fldChar w:fldCharType="begin"/>
          </w:r>
          <w:r>
            <w:rPr>
              <w:rFonts w:ascii="楷体_GB2312" w:hAnsi="楷体_GB2312"/>
            </w:rPr>
            <w:instrText xml:space="preserve"> PAGEREF _Toc173243518 \h </w:instrText>
          </w:r>
          <w:r>
            <w:rPr>
              <w:rFonts w:ascii="楷体_GB2312" w:hAnsi="楷体_GB2312"/>
            </w:rPr>
            <w:fldChar w:fldCharType="separate"/>
          </w:r>
          <w:r>
            <w:rPr>
              <w:rFonts w:ascii="楷体_GB2312" w:hAnsi="楷体_GB2312"/>
            </w:rPr>
            <w:t>16</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"_Toc173243519" </w:instrText>
          </w:r>
          <w:r>
            <w:fldChar w:fldCharType="separate"/>
          </w:r>
          <w:r>
            <w:rPr>
              <w:rStyle w:val="39"/>
              <w:rFonts w:ascii="楷体_GB2312" w:hAnsi="楷体_GB2312"/>
              <w:kern w:val="0"/>
            </w:rPr>
            <w:t>第四节 提升防洪排涝能力</w:t>
          </w:r>
          <w:r>
            <w:rPr>
              <w:rFonts w:ascii="楷体_GB2312" w:hAnsi="楷体_GB2312"/>
            </w:rPr>
            <w:tab/>
          </w:r>
          <w:r>
            <w:rPr>
              <w:rFonts w:ascii="楷体_GB2312" w:hAnsi="楷体_GB2312"/>
            </w:rPr>
            <w:fldChar w:fldCharType="begin"/>
          </w:r>
          <w:r>
            <w:rPr>
              <w:rFonts w:ascii="楷体_GB2312" w:hAnsi="楷体_GB2312"/>
            </w:rPr>
            <w:instrText xml:space="preserve"> PAGEREF _Toc173243519 \h </w:instrText>
          </w:r>
          <w:r>
            <w:rPr>
              <w:rFonts w:ascii="楷体_GB2312" w:hAnsi="楷体_GB2312"/>
            </w:rPr>
            <w:fldChar w:fldCharType="separate"/>
          </w:r>
          <w:r>
            <w:rPr>
              <w:rFonts w:ascii="楷体_GB2312" w:hAnsi="楷体_GB2312"/>
            </w:rPr>
            <w:t>17</w:t>
          </w:r>
          <w:r>
            <w:rPr>
              <w:rFonts w:ascii="楷体_GB2312" w:hAnsi="楷体_GB2312"/>
            </w:rPr>
            <w:fldChar w:fldCharType="end"/>
          </w:r>
          <w:r>
            <w:rPr>
              <w:rFonts w:ascii="楷体_GB2312" w:hAnsi="楷体_GB2312"/>
            </w:rPr>
            <w:fldChar w:fldCharType="end"/>
          </w:r>
        </w:p>
        <w:p>
          <w:pPr>
            <w:pStyle w:val="25"/>
            <w:rPr>
              <w:rFonts w:ascii="楷体_GB2312" w:hAnsi="楷体_GB2312" w:eastAsia="楷体_GB2312" w:cstheme="minorBidi"/>
              <w:b/>
              <w:bCs/>
              <w:sz w:val="22"/>
              <w14:ligatures w14:val="standardContextual"/>
            </w:rPr>
          </w:pPr>
          <w:r>
            <w:fldChar w:fldCharType="begin"/>
          </w:r>
          <w:r>
            <w:instrText xml:space="preserve"> HYPERLINK \l "_Toc173243520" </w:instrText>
          </w:r>
          <w:r>
            <w:fldChar w:fldCharType="separate"/>
          </w:r>
          <w:r>
            <w:rPr>
              <w:rStyle w:val="39"/>
              <w:rFonts w:ascii="楷体_GB2312" w:hAnsi="楷体_GB2312" w:eastAsia="楷体_GB2312"/>
              <w:b/>
              <w:bCs/>
            </w:rPr>
            <w:t>第八章  保障措施</w:t>
          </w:r>
          <w:r>
            <w:rPr>
              <w:rFonts w:ascii="楷体_GB2312" w:hAnsi="楷体_GB2312" w:eastAsia="楷体_GB2312"/>
              <w:b/>
              <w:bCs/>
            </w:rPr>
            <w:tab/>
          </w:r>
          <w:r>
            <w:rPr>
              <w:rFonts w:ascii="楷体_GB2312" w:hAnsi="楷体_GB2312" w:eastAsia="楷体_GB2312"/>
              <w:b/>
              <w:bCs/>
            </w:rPr>
            <w:fldChar w:fldCharType="begin"/>
          </w:r>
          <w:r>
            <w:rPr>
              <w:rFonts w:ascii="楷体_GB2312" w:hAnsi="楷体_GB2312" w:eastAsia="楷体_GB2312"/>
              <w:b/>
              <w:bCs/>
            </w:rPr>
            <w:instrText xml:space="preserve"> PAGEREF _Toc173243520 \h </w:instrText>
          </w:r>
          <w:r>
            <w:rPr>
              <w:rFonts w:ascii="楷体_GB2312" w:hAnsi="楷体_GB2312" w:eastAsia="楷体_GB2312"/>
              <w:b/>
              <w:bCs/>
            </w:rPr>
            <w:fldChar w:fldCharType="separate"/>
          </w:r>
          <w:r>
            <w:rPr>
              <w:rFonts w:ascii="楷体_GB2312" w:hAnsi="楷体_GB2312" w:eastAsia="楷体_GB2312"/>
              <w:b/>
              <w:bCs/>
            </w:rPr>
            <w:t>18</w:t>
          </w:r>
          <w:r>
            <w:rPr>
              <w:rFonts w:ascii="楷体_GB2312" w:hAnsi="楷体_GB2312" w:eastAsia="楷体_GB2312"/>
              <w:b/>
              <w:bCs/>
            </w:rPr>
            <w:fldChar w:fldCharType="end"/>
          </w:r>
          <w:r>
            <w:rPr>
              <w:rFonts w:ascii="楷体_GB2312" w:hAnsi="楷体_GB2312" w:eastAsia="楷体_GB2312"/>
              <w:b/>
              <w:bCs/>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"_Toc173243521" </w:instrText>
          </w:r>
          <w:r>
            <w:fldChar w:fldCharType="separate"/>
          </w:r>
          <w:r>
            <w:rPr>
              <w:rStyle w:val="39"/>
              <w:rFonts w:ascii="楷体_GB2312" w:hAnsi="楷体_GB2312"/>
            </w:rPr>
            <w:t>第一节 加强组织领导</w:t>
          </w:r>
          <w:r>
            <w:rPr>
              <w:rFonts w:ascii="楷体_GB2312" w:hAnsi="楷体_GB2312"/>
            </w:rPr>
            <w:tab/>
          </w:r>
          <w:r>
            <w:rPr>
              <w:rFonts w:ascii="楷体_GB2312" w:hAnsi="楷体_GB2312"/>
            </w:rPr>
            <w:fldChar w:fldCharType="begin"/>
          </w:r>
          <w:r>
            <w:rPr>
              <w:rFonts w:ascii="楷体_GB2312" w:hAnsi="楷体_GB2312"/>
            </w:rPr>
            <w:instrText xml:space="preserve"> PAGEREF _Toc173243521 \h </w:instrText>
          </w:r>
          <w:r>
            <w:rPr>
              <w:rFonts w:ascii="楷体_GB2312" w:hAnsi="楷体_GB2312"/>
            </w:rPr>
            <w:fldChar w:fldCharType="separate"/>
          </w:r>
          <w:r>
            <w:rPr>
              <w:rFonts w:ascii="楷体_GB2312" w:hAnsi="楷体_GB2312"/>
            </w:rPr>
            <w:t>18</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"_Toc173243522" </w:instrText>
          </w:r>
          <w:r>
            <w:fldChar w:fldCharType="separate"/>
          </w:r>
          <w:r>
            <w:rPr>
              <w:rStyle w:val="39"/>
              <w:rFonts w:ascii="楷体_GB2312" w:hAnsi="楷体_GB2312"/>
            </w:rPr>
            <w:t>第二节 完善各类政策保障</w:t>
          </w:r>
          <w:r>
            <w:rPr>
              <w:rFonts w:ascii="楷体_GB2312" w:hAnsi="楷体_GB2312"/>
            </w:rPr>
            <w:tab/>
          </w:r>
          <w:r>
            <w:rPr>
              <w:rFonts w:ascii="楷体_GB2312" w:hAnsi="楷体_GB2312"/>
            </w:rPr>
            <w:fldChar w:fldCharType="begin"/>
          </w:r>
          <w:r>
            <w:rPr>
              <w:rFonts w:ascii="楷体_GB2312" w:hAnsi="楷体_GB2312"/>
            </w:rPr>
            <w:instrText xml:space="preserve"> PAGEREF _Toc173243522 \h </w:instrText>
          </w:r>
          <w:r>
            <w:rPr>
              <w:rFonts w:ascii="楷体_GB2312" w:hAnsi="楷体_GB2312"/>
            </w:rPr>
            <w:fldChar w:fldCharType="separate"/>
          </w:r>
          <w:r>
            <w:rPr>
              <w:rFonts w:ascii="楷体_GB2312" w:hAnsi="楷体_GB2312"/>
            </w:rPr>
            <w:t>18</w:t>
          </w:r>
          <w:r>
            <w:rPr>
              <w:rFonts w:ascii="楷体_GB2312" w:hAnsi="楷体_GB2312"/>
            </w:rPr>
            <w:fldChar w:fldCharType="end"/>
          </w:r>
          <w:r>
            <w:rPr>
              <w:rFonts w:ascii="楷体_GB2312" w:hAnsi="楷体_GB2312"/>
            </w:rPr>
            <w:fldChar w:fldCharType="end"/>
          </w:r>
        </w:p>
        <w:p>
          <w:pPr>
            <w:pStyle w:val="29"/>
            <w:ind w:firstLine="566" w:firstLineChars="177"/>
            <w:rPr>
              <w:rFonts w:ascii="楷体_GB2312" w:hAnsi="楷体_GB2312" w:cstheme="minorBidi"/>
              <w:sz w:val="22"/>
              <w14:ligatures w14:val="standardContextual"/>
            </w:rPr>
          </w:pPr>
          <w:r>
            <w:fldChar w:fldCharType="begin"/>
          </w:r>
          <w:r>
            <w:instrText xml:space="preserve"> HYPERLINK \l "_Toc173243523" </w:instrText>
          </w:r>
          <w:r>
            <w:fldChar w:fldCharType="separate"/>
          </w:r>
          <w:r>
            <w:rPr>
              <w:rStyle w:val="39"/>
              <w:rFonts w:ascii="楷体_GB2312" w:hAnsi="楷体_GB2312"/>
            </w:rPr>
            <w:t>第三节 强化实施和监督评估</w:t>
          </w:r>
          <w:r>
            <w:rPr>
              <w:rFonts w:ascii="楷体_GB2312" w:hAnsi="楷体_GB2312"/>
            </w:rPr>
            <w:tab/>
          </w:r>
          <w:r>
            <w:rPr>
              <w:rFonts w:ascii="楷体_GB2312" w:hAnsi="楷体_GB2312"/>
            </w:rPr>
            <w:fldChar w:fldCharType="begin"/>
          </w:r>
          <w:r>
            <w:rPr>
              <w:rFonts w:ascii="楷体_GB2312" w:hAnsi="楷体_GB2312"/>
            </w:rPr>
            <w:instrText xml:space="preserve"> PAGEREF _Toc173243523 \h </w:instrText>
          </w:r>
          <w:r>
            <w:rPr>
              <w:rFonts w:ascii="楷体_GB2312" w:hAnsi="楷体_GB2312"/>
            </w:rPr>
            <w:fldChar w:fldCharType="separate"/>
          </w:r>
          <w:r>
            <w:rPr>
              <w:rFonts w:ascii="楷体_GB2312" w:hAnsi="楷体_GB2312"/>
            </w:rPr>
            <w:t>18</w:t>
          </w:r>
          <w:r>
            <w:rPr>
              <w:rFonts w:ascii="楷体_GB2312" w:hAnsi="楷体_GB2312"/>
            </w:rPr>
            <w:fldChar w:fldCharType="end"/>
          </w:r>
          <w:r>
            <w:rPr>
              <w:rFonts w:ascii="楷体_GB2312" w:hAnsi="楷体_GB2312"/>
            </w:rPr>
            <w:fldChar w:fldCharType="end"/>
          </w:r>
        </w:p>
        <w:p>
          <w:pPr>
            <w:ind w:firstLine="640"/>
            <w:rPr>
              <w:rFonts w:ascii="楷体_GB2312" w:hAnsi="楷体_GB2312" w:eastAsia="楷体_GB2312"/>
            </w:rPr>
          </w:pPr>
          <w:r>
            <w:rPr>
              <w:rFonts w:ascii="楷体_GB2312" w:hAnsi="楷体_GB2312" w:eastAsia="楷体_GB2312"/>
            </w:rPr>
            <w:fldChar w:fldCharType="end"/>
          </w:r>
        </w:p>
      </w:sdtContent>
    </w:sdt>
    <w:p>
      <w:pPr>
        <w:pStyle w:val="2"/>
        <w:ind w:firstLine="0" w:firstLineChars="0"/>
        <w:jc w:val="center"/>
        <w:rPr>
          <w:rFonts w:eastAsia="黑体"/>
          <w:b/>
          <w:color w:val="000000"/>
          <w:sz w:val="36"/>
          <w:szCs w:val="36"/>
          <w:lang w:val="zh-CN"/>
        </w:rPr>
      </w:pPr>
    </w:p>
    <w:bookmarkEnd w:id="3"/>
    <w:bookmarkEnd w:id="4"/>
    <w:bookmarkEnd w:id="5"/>
    <w:bookmarkEnd w:id="6"/>
    <w:bookmarkEnd w:id="7"/>
    <w:bookmarkEnd w:id="8"/>
    <w:bookmarkEnd w:id="9"/>
    <w:p>
      <w:pPr>
        <w:ind w:firstLine="640"/>
        <w:rPr>
          <w:color w:val="000000"/>
          <w:lang w:val="zh-CN"/>
        </w:rPr>
      </w:pPr>
    </w:p>
    <w:p>
      <w:pPr>
        <w:ind w:firstLine="640"/>
        <w:rPr>
          <w:color w:val="000000"/>
          <w:lang w:bidi="ar"/>
        </w:rPr>
        <w:sectPr>
          <w:type w:val="continuous"/>
          <w:pgSz w:w="11906" w:h="16838"/>
          <w:pgMar w:top="1440" w:right="1800" w:bottom="1440" w:left="1800" w:header="851" w:footer="992" w:gutter="0"/>
          <w:pgNumType w:fmt="upperRoman" w:start="1"/>
          <w:cols w:space="720" w:num="1"/>
          <w:titlePg/>
          <w:docGrid w:type="lines" w:linePitch="435" w:charSpace="0"/>
        </w:sectPr>
      </w:pPr>
    </w:p>
    <w:p>
      <w:pPr>
        <w:pStyle w:val="2"/>
        <w:ind w:firstLine="0" w:firstLineChars="0"/>
        <w:jc w:val="center"/>
        <w:outlineLvl w:val="0"/>
        <w:rPr>
          <w:rFonts w:eastAsia="方正小标宋简体"/>
          <w:sz w:val="40"/>
          <w:szCs w:val="40"/>
        </w:rPr>
      </w:pPr>
      <w:bookmarkStart w:id="10" w:name="_Toc171525816"/>
      <w:bookmarkStart w:id="11" w:name="_Toc173243492"/>
      <w:bookmarkStart w:id="12" w:name="_Toc171527638"/>
      <w:r>
        <w:rPr>
          <w:rFonts w:hint="eastAsia" w:eastAsia="方正小标宋简体"/>
          <w:sz w:val="40"/>
          <w:szCs w:val="40"/>
        </w:rPr>
        <w:t>第一章</w:t>
      </w:r>
      <w:r>
        <w:rPr>
          <w:rFonts w:eastAsia="方正小标宋简体"/>
          <w:sz w:val="40"/>
          <w:szCs w:val="40"/>
        </w:rPr>
        <w:t xml:space="preserve">  </w:t>
      </w:r>
      <w:bookmarkEnd w:id="10"/>
      <w:r>
        <w:rPr>
          <w:rFonts w:hint="eastAsia" w:eastAsia="方正小标宋简体"/>
          <w:sz w:val="40"/>
          <w:szCs w:val="40"/>
        </w:rPr>
        <w:t>基本情况</w:t>
      </w:r>
      <w:bookmarkEnd w:id="11"/>
      <w:bookmarkEnd w:id="12"/>
    </w:p>
    <w:p>
      <w:pPr>
        <w:ind w:firstLine="707" w:firstLineChars="221"/>
        <w:jc w:val="left"/>
        <w:outlineLvl w:val="1"/>
        <w:rPr>
          <w:rFonts w:eastAsia="黑体"/>
          <w:sz w:val="44"/>
          <w:szCs w:val="44"/>
        </w:rPr>
      </w:pPr>
      <w:bookmarkStart w:id="13" w:name="_Toc171525817"/>
      <w:bookmarkStart w:id="14" w:name="_Toc171527639"/>
      <w:bookmarkStart w:id="15" w:name="_Toc173243493"/>
      <w:r>
        <w:rPr>
          <w:rFonts w:eastAsia="黑体"/>
        </w:rPr>
        <w:t xml:space="preserve">第一节 </w:t>
      </w:r>
      <w:bookmarkEnd w:id="13"/>
      <w:bookmarkEnd w:id="14"/>
      <w:r>
        <w:rPr>
          <w:rFonts w:eastAsia="黑体"/>
        </w:rPr>
        <w:t>灾情</w:t>
      </w:r>
      <w:r>
        <w:rPr>
          <w:rFonts w:hint="eastAsia" w:eastAsia="黑体"/>
        </w:rPr>
        <w:t>特征</w:t>
      </w:r>
      <w:bookmarkEnd w:id="15"/>
    </w:p>
    <w:p>
      <w:pPr>
        <w:pStyle w:val="3"/>
        <w:wordWrap/>
        <w:spacing w:line="560" w:lineRule="exact"/>
        <w:ind w:firstLine="643" w:firstLineChars="200"/>
        <w:rPr>
          <w:rFonts w:eastAsia="仿宋_GB2312"/>
          <w:kern w:val="2"/>
          <w:sz w:val="32"/>
          <w:szCs w:val="24"/>
        </w:rPr>
      </w:pPr>
      <w:r>
        <w:rPr>
          <w:rFonts w:hint="eastAsia" w:ascii="仿宋_GB2312" w:eastAsia="仿宋_GB2312"/>
          <w:b/>
          <w:bCs/>
          <w:kern w:val="2"/>
          <w:sz w:val="32"/>
          <w:szCs w:val="24"/>
        </w:rPr>
        <w:t>极端性强，影响区域集中</w:t>
      </w:r>
      <w:r>
        <w:rPr>
          <w:rFonts w:eastAsia="仿宋_GB2312"/>
          <w:b/>
          <w:bCs/>
          <w:kern w:val="2"/>
          <w:sz w:val="32"/>
          <w:szCs w:val="24"/>
        </w:rPr>
        <w:t>。</w:t>
      </w:r>
      <w:r>
        <w:rPr>
          <w:rFonts w:eastAsia="仿宋_GB2312"/>
          <w:kern w:val="2"/>
          <w:sz w:val="32"/>
          <w:szCs w:val="24"/>
        </w:rPr>
        <w:t>此次</w:t>
      </w:r>
      <w:r>
        <w:rPr>
          <w:rFonts w:hint="eastAsia" w:eastAsia="仿宋_GB2312"/>
          <w:kern w:val="2"/>
          <w:sz w:val="32"/>
          <w:szCs w:val="24"/>
        </w:rPr>
        <w:t>暴雨洪涝灾害</w:t>
      </w:r>
      <w:r>
        <w:rPr>
          <w:rFonts w:eastAsia="仿宋_GB2312"/>
          <w:kern w:val="2"/>
          <w:sz w:val="32"/>
          <w:szCs w:val="24"/>
        </w:rPr>
        <w:t>过程</w:t>
      </w:r>
      <w:r>
        <w:rPr>
          <w:rFonts w:hint="eastAsia" w:eastAsia="仿宋_GB2312"/>
          <w:kern w:val="2"/>
          <w:sz w:val="32"/>
          <w:szCs w:val="24"/>
        </w:rPr>
        <w:t>中</w:t>
      </w:r>
      <w:r>
        <w:rPr>
          <w:rFonts w:eastAsia="仿宋_GB2312"/>
          <w:kern w:val="2"/>
          <w:sz w:val="32"/>
          <w:szCs w:val="24"/>
        </w:rPr>
        <w:t>，平远</w:t>
      </w:r>
      <w:r>
        <w:rPr>
          <w:rFonts w:hint="eastAsia" w:eastAsia="仿宋_GB2312"/>
          <w:kern w:val="2"/>
          <w:sz w:val="32"/>
          <w:szCs w:val="24"/>
        </w:rPr>
        <w:t>县</w:t>
      </w:r>
      <w:r>
        <w:rPr>
          <w:rFonts w:eastAsia="仿宋_GB2312"/>
          <w:kern w:val="2"/>
          <w:sz w:val="32"/>
          <w:szCs w:val="24"/>
        </w:rPr>
        <w:t>、蕉岭</w:t>
      </w:r>
      <w:r>
        <w:rPr>
          <w:rFonts w:hint="eastAsia" w:eastAsia="仿宋_GB2312"/>
          <w:kern w:val="2"/>
          <w:sz w:val="32"/>
          <w:szCs w:val="24"/>
        </w:rPr>
        <w:t>县</w:t>
      </w:r>
      <w:r>
        <w:rPr>
          <w:rFonts w:eastAsia="仿宋_GB2312"/>
          <w:kern w:val="2"/>
          <w:sz w:val="32"/>
          <w:szCs w:val="24"/>
        </w:rPr>
        <w:t>普降大暴雨，局部特大暴雨。梅县区中北部出现大到暴雨，局部大暴雨。</w:t>
      </w:r>
    </w:p>
    <w:p>
      <w:pPr>
        <w:pStyle w:val="3"/>
        <w:wordWrap/>
        <w:spacing w:line="560" w:lineRule="exact"/>
        <w:ind w:firstLine="643" w:firstLineChars="200"/>
        <w:rPr>
          <w:rFonts w:eastAsia="仿宋_GB2312"/>
          <w:kern w:val="2"/>
          <w:sz w:val="32"/>
          <w:szCs w:val="24"/>
        </w:rPr>
      </w:pPr>
      <w:r>
        <w:rPr>
          <w:rFonts w:hint="eastAsia" w:ascii="仿宋_GB2312" w:eastAsia="仿宋_GB2312"/>
          <w:b/>
          <w:bCs/>
          <w:kern w:val="2"/>
          <w:sz w:val="32"/>
          <w:szCs w:val="24"/>
        </w:rPr>
        <w:t>致灾性高，汛情险情严重。</w:t>
      </w:r>
      <w:r>
        <w:rPr>
          <w:rFonts w:eastAsia="仿宋_GB2312"/>
          <w:kern w:val="2"/>
          <w:sz w:val="32"/>
          <w:szCs w:val="24"/>
        </w:rPr>
        <w:t>本次特大暴雨</w:t>
      </w:r>
      <w:r>
        <w:rPr>
          <w:rFonts w:hint="eastAsia" w:eastAsia="仿宋_GB2312"/>
          <w:kern w:val="2"/>
          <w:sz w:val="32"/>
          <w:szCs w:val="24"/>
        </w:rPr>
        <w:t>受</w:t>
      </w:r>
      <w:r>
        <w:rPr>
          <w:rFonts w:eastAsia="仿宋_GB2312"/>
          <w:kern w:val="2"/>
          <w:sz w:val="32"/>
          <w:szCs w:val="24"/>
        </w:rPr>
        <w:t>致灾性高。</w:t>
      </w:r>
      <w:r>
        <w:rPr>
          <w:rFonts w:eastAsia="仿宋_GB2312"/>
          <w:b/>
          <w:bCs/>
          <w:kern w:val="2"/>
          <w:sz w:val="32"/>
          <w:szCs w:val="24"/>
        </w:rPr>
        <w:t>一是</w:t>
      </w:r>
      <w:r>
        <w:rPr>
          <w:rFonts w:eastAsia="仿宋_GB2312"/>
          <w:kern w:val="2"/>
          <w:sz w:val="32"/>
          <w:szCs w:val="24"/>
        </w:rPr>
        <w:t>入汛以来降雨异常多。</w:t>
      </w:r>
      <w:r>
        <w:rPr>
          <w:rFonts w:eastAsia="仿宋_GB2312"/>
          <w:b/>
          <w:bCs/>
          <w:kern w:val="2"/>
          <w:sz w:val="32"/>
          <w:szCs w:val="24"/>
        </w:rPr>
        <w:t>二是</w:t>
      </w:r>
      <w:r>
        <w:rPr>
          <w:rFonts w:eastAsia="仿宋_GB2312"/>
          <w:kern w:val="2"/>
          <w:sz w:val="32"/>
          <w:szCs w:val="24"/>
        </w:rPr>
        <w:t>上游地区降雨极端。</w:t>
      </w:r>
      <w:r>
        <w:rPr>
          <w:rFonts w:eastAsia="仿宋_GB2312"/>
          <w:b/>
          <w:bCs/>
          <w:kern w:val="2"/>
          <w:sz w:val="32"/>
          <w:szCs w:val="24"/>
        </w:rPr>
        <w:t>三是</w:t>
      </w:r>
      <w:r>
        <w:rPr>
          <w:rFonts w:eastAsia="仿宋_GB2312"/>
          <w:kern w:val="2"/>
          <w:sz w:val="32"/>
          <w:szCs w:val="24"/>
        </w:rPr>
        <w:t>地形极易成洪。</w:t>
      </w:r>
    </w:p>
    <w:p>
      <w:pPr>
        <w:ind w:firstLine="707" w:firstLineChars="221"/>
        <w:jc w:val="left"/>
        <w:outlineLvl w:val="1"/>
        <w:rPr>
          <w:rFonts w:eastAsia="黑体"/>
        </w:rPr>
      </w:pPr>
      <w:bookmarkStart w:id="16" w:name="_Toc171527640"/>
      <w:bookmarkStart w:id="17" w:name="_Toc171525818"/>
      <w:bookmarkStart w:id="18" w:name="_Toc173243494"/>
      <w:bookmarkStart w:id="19" w:name="_Toc145578850"/>
      <w:r>
        <w:rPr>
          <w:rFonts w:eastAsia="黑体"/>
        </w:rPr>
        <w:t xml:space="preserve">第二节 </w:t>
      </w:r>
      <w:bookmarkEnd w:id="16"/>
      <w:bookmarkEnd w:id="17"/>
      <w:r>
        <w:rPr>
          <w:rFonts w:eastAsia="黑体"/>
        </w:rPr>
        <w:t>规划范围</w:t>
      </w:r>
      <w:bookmarkEnd w:id="18"/>
    </w:p>
    <w:p>
      <w:pPr>
        <w:pStyle w:val="2"/>
        <w:spacing w:after="0"/>
        <w:ind w:firstLine="640"/>
      </w:pPr>
      <w:r>
        <w:t>本</w:t>
      </w:r>
      <w:bookmarkStart w:id="20" w:name="_Toc171525819"/>
      <w:r>
        <w:t>规划范围为梅州市全域，包括2个市辖区（梅江区、梅县区）、5个县（</w:t>
      </w:r>
      <w:r>
        <w:rPr>
          <w:rFonts w:hint="eastAsia"/>
        </w:rPr>
        <w:t>平远县、蕉岭县、</w:t>
      </w:r>
      <w:r>
        <w:t>大埔县、丰顺县、五华县）、1个县级市（兴宁市）。</w:t>
      </w:r>
    </w:p>
    <w:p>
      <w:pPr>
        <w:ind w:firstLine="707" w:firstLineChars="221"/>
        <w:jc w:val="left"/>
        <w:outlineLvl w:val="1"/>
        <w:rPr>
          <w:rFonts w:eastAsia="黑体"/>
        </w:rPr>
      </w:pPr>
      <w:bookmarkStart w:id="21" w:name="_Toc171527641"/>
      <w:bookmarkStart w:id="22" w:name="_Toc173243495"/>
      <w:r>
        <w:rPr>
          <w:rFonts w:eastAsia="黑体"/>
        </w:rPr>
        <w:t xml:space="preserve">第三节 </w:t>
      </w:r>
      <w:bookmarkEnd w:id="20"/>
      <w:bookmarkEnd w:id="21"/>
      <w:r>
        <w:rPr>
          <w:rFonts w:eastAsia="黑体"/>
        </w:rPr>
        <w:t>面临形势</w:t>
      </w:r>
      <w:bookmarkEnd w:id="22"/>
    </w:p>
    <w:p>
      <w:pPr>
        <w:ind w:firstLine="707" w:firstLineChars="221"/>
        <w:rPr>
          <w:rFonts w:ascii="仿宋_GB2312"/>
        </w:rPr>
      </w:pPr>
      <w:r>
        <w:rPr>
          <w:rFonts w:hint="eastAsia" w:ascii="楷体_GB2312" w:eastAsia="楷体_GB2312"/>
        </w:rPr>
        <w:t>洪涝灾害防治能力需要优化提升。</w:t>
      </w:r>
      <w:r>
        <w:rPr>
          <w:rFonts w:hint="eastAsia" w:ascii="仿宋_GB2312"/>
        </w:rPr>
        <w:t>梅州市地处粤北山区，地形复杂，溪河众多，降雨时空分布不均，强降雨极易引发历时短、冲击力大、破坏力强的山洪灾害，危害人民群众生命财产安全。</w:t>
      </w:r>
    </w:p>
    <w:p>
      <w:pPr>
        <w:ind w:firstLine="707" w:firstLineChars="221"/>
        <w:rPr>
          <w:rFonts w:ascii="仿宋_GB2312"/>
        </w:rPr>
      </w:pPr>
      <w:r>
        <w:rPr>
          <w:rFonts w:hint="eastAsia" w:ascii="楷体_GB2312" w:eastAsia="楷体_GB2312"/>
        </w:rPr>
        <w:t>韧性城市建设需要优化提升。</w:t>
      </w:r>
      <w:r>
        <w:rPr>
          <w:rFonts w:hint="eastAsia" w:ascii="仿宋_GB2312"/>
        </w:rPr>
        <w:t>梅州市灾后重建与未来发展将更加突出基础设施和公共服务设施“平急两用”功能，交通布局更多体现“生命线”通道作用，供水、排水等市政设施恢复重建要增强抗毁韧性，学校、医院等公共服务设施恢复重建要结合抗灾情况提升标准、兼顾应急救援功能。</w:t>
      </w:r>
    </w:p>
    <w:p>
      <w:pPr>
        <w:ind w:firstLine="707" w:firstLineChars="221"/>
        <w:rPr>
          <w:rFonts w:ascii="仿宋_GB2312"/>
        </w:rPr>
      </w:pPr>
      <w:r>
        <w:rPr>
          <w:rFonts w:hint="eastAsia" w:ascii="楷体_GB2312" w:eastAsia="楷体_GB2312"/>
        </w:rPr>
        <w:t>应急管理体系需要优化提升。</w:t>
      </w:r>
      <w:r>
        <w:rPr>
          <w:rFonts w:hint="eastAsia" w:ascii="仿宋_GB2312"/>
        </w:rPr>
        <w:t>梅州市洪涝灾害、地质灾害较为频繁，城市安全发展面临多重挑战，应急管理基础依然薄弱，尤其是应急管理信息化建设、基层应急救援基础建设等方面存在较大差距。</w:t>
      </w:r>
    </w:p>
    <w:p>
      <w:pPr>
        <w:ind w:firstLine="707" w:firstLineChars="221"/>
        <w:jc w:val="left"/>
        <w:outlineLvl w:val="1"/>
        <w:rPr>
          <w:rFonts w:eastAsia="黑体"/>
        </w:rPr>
      </w:pPr>
      <w:bookmarkStart w:id="23" w:name="_Toc173243496"/>
      <w:r>
        <w:rPr>
          <w:rFonts w:eastAsia="黑体"/>
        </w:rPr>
        <w:t>第四节 主要任务</w:t>
      </w:r>
      <w:bookmarkEnd w:id="23"/>
    </w:p>
    <w:p>
      <w:pPr>
        <w:ind w:firstLine="640"/>
      </w:pPr>
      <w:r>
        <w:t>主要任务</w:t>
      </w:r>
      <w:r>
        <w:rPr>
          <w:rFonts w:hint="eastAsia"/>
        </w:rPr>
        <w:t>围绕“当前恢复、近期巩固、长期提升”的思路，</w:t>
      </w:r>
      <w:r>
        <w:t>按照短中长期任务安排，</w:t>
      </w:r>
      <w:r>
        <w:rPr>
          <w:rFonts w:hint="eastAsia"/>
        </w:rPr>
        <w:t>分阶段</w:t>
      </w:r>
      <w:r>
        <w:t>、分步骤的开展灾后恢复重建工作。</w:t>
      </w:r>
    </w:p>
    <w:p>
      <w:pPr>
        <w:pStyle w:val="2"/>
        <w:spacing w:after="0"/>
        <w:ind w:firstLine="640"/>
      </w:pPr>
      <w:r>
        <w:t>重点任务包括：灾区居民住房</w:t>
      </w:r>
      <w:r>
        <w:rPr>
          <w:rFonts w:hint="eastAsia"/>
        </w:rPr>
        <w:t>安置</w:t>
      </w:r>
      <w:r>
        <w:t>、公共服务</w:t>
      </w:r>
      <w:r>
        <w:rPr>
          <w:rFonts w:hint="eastAsia"/>
        </w:rPr>
        <w:t>设施</w:t>
      </w:r>
      <w:r>
        <w:t>、基础设施、生态环境</w:t>
      </w:r>
      <w:r>
        <w:rPr>
          <w:rFonts w:hint="eastAsia"/>
        </w:rPr>
        <w:t>、</w:t>
      </w:r>
      <w:r>
        <w:t>产业恢复等；提升防灾减灾能力的重点任务包括：强化灾害监测预警防治能力，加强灾害应急响应保障能力，地质灾害防</w:t>
      </w:r>
      <w:r>
        <w:rPr>
          <w:rFonts w:hint="eastAsia"/>
        </w:rPr>
        <w:t>范治理</w:t>
      </w:r>
      <w:r>
        <w:t>，提升防洪排涝能力等。</w:t>
      </w:r>
    </w:p>
    <w:p>
      <w:pPr>
        <w:pStyle w:val="2"/>
        <w:ind w:firstLine="640"/>
      </w:pPr>
      <w:r>
        <w:br w:type="page"/>
      </w:r>
    </w:p>
    <w:p>
      <w:pPr>
        <w:pStyle w:val="2"/>
        <w:ind w:firstLine="0" w:firstLineChars="0"/>
        <w:jc w:val="center"/>
        <w:outlineLvl w:val="0"/>
        <w:rPr>
          <w:rFonts w:eastAsia="方正小标宋简体"/>
          <w:sz w:val="36"/>
          <w:szCs w:val="36"/>
        </w:rPr>
      </w:pPr>
      <w:bookmarkStart w:id="24" w:name="_Toc171525820"/>
      <w:bookmarkStart w:id="25" w:name="_Toc171527642"/>
      <w:bookmarkStart w:id="26" w:name="_Toc173243497"/>
      <w:r>
        <w:rPr>
          <w:rFonts w:eastAsia="方正小标宋简体"/>
          <w:sz w:val="36"/>
          <w:szCs w:val="36"/>
        </w:rPr>
        <w:t>第二章  总体要求</w:t>
      </w:r>
      <w:bookmarkEnd w:id="24"/>
      <w:bookmarkEnd w:id="25"/>
      <w:bookmarkEnd w:id="26"/>
    </w:p>
    <w:p>
      <w:pPr>
        <w:ind w:firstLine="640"/>
        <w:jc w:val="left"/>
        <w:outlineLvl w:val="1"/>
        <w:rPr>
          <w:rFonts w:eastAsia="黑体"/>
          <w:bCs/>
          <w:kern w:val="44"/>
          <w:szCs w:val="32"/>
        </w:rPr>
      </w:pPr>
      <w:bookmarkStart w:id="27" w:name="_Toc171525821"/>
      <w:bookmarkStart w:id="28" w:name="_Toc171527643"/>
      <w:bookmarkStart w:id="29" w:name="_Toc173243498"/>
      <w:r>
        <w:rPr>
          <w:rFonts w:eastAsia="黑体"/>
          <w:bCs/>
          <w:kern w:val="44"/>
          <w:szCs w:val="32"/>
        </w:rPr>
        <w:t>第一节 指导思想</w:t>
      </w:r>
      <w:bookmarkEnd w:id="27"/>
      <w:bookmarkEnd w:id="28"/>
      <w:bookmarkEnd w:id="29"/>
    </w:p>
    <w:p>
      <w:pPr>
        <w:pStyle w:val="2"/>
        <w:spacing w:after="0"/>
        <w:ind w:firstLine="640"/>
      </w:pPr>
      <w:r>
        <w:rPr>
          <w:rFonts w:hint="eastAsia"/>
        </w:rPr>
        <w:t>坚持</w:t>
      </w:r>
      <w:r>
        <w:t>以习近平新时代中国特色社会主义思想为指导，全面贯彻党的二十大</w:t>
      </w:r>
      <w:r>
        <w:rPr>
          <w:rFonts w:hint="eastAsia"/>
        </w:rPr>
        <w:t>和二十届一中</w:t>
      </w:r>
      <w:r>
        <w:rPr>
          <w:rFonts w:hint="eastAsia"/>
          <w:lang w:eastAsia="zh-CN"/>
        </w:rPr>
        <w:t>全会</w:t>
      </w:r>
      <w:r>
        <w:rPr>
          <w:rFonts w:hint="eastAsia"/>
        </w:rPr>
        <w:t>、二中</w:t>
      </w:r>
      <w:r>
        <w:rPr>
          <w:rFonts w:hint="eastAsia"/>
          <w:lang w:eastAsia="zh-CN"/>
        </w:rPr>
        <w:t>全会</w:t>
      </w:r>
      <w:r>
        <w:rPr>
          <w:rFonts w:hint="eastAsia"/>
        </w:rPr>
        <w:t>、三</w:t>
      </w:r>
      <w:bookmarkStart w:id="99" w:name="_GoBack"/>
      <w:bookmarkEnd w:id="99"/>
      <w:r>
        <w:rPr>
          <w:rFonts w:hint="eastAsia"/>
        </w:rPr>
        <w:t>中全会精神</w:t>
      </w:r>
      <w:r>
        <w:t>，深入贯彻</w:t>
      </w:r>
      <w:r>
        <w:rPr>
          <w:rFonts w:hint="eastAsia"/>
        </w:rPr>
        <w:t>落实</w:t>
      </w:r>
      <w:r>
        <w:t>习近平总书记关于防汛</w:t>
      </w:r>
      <w:r>
        <w:rPr>
          <w:rFonts w:hint="eastAsia"/>
        </w:rPr>
        <w:t>抗洪救灾和灾后恢复重建</w:t>
      </w:r>
      <w:r>
        <w:t>工作的重要指示</w:t>
      </w:r>
      <w:r>
        <w:rPr>
          <w:rFonts w:hint="eastAsia"/>
        </w:rPr>
        <w:t>批示</w:t>
      </w:r>
      <w:r>
        <w:t>，完整、准确、全面贯彻新发展理念，</w:t>
      </w:r>
      <w:r>
        <w:rPr>
          <w:rFonts w:hint="eastAsia"/>
        </w:rPr>
        <w:t>认真</w:t>
      </w:r>
      <w:r>
        <w:t>落实省委省政府关于灾后恢复重建工作的部署要求，</w:t>
      </w:r>
      <w:r>
        <w:rPr>
          <w:rFonts w:hint="eastAsia"/>
        </w:rPr>
        <w:t>围绕国家赋予的“一区两城”战略定位，</w:t>
      </w:r>
      <w:r>
        <w:t>坚定践行以人民为中心的发展思想，以保障和改善民生为核心，</w:t>
      </w:r>
      <w:r>
        <w:rPr>
          <w:rFonts w:hint="eastAsia"/>
        </w:rPr>
        <w:t>统筹兼顾恢复重建与发展提升，注重恢复重建与巩固拓展脱贫攻坚成果、乡村振兴、文旅融合发展、生态环境保护相结合，突出科学重建、绿色重建、人文重建、阳光重建、高标准高质量完成各项重建任务。</w:t>
      </w:r>
    </w:p>
    <w:p>
      <w:pPr>
        <w:ind w:firstLine="640"/>
        <w:outlineLvl w:val="1"/>
        <w:rPr>
          <w:rFonts w:eastAsia="黑体"/>
        </w:rPr>
      </w:pPr>
      <w:bookmarkStart w:id="30" w:name="_Toc171527644"/>
      <w:bookmarkStart w:id="31" w:name="_Toc173243499"/>
      <w:bookmarkStart w:id="32" w:name="_Toc171525822"/>
      <w:r>
        <w:rPr>
          <w:rFonts w:eastAsia="黑体"/>
        </w:rPr>
        <w:t>第二节 基本原则</w:t>
      </w:r>
      <w:bookmarkEnd w:id="30"/>
      <w:bookmarkEnd w:id="31"/>
      <w:bookmarkEnd w:id="32"/>
    </w:p>
    <w:p>
      <w:pPr>
        <w:pStyle w:val="2"/>
        <w:spacing w:after="0"/>
        <w:ind w:firstLine="640"/>
      </w:pPr>
      <w:r>
        <w:rPr>
          <w:rFonts w:eastAsia="楷体_GB2312"/>
        </w:rPr>
        <w:t>以人为本，民生为重</w:t>
      </w:r>
      <w:r>
        <w:t>。</w:t>
      </w:r>
    </w:p>
    <w:p>
      <w:pPr>
        <w:ind w:firstLine="640"/>
      </w:pPr>
      <w:r>
        <w:rPr>
          <w:rFonts w:eastAsia="楷体_GB2312"/>
        </w:rPr>
        <w:t>立足当前，着眼长远</w:t>
      </w:r>
      <w:r>
        <w:t>。</w:t>
      </w:r>
    </w:p>
    <w:p>
      <w:pPr>
        <w:pStyle w:val="2"/>
        <w:spacing w:after="0"/>
        <w:ind w:firstLine="640"/>
      </w:pPr>
      <w:r>
        <w:rPr>
          <w:rFonts w:eastAsia="楷体_GB2312"/>
        </w:rPr>
        <w:t>政府主导，多元参与</w:t>
      </w:r>
      <w:r>
        <w:t>。</w:t>
      </w:r>
    </w:p>
    <w:p>
      <w:pPr>
        <w:ind w:firstLine="640"/>
        <w:outlineLvl w:val="1"/>
        <w:rPr>
          <w:rFonts w:eastAsia="黑体"/>
        </w:rPr>
      </w:pPr>
      <w:bookmarkStart w:id="33" w:name="_Toc171527645"/>
      <w:bookmarkStart w:id="34" w:name="_Toc173243500"/>
      <w:bookmarkStart w:id="35" w:name="_Toc171525823"/>
      <w:r>
        <w:rPr>
          <w:rFonts w:eastAsia="黑体"/>
        </w:rPr>
        <w:t>第三节 规划目标</w:t>
      </w:r>
      <w:bookmarkEnd w:id="33"/>
      <w:bookmarkEnd w:id="34"/>
      <w:bookmarkEnd w:id="35"/>
    </w:p>
    <w:p>
      <w:pPr>
        <w:ind w:firstLine="640"/>
      </w:pPr>
      <w:r>
        <w:rPr>
          <w:rFonts w:hint="eastAsia"/>
        </w:rPr>
        <w:t>到2025年底前，基本完成灾后恢复重建任务，迅速恢复受损的住房、学校、医疗卫生等民生保障和交通、电力、供水、通信等基础设施，灾区生产生活条件和经济社会发展基本恢复到灾前水平。到2030年底前，全面完成灾后恢复重建任务，自然灾害危险区域建房避险搬迁工作稳步推进，防灾减灾救灾能力得到显著提升。</w:t>
      </w:r>
      <w:r>
        <w:br w:type="page"/>
      </w:r>
    </w:p>
    <w:p>
      <w:pPr>
        <w:pStyle w:val="2"/>
        <w:ind w:firstLine="0" w:firstLineChars="0"/>
        <w:jc w:val="center"/>
        <w:outlineLvl w:val="0"/>
        <w:rPr>
          <w:rFonts w:eastAsia="方正小标宋简体"/>
          <w:sz w:val="36"/>
          <w:szCs w:val="36"/>
        </w:rPr>
      </w:pPr>
      <w:bookmarkStart w:id="36" w:name="_Toc171527648"/>
      <w:bookmarkStart w:id="37" w:name="_Toc171525825"/>
      <w:bookmarkStart w:id="38" w:name="_Toc173243501"/>
      <w:bookmarkStart w:id="39" w:name="_Hlk171882583"/>
      <w:r>
        <w:rPr>
          <w:rFonts w:eastAsia="方正小标宋简体"/>
          <w:sz w:val="36"/>
          <w:szCs w:val="36"/>
        </w:rPr>
        <w:t xml:space="preserve">第三章  </w:t>
      </w:r>
      <w:bookmarkEnd w:id="36"/>
      <w:bookmarkEnd w:id="37"/>
      <w:r>
        <w:rPr>
          <w:rFonts w:eastAsia="方正小标宋简体"/>
          <w:sz w:val="36"/>
          <w:szCs w:val="36"/>
        </w:rPr>
        <w:t>加</w:t>
      </w:r>
      <w:r>
        <w:rPr>
          <w:rFonts w:hint="eastAsia" w:eastAsia="方正小标宋简体"/>
          <w:sz w:val="36"/>
          <w:szCs w:val="36"/>
        </w:rPr>
        <w:t>快</w:t>
      </w:r>
      <w:r>
        <w:rPr>
          <w:rFonts w:eastAsia="方正小标宋简体"/>
          <w:sz w:val="36"/>
          <w:szCs w:val="36"/>
        </w:rPr>
        <w:t>住房</w:t>
      </w:r>
      <w:r>
        <w:rPr>
          <w:rFonts w:hint="eastAsia" w:eastAsia="方正小标宋简体"/>
          <w:sz w:val="36"/>
          <w:szCs w:val="36"/>
        </w:rPr>
        <w:t>恢复重建</w:t>
      </w:r>
      <w:r>
        <w:rPr>
          <w:rFonts w:eastAsia="方正小标宋简体"/>
          <w:sz w:val="36"/>
          <w:szCs w:val="36"/>
        </w:rPr>
        <w:t>，</w:t>
      </w:r>
      <w:r>
        <w:rPr>
          <w:rFonts w:hint="eastAsia" w:eastAsia="方正小标宋简体"/>
          <w:sz w:val="36"/>
          <w:szCs w:val="36"/>
        </w:rPr>
        <w:t>补齐</w:t>
      </w:r>
      <w:r>
        <w:rPr>
          <w:rFonts w:eastAsia="方正小标宋简体"/>
          <w:sz w:val="36"/>
          <w:szCs w:val="36"/>
        </w:rPr>
        <w:t>公共服务</w:t>
      </w:r>
      <w:r>
        <w:rPr>
          <w:rFonts w:hint="eastAsia" w:eastAsia="方正小标宋简体"/>
          <w:sz w:val="36"/>
          <w:szCs w:val="36"/>
        </w:rPr>
        <w:t>短板</w:t>
      </w:r>
      <w:bookmarkEnd w:id="38"/>
    </w:p>
    <w:p>
      <w:pPr>
        <w:ind w:firstLine="640"/>
        <w:outlineLvl w:val="1"/>
        <w:rPr>
          <w:rFonts w:eastAsia="黑体"/>
        </w:rPr>
      </w:pPr>
      <w:bookmarkStart w:id="40" w:name="_Toc173243502"/>
      <w:bookmarkStart w:id="41" w:name="_Toc171525826"/>
      <w:bookmarkStart w:id="42" w:name="_Toc171527649"/>
      <w:r>
        <w:rPr>
          <w:rFonts w:eastAsia="黑体"/>
        </w:rPr>
        <w:t>第一节 妥善推进居民住房安置</w:t>
      </w:r>
      <w:bookmarkEnd w:id="40"/>
      <w:bookmarkEnd w:id="41"/>
      <w:bookmarkEnd w:id="42"/>
    </w:p>
    <w:p>
      <w:pPr>
        <w:pStyle w:val="2"/>
        <w:spacing w:after="0"/>
        <w:ind w:firstLine="640"/>
        <w:outlineLvl w:val="2"/>
        <w:rPr>
          <w:rFonts w:eastAsia="楷体_GB2312"/>
        </w:rPr>
      </w:pPr>
      <w:r>
        <w:rPr>
          <w:rFonts w:hint="eastAsia" w:eastAsia="楷体_GB2312"/>
        </w:rPr>
        <w:t>（一）自然灾害危险区域建房避险搬迁</w:t>
      </w:r>
    </w:p>
    <w:p>
      <w:pPr>
        <w:pStyle w:val="2"/>
        <w:spacing w:after="0"/>
        <w:ind w:firstLine="643"/>
      </w:pPr>
      <w:r>
        <w:rPr>
          <w:rFonts w:ascii="仿宋_GB2312" w:hAnsi="仿宋_GB2312"/>
          <w:b/>
          <w:bCs/>
        </w:rPr>
        <w:t>分期安置地质灾害</w:t>
      </w:r>
      <w:r>
        <w:rPr>
          <w:rFonts w:hint="eastAsia" w:ascii="仿宋_GB2312" w:hAnsi="仿宋_GB2312"/>
          <w:b/>
          <w:bCs/>
        </w:rPr>
        <w:t>风险区</w:t>
      </w:r>
      <w:r>
        <w:rPr>
          <w:rFonts w:ascii="仿宋_GB2312" w:hAnsi="仿宋_GB2312"/>
          <w:b/>
          <w:bCs/>
        </w:rPr>
        <w:t>村民</w:t>
      </w:r>
      <w:r>
        <w:rPr>
          <w:rFonts w:hint="eastAsia" w:ascii="仿宋_GB2312" w:hAnsi="仿宋_GB2312"/>
          <w:b/>
          <w:bCs/>
        </w:rPr>
        <w:t>。</w:t>
      </w:r>
      <w:r>
        <w:t>加强整县整镇统筹谋划，</w:t>
      </w:r>
      <w:r>
        <w:rPr>
          <w:rFonts w:hint="eastAsia"/>
        </w:rPr>
        <w:t>分批</w:t>
      </w:r>
      <w:r>
        <w:t>将地灾危险性高、治理投入大、居住环境恶劣地区的地质灾害隐患点</w:t>
      </w:r>
      <w:r>
        <w:rPr>
          <w:rFonts w:hint="eastAsia"/>
        </w:rPr>
        <w:t>和地质灾害高风险区受威胁群众</w:t>
      </w:r>
      <w:r>
        <w:t>，以行政村为单元集中规划建房，突破村民小组的界限，实施</w:t>
      </w:r>
      <w:r>
        <w:rPr>
          <w:rFonts w:hint="eastAsia"/>
        </w:rPr>
        <w:t>异地搬迁</w:t>
      </w:r>
      <w:r>
        <w:t>安置。</w:t>
      </w:r>
    </w:p>
    <w:p>
      <w:pPr>
        <w:pStyle w:val="20"/>
        <w:ind w:firstLine="643"/>
        <w:rPr>
          <w:rFonts w:ascii="Times New Roman" w:hAnsi="Times New Roman" w:eastAsia="仿宋_GB2312"/>
          <w:szCs w:val="32"/>
        </w:rPr>
      </w:pPr>
      <w:r>
        <w:rPr>
          <w:rFonts w:ascii="仿宋_GB2312" w:hAnsi="仿宋_GB2312" w:eastAsia="仿宋_GB2312"/>
          <w:b/>
          <w:bCs/>
        </w:rPr>
        <w:t>分批次</w:t>
      </w:r>
      <w:r>
        <w:rPr>
          <w:rFonts w:hint="eastAsia" w:ascii="仿宋_GB2312" w:hAnsi="仿宋_GB2312" w:eastAsia="仿宋_GB2312"/>
          <w:b/>
          <w:bCs/>
        </w:rPr>
        <w:t>分级</w:t>
      </w:r>
      <w:r>
        <w:rPr>
          <w:rFonts w:ascii="仿宋_GB2312" w:hAnsi="仿宋_GB2312" w:eastAsia="仿宋_GB2312"/>
          <w:b/>
          <w:bCs/>
        </w:rPr>
        <w:t>转移安置削坡建房</w:t>
      </w:r>
      <w:r>
        <w:rPr>
          <w:rFonts w:hint="eastAsia" w:ascii="仿宋_GB2312" w:hAnsi="仿宋_GB2312" w:eastAsia="仿宋_GB2312"/>
          <w:b/>
          <w:bCs/>
        </w:rPr>
        <w:t>风险点住</w:t>
      </w:r>
      <w:r>
        <w:rPr>
          <w:rFonts w:ascii="仿宋_GB2312" w:hAnsi="仿宋_GB2312" w:eastAsia="仿宋_GB2312"/>
          <w:b/>
          <w:bCs/>
        </w:rPr>
        <w:t>户</w:t>
      </w:r>
      <w:r>
        <w:rPr>
          <w:rFonts w:hint="eastAsia" w:ascii="仿宋_GB2312" w:hAnsi="仿宋_GB2312" w:eastAsia="仿宋_GB2312"/>
          <w:b/>
          <w:bCs/>
        </w:rPr>
        <w:t>。</w:t>
      </w:r>
      <w:r>
        <w:rPr>
          <w:rFonts w:hint="eastAsia" w:ascii="Times New Roman" w:hAnsi="Times New Roman" w:eastAsia="仿宋_GB2312"/>
          <w:szCs w:val="32"/>
        </w:rPr>
        <w:t>引导高、中、低削坡建房风险点住户分期分批搬迁转移到城镇、村庄居民集中居住区居住</w:t>
      </w:r>
      <w:r>
        <w:rPr>
          <w:rFonts w:ascii="Times New Roman" w:hAnsi="Times New Roman" w:eastAsia="仿宋_GB2312"/>
          <w:szCs w:val="32"/>
        </w:rPr>
        <w:t>。</w:t>
      </w:r>
    </w:p>
    <w:p>
      <w:pPr>
        <w:pStyle w:val="3"/>
        <w:spacing w:line="560" w:lineRule="exact"/>
        <w:ind w:firstLine="640" w:firstLineChars="200"/>
        <w:outlineLvl w:val="2"/>
        <w:rPr>
          <w:rFonts w:eastAsia="楷体_GB2312"/>
          <w:kern w:val="2"/>
          <w:sz w:val="32"/>
          <w:szCs w:val="24"/>
        </w:rPr>
      </w:pPr>
      <w:r>
        <w:rPr>
          <w:rFonts w:hint="eastAsia" w:eastAsia="楷体_GB2312"/>
          <w:kern w:val="2"/>
          <w:sz w:val="32"/>
          <w:szCs w:val="24"/>
        </w:rPr>
        <w:t>（二）</w:t>
      </w:r>
      <w:r>
        <w:rPr>
          <w:rFonts w:eastAsia="楷体_GB2312"/>
          <w:kern w:val="2"/>
          <w:sz w:val="32"/>
          <w:szCs w:val="24"/>
        </w:rPr>
        <w:t>科学开展集中安置区规划</w:t>
      </w:r>
      <w:r>
        <w:rPr>
          <w:rFonts w:hint="eastAsia" w:eastAsia="楷体_GB2312"/>
          <w:kern w:val="2"/>
          <w:sz w:val="32"/>
          <w:szCs w:val="24"/>
        </w:rPr>
        <w:t>建设</w:t>
      </w:r>
    </w:p>
    <w:p>
      <w:pPr>
        <w:pStyle w:val="3"/>
        <w:spacing w:line="560" w:lineRule="exact"/>
        <w:ind w:firstLine="640" w:firstLineChars="200"/>
        <w:rPr>
          <w:rFonts w:eastAsia="仿宋_GB2312"/>
          <w:kern w:val="2"/>
          <w:sz w:val="32"/>
          <w:szCs w:val="24"/>
        </w:rPr>
      </w:pPr>
      <w:r>
        <w:rPr>
          <w:rFonts w:hint="eastAsia" w:eastAsia="仿宋_GB2312"/>
          <w:kern w:val="2"/>
          <w:sz w:val="32"/>
          <w:szCs w:val="24"/>
        </w:rPr>
        <w:t>选择区位条件好、交通便利、地质条件稳定安全、公共服务配套设施完善、生态环境良好的区域作为集中安置点。</w:t>
      </w:r>
    </w:p>
    <w:p>
      <w:pPr>
        <w:ind w:firstLine="640"/>
        <w:outlineLvl w:val="2"/>
        <w:rPr>
          <w:rFonts w:eastAsia="楷体_GB2312"/>
        </w:rPr>
      </w:pPr>
      <w:r>
        <w:rPr>
          <w:rFonts w:hint="eastAsia" w:eastAsia="楷体_GB2312"/>
        </w:rPr>
        <w:t>（三）</w:t>
      </w:r>
      <w:r>
        <w:rPr>
          <w:rFonts w:eastAsia="楷体_GB2312"/>
        </w:rPr>
        <w:t>加快村民住房修缮加固和原址重建</w:t>
      </w:r>
    </w:p>
    <w:p>
      <w:pPr>
        <w:ind w:firstLine="640"/>
      </w:pPr>
      <w:r>
        <w:t>制定因灾损毁房屋加固方案</w:t>
      </w:r>
      <w:r>
        <w:rPr>
          <w:rFonts w:hint="eastAsia"/>
        </w:rPr>
        <w:t>。</w:t>
      </w:r>
      <w:r>
        <w:t>塌落或承重构件多数倾倒或严重损坏的城乡居民住房</w:t>
      </w:r>
      <w:r>
        <w:rPr>
          <w:rFonts w:hint="eastAsia"/>
        </w:rPr>
        <w:t>，可在</w:t>
      </w:r>
      <w:r>
        <w:t>原址实施重建。不适宜原址重建的，按程序优先在本行政村域范围内选址新建</w:t>
      </w:r>
      <w:r>
        <w:rPr>
          <w:rFonts w:hint="eastAsia"/>
        </w:rPr>
        <w:t>。河道管理范围内的倒塌房屋有序迁移另地重建</w:t>
      </w:r>
      <w:r>
        <w:t>。</w:t>
      </w:r>
    </w:p>
    <w:p>
      <w:pPr>
        <w:ind w:firstLine="640"/>
        <w:outlineLvl w:val="1"/>
        <w:rPr>
          <w:rFonts w:eastAsia="黑体"/>
        </w:rPr>
      </w:pPr>
      <w:bookmarkStart w:id="43" w:name="_Toc171525827"/>
      <w:bookmarkStart w:id="44" w:name="_Toc171527650"/>
      <w:bookmarkStart w:id="45" w:name="_Toc173243503"/>
      <w:r>
        <w:rPr>
          <w:rFonts w:eastAsia="黑体"/>
        </w:rPr>
        <w:t>第二节 优先补齐公共服务</w:t>
      </w:r>
      <w:bookmarkEnd w:id="43"/>
      <w:bookmarkEnd w:id="44"/>
      <w:r>
        <w:rPr>
          <w:rFonts w:eastAsia="黑体"/>
        </w:rPr>
        <w:t>设施</w:t>
      </w:r>
      <w:bookmarkEnd w:id="45"/>
    </w:p>
    <w:p>
      <w:pPr>
        <w:ind w:firstLine="640"/>
        <w:outlineLvl w:val="2"/>
        <w:rPr>
          <w:rFonts w:eastAsia="楷体_GB2312"/>
        </w:rPr>
      </w:pPr>
      <w:r>
        <w:rPr>
          <w:rFonts w:hint="eastAsia" w:eastAsia="楷体_GB2312"/>
        </w:rPr>
        <w:t>（一）恢复</w:t>
      </w:r>
      <w:r>
        <w:rPr>
          <w:rFonts w:eastAsia="楷体_GB2312"/>
        </w:rPr>
        <w:t>教育设施保障能力</w:t>
      </w:r>
    </w:p>
    <w:p>
      <w:pPr>
        <w:ind w:firstLine="640"/>
      </w:pPr>
      <w:r>
        <w:t>加快梅州市蕉岭县、平远县、梅县区、大埔县等受损学校恢复重建、修缮加固，补足受损教学科研仪器和办公设备。</w:t>
      </w:r>
    </w:p>
    <w:p>
      <w:pPr>
        <w:pStyle w:val="2"/>
        <w:spacing w:after="0"/>
        <w:ind w:firstLine="640"/>
        <w:outlineLvl w:val="2"/>
        <w:rPr>
          <w:rFonts w:eastAsia="楷体_GB2312"/>
        </w:rPr>
      </w:pPr>
      <w:r>
        <w:rPr>
          <w:rFonts w:hint="eastAsia" w:eastAsia="楷体_GB2312"/>
        </w:rPr>
        <w:t>（二）</w:t>
      </w:r>
      <w:r>
        <w:rPr>
          <w:rFonts w:eastAsia="楷体_GB2312"/>
        </w:rPr>
        <w:t>增强医疗服务保障能力</w:t>
      </w:r>
    </w:p>
    <w:p>
      <w:pPr>
        <w:pStyle w:val="2"/>
        <w:spacing w:after="0"/>
        <w:ind w:firstLine="640"/>
      </w:pPr>
      <w:r>
        <w:t>加快推进梅州市受灾损毁的医院、社区卫生服务中心、社区卫生服务站以及村卫生室</w:t>
      </w:r>
      <w:r>
        <w:rPr>
          <w:rFonts w:hint="eastAsia"/>
        </w:rPr>
        <w:t>维修加固、</w:t>
      </w:r>
      <w:r>
        <w:t>修复重建，维修更新受损医疗设备，补充相应药品，保</w:t>
      </w:r>
      <w:r>
        <w:rPr>
          <w:rFonts w:hint="eastAsia"/>
        </w:rPr>
        <w:t>障</w:t>
      </w:r>
      <w:r>
        <w:t>正常诊疗服务。</w:t>
      </w:r>
    </w:p>
    <w:p>
      <w:pPr>
        <w:pStyle w:val="2"/>
        <w:spacing w:after="0"/>
        <w:ind w:firstLine="640"/>
        <w:outlineLvl w:val="2"/>
        <w:rPr>
          <w:rFonts w:eastAsia="楷体_GB2312"/>
        </w:rPr>
      </w:pPr>
      <w:r>
        <w:rPr>
          <w:rFonts w:hint="eastAsia" w:eastAsia="楷体_GB2312"/>
        </w:rPr>
        <w:t>（三）</w:t>
      </w:r>
      <w:r>
        <w:rPr>
          <w:rFonts w:eastAsia="楷体_GB2312"/>
        </w:rPr>
        <w:t>加强灾后文化体育服务供给</w:t>
      </w:r>
    </w:p>
    <w:p>
      <w:pPr>
        <w:pStyle w:val="2"/>
        <w:spacing w:after="0"/>
        <w:ind w:firstLine="640"/>
      </w:pPr>
      <w:r>
        <w:t>恢复重建灾区公共文化、广播电视、公共体育等场地设施，有效保障群众基本公共文化服务需求。加快推进图书馆、文化馆、镇街文化中心、村居文化室等受损文化设施修复重建，全面恢复基本公共文化服务功能。</w:t>
      </w:r>
    </w:p>
    <w:bookmarkEnd w:id="39"/>
    <w:p>
      <w:pPr>
        <w:ind w:firstLine="640"/>
        <w:outlineLvl w:val="2"/>
        <w:rPr>
          <w:rFonts w:eastAsia="楷体_GB2312"/>
        </w:rPr>
      </w:pPr>
      <w:bookmarkStart w:id="46" w:name="_Hlk171882698"/>
      <w:r>
        <w:rPr>
          <w:rFonts w:hint="eastAsia" w:eastAsia="楷体_GB2312"/>
        </w:rPr>
        <w:t>（四）</w:t>
      </w:r>
      <w:r>
        <w:rPr>
          <w:rFonts w:eastAsia="楷体_GB2312"/>
        </w:rPr>
        <w:t>文物和历史文化遗产保护修复</w:t>
      </w:r>
    </w:p>
    <w:p>
      <w:pPr>
        <w:spacing w:after="120"/>
        <w:ind w:firstLine="640"/>
      </w:pPr>
      <w:r>
        <w:t>坚持抢救性保护与预防性保护并重，推动历史文物、历史建筑、历史文化名村、传统村落等历史文化遗产高质量修复恢复和高水平活化利用。科学评估受灾文物情况，紧急修复历史文物，推动具备条件的文物</w:t>
      </w:r>
      <w:r>
        <w:rPr>
          <w:rFonts w:hint="eastAsia"/>
        </w:rPr>
        <w:t>展览展陈</w:t>
      </w:r>
      <w:r>
        <w:t>恢复开放。</w:t>
      </w:r>
    </w:p>
    <w:p>
      <w:pPr>
        <w:pStyle w:val="2"/>
        <w:spacing w:after="0"/>
        <w:ind w:firstLine="640"/>
        <w:outlineLvl w:val="2"/>
        <w:rPr>
          <w:rFonts w:eastAsia="楷体_GB2312"/>
        </w:rPr>
      </w:pPr>
      <w:r>
        <w:rPr>
          <w:rFonts w:hint="eastAsia" w:eastAsia="楷体_GB2312"/>
        </w:rPr>
        <w:t>（五）</w:t>
      </w:r>
      <w:r>
        <w:rPr>
          <w:rFonts w:eastAsia="楷体_GB2312"/>
        </w:rPr>
        <w:t>恢复提升社会公众保障能力</w:t>
      </w:r>
    </w:p>
    <w:p>
      <w:pPr>
        <w:pStyle w:val="2"/>
        <w:spacing w:after="0"/>
        <w:ind w:firstLine="640"/>
      </w:pPr>
      <w:r>
        <w:t>恢复重建受损城乡特困人员供养、养老照料、儿童福利和未成年人救助保护、生活无着人员救助管理、精神疾病服务、殡葬服务、残疾人综合服务、军人优抚等社会保障服务设施，全面增强服务能力。</w:t>
      </w:r>
    </w:p>
    <w:bookmarkEnd w:id="46"/>
    <w:p>
      <w:pPr>
        <w:pStyle w:val="2"/>
        <w:ind w:firstLine="0" w:firstLineChars="0"/>
        <w:jc w:val="center"/>
        <w:outlineLvl w:val="0"/>
      </w:pPr>
      <w:bookmarkStart w:id="47" w:name="_Toc171527651"/>
      <w:bookmarkStart w:id="48" w:name="_Toc171525828"/>
      <w:r>
        <w:rPr>
          <w:rFonts w:eastAsia="方正小标宋简体"/>
          <w:sz w:val="40"/>
          <w:szCs w:val="40"/>
        </w:rPr>
        <w:br w:type="page"/>
      </w:r>
      <w:bookmarkStart w:id="49" w:name="_Toc173243504"/>
      <w:r>
        <w:rPr>
          <w:rFonts w:eastAsia="方正小标宋简体"/>
          <w:sz w:val="36"/>
          <w:szCs w:val="36"/>
        </w:rPr>
        <w:t xml:space="preserve">第四章  </w:t>
      </w:r>
      <w:bookmarkEnd w:id="47"/>
      <w:bookmarkEnd w:id="48"/>
      <w:r>
        <w:rPr>
          <w:rFonts w:hint="eastAsia" w:eastAsia="方正小标宋简体"/>
          <w:sz w:val="36"/>
          <w:szCs w:val="36"/>
        </w:rPr>
        <w:t>加速基础设施修复，提升设施保障水平</w:t>
      </w:r>
      <w:bookmarkEnd w:id="49"/>
    </w:p>
    <w:p>
      <w:pPr>
        <w:ind w:firstLine="640"/>
        <w:outlineLvl w:val="1"/>
        <w:rPr>
          <w:rFonts w:eastAsia="黑体"/>
        </w:rPr>
      </w:pPr>
      <w:bookmarkStart w:id="50" w:name="_Toc171527652"/>
      <w:bookmarkStart w:id="51" w:name="_Toc171525829"/>
      <w:bookmarkStart w:id="52" w:name="_Toc173243505"/>
      <w:r>
        <w:rPr>
          <w:rFonts w:eastAsia="黑体"/>
        </w:rPr>
        <w:t>第一节 水利设施</w:t>
      </w:r>
      <w:bookmarkEnd w:id="50"/>
      <w:bookmarkEnd w:id="51"/>
      <w:r>
        <w:rPr>
          <w:rFonts w:eastAsia="黑体"/>
        </w:rPr>
        <w:t>修复</w:t>
      </w:r>
      <w:r>
        <w:rPr>
          <w:rFonts w:hint="eastAsia" w:eastAsia="黑体"/>
        </w:rPr>
        <w:t>提升</w:t>
      </w:r>
      <w:bookmarkEnd w:id="52"/>
    </w:p>
    <w:p>
      <w:pPr>
        <w:pStyle w:val="2"/>
        <w:spacing w:after="0"/>
        <w:ind w:firstLine="640"/>
        <w:outlineLvl w:val="2"/>
        <w:rPr>
          <w:rFonts w:ascii="楷体_GB2312" w:eastAsia="楷体_GB2312"/>
        </w:rPr>
      </w:pPr>
      <w:r>
        <w:rPr>
          <w:rFonts w:hint="eastAsia" w:ascii="楷体_GB2312" w:eastAsia="楷体_GB2312"/>
        </w:rPr>
        <w:t>（一）</w:t>
      </w:r>
      <w:r>
        <w:rPr>
          <w:rFonts w:ascii="楷体_GB2312" w:eastAsia="楷体_GB2312"/>
        </w:rPr>
        <w:t>加强水利工程修复和防汛能力建设</w:t>
      </w:r>
    </w:p>
    <w:p>
      <w:pPr>
        <w:pStyle w:val="2"/>
        <w:spacing w:after="0"/>
        <w:ind w:firstLine="640"/>
      </w:pPr>
      <w:r>
        <w:t>推进水毁河道、山洪沟、淤地坝、水闸、灌排设施等水利工程修复重建。维修重建灾区农村供水，补齐防汛物资储备，加快市级防汛仓储设施建设。</w:t>
      </w:r>
      <w:r>
        <w:rPr>
          <w:rFonts w:hint="eastAsia"/>
        </w:rPr>
        <w:t>推进</w:t>
      </w:r>
      <w:r>
        <w:t>水库水闸等工程自动化升级改造和智慧化建设。</w:t>
      </w:r>
    </w:p>
    <w:p>
      <w:pPr>
        <w:pStyle w:val="2"/>
        <w:spacing w:after="0"/>
        <w:ind w:firstLine="640"/>
        <w:outlineLvl w:val="2"/>
        <w:rPr>
          <w:rFonts w:ascii="楷体_GB2312" w:eastAsia="楷体_GB2312"/>
        </w:rPr>
      </w:pPr>
      <w:r>
        <w:rPr>
          <w:rFonts w:hint="eastAsia" w:ascii="楷体_GB2312" w:eastAsia="楷体_GB2312"/>
        </w:rPr>
        <w:t>（二）全面开展水库水闸修复和功能提升</w:t>
      </w:r>
    </w:p>
    <w:p>
      <w:pPr>
        <w:pStyle w:val="2"/>
        <w:spacing w:after="0"/>
        <w:ind w:firstLine="640"/>
      </w:pPr>
      <w:r>
        <w:t>加快水库以及水闸水毁修复，同步建设安全监测设施，推动监测数据动态预警等智慧应用，实现水库水闸等工程自动化升级改造和智慧化建设。</w:t>
      </w:r>
    </w:p>
    <w:p>
      <w:pPr>
        <w:pStyle w:val="2"/>
        <w:spacing w:after="0"/>
        <w:ind w:firstLine="640"/>
        <w:outlineLvl w:val="2"/>
        <w:rPr>
          <w:rFonts w:ascii="楷体_GB2312" w:eastAsia="楷体_GB2312"/>
        </w:rPr>
      </w:pPr>
      <w:r>
        <w:rPr>
          <w:rFonts w:hint="eastAsia" w:ascii="楷体_GB2312" w:eastAsia="楷体_GB2312"/>
        </w:rPr>
        <w:t>（三）</w:t>
      </w:r>
      <w:r>
        <w:rPr>
          <w:rFonts w:ascii="楷体_GB2312" w:eastAsia="楷体_GB2312"/>
        </w:rPr>
        <w:t>加强水文站修复</w:t>
      </w:r>
    </w:p>
    <w:p>
      <w:pPr>
        <w:pStyle w:val="2"/>
        <w:ind w:firstLine="640"/>
      </w:pPr>
      <w:r>
        <w:t>加快梅州</w:t>
      </w:r>
      <w:r>
        <w:rPr>
          <w:rFonts w:hint="eastAsia"/>
        </w:rPr>
        <w:t>市受灾地区</w:t>
      </w:r>
      <w:r>
        <w:t>护坡、引桥、水文缆道、控制室及相关设备等水文基础设施灾后修复。实施山洪灾害监测预警设施水毁修复，修复雨量水位监测站及预警设备更新建设。</w:t>
      </w:r>
    </w:p>
    <w:p>
      <w:pPr>
        <w:ind w:firstLine="640"/>
        <w:outlineLvl w:val="1"/>
        <w:rPr>
          <w:rFonts w:eastAsia="黑体"/>
        </w:rPr>
      </w:pPr>
      <w:bookmarkStart w:id="53" w:name="_Toc171527653"/>
      <w:bookmarkStart w:id="54" w:name="_Toc171525830"/>
      <w:bookmarkStart w:id="55" w:name="_Toc173243506"/>
      <w:r>
        <w:rPr>
          <w:rFonts w:eastAsia="黑体"/>
        </w:rPr>
        <w:t>第二节 交通设施</w:t>
      </w:r>
      <w:bookmarkEnd w:id="53"/>
      <w:bookmarkEnd w:id="54"/>
      <w:r>
        <w:rPr>
          <w:rFonts w:eastAsia="黑体"/>
        </w:rPr>
        <w:t>恢复</w:t>
      </w:r>
      <w:r>
        <w:rPr>
          <w:rFonts w:hint="eastAsia" w:eastAsia="黑体"/>
        </w:rPr>
        <w:t>提升</w:t>
      </w:r>
      <w:bookmarkEnd w:id="55"/>
    </w:p>
    <w:p>
      <w:pPr>
        <w:pStyle w:val="2"/>
        <w:spacing w:after="0"/>
        <w:ind w:firstLine="640"/>
        <w:outlineLvl w:val="2"/>
        <w:rPr>
          <w:rFonts w:eastAsia="楷体_GB2312"/>
        </w:rPr>
      </w:pPr>
      <w:r>
        <w:rPr>
          <w:rFonts w:hint="eastAsia" w:eastAsia="楷体_GB2312"/>
        </w:rPr>
        <w:t>（一）</w:t>
      </w:r>
      <w:r>
        <w:rPr>
          <w:rFonts w:eastAsia="楷体_GB2312"/>
        </w:rPr>
        <w:t>加快</w:t>
      </w:r>
      <w:r>
        <w:rPr>
          <w:rFonts w:hint="eastAsia" w:eastAsia="楷体_GB2312"/>
        </w:rPr>
        <w:t>国省</w:t>
      </w:r>
      <w:r>
        <w:rPr>
          <w:rFonts w:eastAsia="楷体_GB2312"/>
        </w:rPr>
        <w:t>干线</w:t>
      </w:r>
      <w:r>
        <w:rPr>
          <w:rFonts w:hint="eastAsia" w:eastAsia="楷体_GB2312"/>
        </w:rPr>
        <w:t>公路</w:t>
      </w:r>
      <w:r>
        <w:rPr>
          <w:rFonts w:eastAsia="楷体_GB2312"/>
        </w:rPr>
        <w:t>的恢复重建</w:t>
      </w:r>
    </w:p>
    <w:p>
      <w:pPr>
        <w:pStyle w:val="2"/>
        <w:spacing w:after="0"/>
        <w:ind w:firstLine="640"/>
      </w:pPr>
      <w:r>
        <w:rPr>
          <w:rFonts w:hint="eastAsia"/>
        </w:rPr>
        <w:t>加强普通国省干线公路隐患排查治理，加快既有干线公路水毁修复工程建设，尽快恢复正常通行。</w:t>
      </w:r>
      <w:r>
        <w:t>要根据灾情特点，提高公路技术等级和抗灾能力。</w:t>
      </w:r>
    </w:p>
    <w:p>
      <w:pPr>
        <w:pStyle w:val="2"/>
        <w:spacing w:after="0"/>
        <w:ind w:firstLine="640"/>
        <w:outlineLvl w:val="2"/>
        <w:rPr>
          <w:rFonts w:eastAsia="楷体_GB2312"/>
        </w:rPr>
      </w:pPr>
      <w:r>
        <w:rPr>
          <w:rFonts w:hint="eastAsia" w:eastAsia="楷体_GB2312"/>
        </w:rPr>
        <w:t>（二）</w:t>
      </w:r>
      <w:r>
        <w:rPr>
          <w:rFonts w:eastAsia="楷体_GB2312"/>
        </w:rPr>
        <w:t>全面恢复提升</w:t>
      </w:r>
      <w:r>
        <w:rPr>
          <w:rFonts w:hint="eastAsia" w:eastAsia="楷体_GB2312"/>
        </w:rPr>
        <w:t>农</w:t>
      </w:r>
      <w:r>
        <w:rPr>
          <w:rFonts w:eastAsia="楷体_GB2312"/>
        </w:rPr>
        <w:t>村公路网络</w:t>
      </w:r>
    </w:p>
    <w:p>
      <w:pPr>
        <w:pStyle w:val="2"/>
        <w:spacing w:after="0"/>
        <w:ind w:firstLine="640"/>
      </w:pPr>
      <w:r>
        <w:rPr>
          <w:rFonts w:hint="eastAsia"/>
        </w:rPr>
        <w:t>推进受损农村公路、桥梁及附属设施修复和新改建，完善安全、防护、排水等附属设施。结合镇街功能优化、乡村旅游发展和应急抢险防火等需要，最大程度改善山区居民出行便利性，畅通农村道路微循环</w:t>
      </w:r>
      <w:r>
        <w:t>。</w:t>
      </w:r>
    </w:p>
    <w:p>
      <w:pPr>
        <w:pStyle w:val="2"/>
        <w:spacing w:after="0"/>
        <w:ind w:firstLine="640"/>
        <w:outlineLvl w:val="2"/>
        <w:rPr>
          <w:rFonts w:eastAsia="楷体_GB2312"/>
        </w:rPr>
      </w:pPr>
      <w:r>
        <w:rPr>
          <w:rFonts w:hint="eastAsia" w:eastAsia="楷体_GB2312"/>
        </w:rPr>
        <w:t>（三）</w:t>
      </w:r>
      <w:r>
        <w:rPr>
          <w:rFonts w:eastAsia="楷体_GB2312"/>
        </w:rPr>
        <w:t>提</w:t>
      </w:r>
      <w:r>
        <w:rPr>
          <w:rFonts w:hint="eastAsia" w:eastAsia="楷体_GB2312"/>
        </w:rPr>
        <w:t>升交通设施安全</w:t>
      </w:r>
      <w:r>
        <w:rPr>
          <w:rFonts w:eastAsia="楷体_GB2312"/>
        </w:rPr>
        <w:t>承载能力</w:t>
      </w:r>
    </w:p>
    <w:p>
      <w:pPr>
        <w:pStyle w:val="2"/>
        <w:spacing w:after="0"/>
        <w:ind w:firstLine="640"/>
      </w:pPr>
      <w:r>
        <w:t>对易发生水毁区域的桥梁、涵洞等设施开展排查，全面完成交通基础设施恢复重建及潜在安全隐患设施的检测、加固、提升工作，提高道路承载能力，完善监测预警防治措施。</w:t>
      </w:r>
      <w:bookmarkStart w:id="56" w:name="_Toc171527654"/>
      <w:bookmarkStart w:id="57" w:name="_Toc171525831"/>
    </w:p>
    <w:p>
      <w:pPr>
        <w:pStyle w:val="2"/>
        <w:spacing w:after="0"/>
        <w:ind w:firstLine="640"/>
        <w:rPr>
          <w:rFonts w:eastAsia="黑体"/>
        </w:rPr>
      </w:pPr>
      <w:r>
        <w:rPr>
          <w:rFonts w:eastAsia="黑体"/>
        </w:rPr>
        <w:t>第三节 市政设施</w:t>
      </w:r>
      <w:bookmarkEnd w:id="56"/>
      <w:bookmarkEnd w:id="57"/>
      <w:r>
        <w:rPr>
          <w:rFonts w:eastAsia="黑体"/>
        </w:rPr>
        <w:t>恢复</w:t>
      </w:r>
      <w:r>
        <w:rPr>
          <w:rFonts w:hint="eastAsia" w:eastAsia="黑体"/>
        </w:rPr>
        <w:t>提升</w:t>
      </w:r>
    </w:p>
    <w:p>
      <w:pPr>
        <w:ind w:firstLine="640"/>
        <w:outlineLvl w:val="2"/>
        <w:rPr>
          <w:rFonts w:eastAsia="楷体_GB2312"/>
          <w:color w:val="000000" w:themeColor="text1"/>
          <w14:textFill>
            <w14:solidFill>
              <w14:schemeClr w14:val="tx1"/>
            </w14:solidFill>
          </w14:textFill>
        </w:rPr>
      </w:pPr>
      <w:r>
        <w:rPr>
          <w:rFonts w:hint="eastAsia" w:eastAsia="楷体_GB2312"/>
        </w:rPr>
        <w:t>（一）</w:t>
      </w:r>
      <w:r>
        <w:rPr>
          <w:rFonts w:eastAsia="楷体_GB2312"/>
          <w:color w:val="000000" w:themeColor="text1"/>
          <w14:textFill>
            <w14:solidFill>
              <w14:schemeClr w14:val="tx1"/>
            </w14:solidFill>
          </w14:textFill>
        </w:rPr>
        <w:t>提升安全供水保障能力</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加快推进因水毁受损的供水厂、水源点及相应的配套管网等供水基础设施的恢复重建工作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构建安全可靠供水体系。</w:t>
      </w:r>
    </w:p>
    <w:p>
      <w:pPr>
        <w:ind w:firstLine="640"/>
        <w:outlineLvl w:val="2"/>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（二）</w:t>
      </w:r>
      <w:r>
        <w:rPr>
          <w:rFonts w:eastAsia="楷体_GB2312"/>
          <w:color w:val="000000" w:themeColor="text1"/>
          <w14:textFill>
            <w14:solidFill>
              <w14:schemeClr w14:val="tx1"/>
            </w14:solidFill>
          </w14:textFill>
        </w:rPr>
        <w:t>推进排水设施综合整治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对</w:t>
      </w:r>
      <w:r>
        <w:rPr>
          <w:rFonts w:hint="eastAsia"/>
          <w:color w:val="000000" w:themeColor="text1"/>
          <w14:textFill>
            <w14:solidFill>
              <w14:schemeClr w14:val="tx1"/>
            </w14:solidFill>
          </w14:textFill>
        </w:rPr>
        <w:t>全市</w:t>
      </w:r>
      <w:r>
        <w:rPr>
          <w:color w:val="000000" w:themeColor="text1"/>
          <w14:textFill>
            <w14:solidFill>
              <w14:schemeClr w14:val="tx1"/>
            </w14:solidFill>
          </w14:textFill>
        </w:rPr>
        <w:t>相关河道或排水明渠进行疏挖治理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对山区因水毁导致污水处理厂及其配套管网损坏的排水设施进行恢复重建，恢复重建村级污水处理设施及管网。</w:t>
      </w:r>
    </w:p>
    <w:p>
      <w:pPr>
        <w:pStyle w:val="2"/>
        <w:spacing w:after="0"/>
        <w:ind w:firstLine="640"/>
        <w:outlineLvl w:val="2"/>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（三）</w:t>
      </w:r>
      <w:r>
        <w:rPr>
          <w:rFonts w:eastAsia="楷体_GB2312"/>
          <w:color w:val="000000" w:themeColor="text1"/>
          <w14:textFill>
            <w14:solidFill>
              <w14:schemeClr w14:val="tx1"/>
            </w14:solidFill>
          </w14:textFill>
        </w:rPr>
        <w:t>恢复提升污水处理设施</w:t>
      </w:r>
    </w:p>
    <w:p>
      <w:pPr>
        <w:pStyle w:val="2"/>
        <w:spacing w:after="0"/>
        <w:ind w:firstLine="640"/>
        <w:rPr>
          <w:color w:val="000000" w:themeColor="text1"/>
          <w14:textFill>
            <w14:solidFill>
              <w14:schemeClr w14:val="tx1"/>
            </w14:solidFill>
          </w14:textFill>
        </w:rPr>
      </w:pPr>
      <w:r>
        <w:rPr>
          <w:color w:val="000000" w:themeColor="text1"/>
          <w14:textFill>
            <w14:solidFill>
              <w14:schemeClr w14:val="tx1"/>
            </w14:solidFill>
          </w14:textFill>
        </w:rPr>
        <w:t>加快修复因灾受损的城镇污水处理厂、污水主管网和污水泵站，改造提升破损污水管网和受损风险较高的截污管网，全面修复农村污水处理设施。</w:t>
      </w:r>
    </w:p>
    <w:p>
      <w:pPr>
        <w:ind w:firstLine="640"/>
        <w:outlineLvl w:val="2"/>
        <w:rPr>
          <w:rFonts w:eastAsia="楷体_GB2312"/>
        </w:rPr>
      </w:pPr>
      <w:r>
        <w:rPr>
          <w:rFonts w:hint="eastAsia" w:eastAsia="楷体_GB2312"/>
        </w:rPr>
        <w:t>（四）</w:t>
      </w:r>
      <w:r>
        <w:rPr>
          <w:rFonts w:eastAsia="楷体_GB2312"/>
        </w:rPr>
        <w:t>加</w:t>
      </w:r>
      <w:r>
        <w:rPr>
          <w:rFonts w:hint="eastAsia" w:eastAsia="楷体_GB2312"/>
        </w:rPr>
        <w:t>快</w:t>
      </w:r>
      <w:r>
        <w:rPr>
          <w:rFonts w:eastAsia="楷体_GB2312"/>
        </w:rPr>
        <w:t>城</w:t>
      </w:r>
      <w:r>
        <w:rPr>
          <w:rFonts w:hint="eastAsia" w:eastAsia="楷体_GB2312"/>
        </w:rPr>
        <w:t>镇</w:t>
      </w:r>
      <w:r>
        <w:rPr>
          <w:rFonts w:eastAsia="楷体_GB2312"/>
        </w:rPr>
        <w:t>道路桥涵设施修复</w:t>
      </w:r>
    </w:p>
    <w:p>
      <w:pPr>
        <w:pStyle w:val="2"/>
        <w:spacing w:after="0"/>
        <w:ind w:firstLine="640"/>
      </w:pPr>
      <w:r>
        <w:rPr>
          <w:rFonts w:hint="eastAsia"/>
        </w:rPr>
        <w:t>对城镇道路、桥涵及人行地道等关键基础设施进行全面检查，精准识别病害和潜在风险，制定科学合理的修复与重建方案。针对低洼易涝区域，实施综合整治措施，实现城镇道路排水的优化。</w:t>
      </w:r>
    </w:p>
    <w:p>
      <w:pPr>
        <w:pStyle w:val="2"/>
        <w:spacing w:after="0"/>
        <w:ind w:firstLine="640"/>
        <w:outlineLvl w:val="2"/>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（五）</w:t>
      </w:r>
      <w:r>
        <w:rPr>
          <w:rFonts w:eastAsia="楷体_GB2312"/>
          <w:color w:val="000000" w:themeColor="text1"/>
          <w14:textFill>
            <w14:solidFill>
              <w14:schemeClr w14:val="tx1"/>
            </w14:solidFill>
          </w14:textFill>
        </w:rPr>
        <w:t>保障环卫设施高效运行</w:t>
      </w:r>
    </w:p>
    <w:p>
      <w:pPr>
        <w:pStyle w:val="2"/>
        <w:spacing w:after="0"/>
        <w:ind w:firstLine="640"/>
        <w:rPr>
          <w:color w:val="000000" w:themeColor="text1"/>
          <w14:textFill>
            <w14:solidFill>
              <w14:schemeClr w14:val="tx1"/>
            </w14:solidFill>
          </w14:textFill>
        </w:rPr>
      </w:pPr>
      <w:r>
        <w:rPr>
          <w:color w:val="000000" w:themeColor="text1"/>
          <w14:textFill>
            <w14:solidFill>
              <w14:schemeClr w14:val="tx1"/>
            </w14:solidFill>
          </w14:textFill>
        </w:rPr>
        <w:t>加快修复受灾损毁的生活垃圾收运设施，完善除臭、垃圾收运、压缩等配套设施设备。加快恢复</w:t>
      </w:r>
      <w:r>
        <w:rPr>
          <w:rFonts w:hint="eastAsia"/>
          <w:color w:val="000000" w:themeColor="text1"/>
          <w14:textFill>
            <w14:solidFill>
              <w14:schemeClr w14:val="tx1"/>
            </w14:solidFill>
          </w14:textFill>
        </w:rPr>
        <w:t>环卫</w:t>
      </w:r>
      <w:r>
        <w:rPr>
          <w:color w:val="000000" w:themeColor="text1"/>
          <w14:textFill>
            <w14:solidFill>
              <w14:schemeClr w14:val="tx1"/>
            </w14:solidFill>
          </w14:textFill>
        </w:rPr>
        <w:t>设施处理能力，增设临时垃圾处理设施解决垃圾消纳问题。</w:t>
      </w:r>
    </w:p>
    <w:p>
      <w:pPr>
        <w:ind w:firstLine="640"/>
        <w:outlineLvl w:val="1"/>
        <w:rPr>
          <w:rFonts w:eastAsia="黑体"/>
        </w:rPr>
      </w:pPr>
      <w:bookmarkStart w:id="58" w:name="_Toc173015307"/>
      <w:bookmarkStart w:id="59" w:name="_Toc173243507"/>
      <w:r>
        <w:rPr>
          <w:rFonts w:eastAsia="黑体"/>
        </w:rPr>
        <w:t>第三节 市政设施恢复</w:t>
      </w:r>
      <w:bookmarkEnd w:id="58"/>
      <w:r>
        <w:rPr>
          <w:rFonts w:hint="eastAsia" w:eastAsia="黑体"/>
        </w:rPr>
        <w:t>提升</w:t>
      </w:r>
      <w:bookmarkEnd w:id="59"/>
    </w:p>
    <w:p>
      <w:pPr>
        <w:pStyle w:val="2"/>
        <w:spacing w:after="0"/>
        <w:ind w:firstLine="566" w:firstLineChars="177"/>
      </w:pPr>
      <w:r>
        <w:t>加强城市及农村地区内涝防治，摸清地下管网情况，加快推进排水防涝设施建设，提升排水防涝系统现代化水平，增强城市防洪排涝能力。</w:t>
      </w:r>
    </w:p>
    <w:p>
      <w:pPr>
        <w:ind w:firstLine="640"/>
        <w:outlineLvl w:val="2"/>
        <w:rPr>
          <w:rFonts w:eastAsia="楷体_GB2312"/>
          <w:color w:val="000000" w:themeColor="text1"/>
          <w14:textFill>
            <w14:solidFill>
              <w14:schemeClr w14:val="tx1"/>
            </w14:solidFill>
          </w14:textFill>
        </w:rPr>
      </w:pPr>
      <w:r>
        <w:rPr>
          <w:rFonts w:hint="eastAsia" w:eastAsia="楷体_GB2312"/>
        </w:rPr>
        <w:t>（一）</w:t>
      </w:r>
      <w:r>
        <w:rPr>
          <w:rFonts w:eastAsia="楷体_GB2312"/>
          <w:color w:val="000000" w:themeColor="text1"/>
          <w14:textFill>
            <w14:solidFill>
              <w14:schemeClr w14:val="tx1"/>
            </w14:solidFill>
          </w14:textFill>
        </w:rPr>
        <w:t>提升安全供水保障能力</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加快推进因水毁受损的供水厂、水源点及相应的配套管网等供水基础设施的恢复重建工作。修复改造受损供水管网和取水泵站。加强供水主管道互联互通建设，完善供水调度体系，实现清水互补。完成村庄供水管网恢复重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构建安全可靠的供水体系。</w:t>
      </w:r>
    </w:p>
    <w:p>
      <w:pPr>
        <w:ind w:firstLine="640"/>
        <w:outlineLvl w:val="2"/>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（二）</w:t>
      </w:r>
      <w:r>
        <w:rPr>
          <w:rFonts w:eastAsia="楷体_GB2312"/>
          <w:color w:val="000000" w:themeColor="text1"/>
          <w14:textFill>
            <w14:solidFill>
              <w14:schemeClr w14:val="tx1"/>
            </w14:solidFill>
          </w14:textFill>
        </w:rPr>
        <w:t>推进排水设施综合整治</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对</w:t>
      </w:r>
      <w:r>
        <w:rPr>
          <w:rFonts w:hint="eastAsia"/>
          <w:color w:val="000000" w:themeColor="text1"/>
          <w14:textFill>
            <w14:solidFill>
              <w14:schemeClr w14:val="tx1"/>
            </w14:solidFill>
          </w14:textFill>
        </w:rPr>
        <w:t>全市</w:t>
      </w:r>
      <w:r>
        <w:rPr>
          <w:color w:val="000000" w:themeColor="text1"/>
          <w14:textFill>
            <w14:solidFill>
              <w14:schemeClr w14:val="tx1"/>
            </w14:solidFill>
          </w14:textFill>
        </w:rPr>
        <w:t>相关河道或排水明渠进行疏挖治理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对不满足规划标准要求或雨污合流的现状排水管道进行综合整治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加快补齐城镇污水收集处理设施短板，稳步扩大再生水利用，保障排水安全。</w:t>
      </w:r>
    </w:p>
    <w:p>
      <w:pPr>
        <w:pStyle w:val="2"/>
        <w:spacing w:after="0"/>
        <w:ind w:firstLine="640"/>
        <w:outlineLvl w:val="2"/>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（三）</w:t>
      </w:r>
      <w:r>
        <w:rPr>
          <w:rFonts w:eastAsia="楷体_GB2312"/>
          <w:color w:val="000000" w:themeColor="text1"/>
          <w14:textFill>
            <w14:solidFill>
              <w14:schemeClr w14:val="tx1"/>
            </w14:solidFill>
          </w14:textFill>
        </w:rPr>
        <w:t>恢复提升污水处理设施</w:t>
      </w:r>
    </w:p>
    <w:p>
      <w:pPr>
        <w:pStyle w:val="2"/>
        <w:spacing w:after="0"/>
        <w:ind w:firstLine="640"/>
        <w:rPr>
          <w:color w:val="000000" w:themeColor="text1"/>
          <w14:textFill>
            <w14:solidFill>
              <w14:schemeClr w14:val="tx1"/>
            </w14:solidFill>
          </w14:textFill>
        </w:rPr>
      </w:pPr>
      <w:r>
        <w:rPr>
          <w:color w:val="000000" w:themeColor="text1"/>
          <w14:textFill>
            <w14:solidFill>
              <w14:schemeClr w14:val="tx1"/>
            </w14:solidFill>
          </w14:textFill>
        </w:rPr>
        <w:t>加快修复因灾受损的城镇污水处理厂、污水主管网和污水泵站，改造提升破损污水管网和受损风险较高的截污管网，因地制宜建设污水和初期雨水调蓄设施。</w:t>
      </w:r>
    </w:p>
    <w:p>
      <w:pPr>
        <w:ind w:firstLine="640"/>
        <w:outlineLvl w:val="2"/>
        <w:rPr>
          <w:rFonts w:eastAsia="楷体_GB2312"/>
        </w:rPr>
      </w:pPr>
      <w:r>
        <w:rPr>
          <w:rFonts w:hint="eastAsia" w:eastAsia="楷体_GB2312"/>
        </w:rPr>
        <w:t>（四）</w:t>
      </w:r>
      <w:r>
        <w:rPr>
          <w:rFonts w:eastAsia="楷体_GB2312"/>
        </w:rPr>
        <w:t>加</w:t>
      </w:r>
      <w:r>
        <w:rPr>
          <w:rFonts w:hint="eastAsia" w:eastAsia="楷体_GB2312"/>
        </w:rPr>
        <w:t>快</w:t>
      </w:r>
      <w:r>
        <w:rPr>
          <w:rFonts w:eastAsia="楷体_GB2312"/>
        </w:rPr>
        <w:t>城</w:t>
      </w:r>
      <w:r>
        <w:rPr>
          <w:rFonts w:hint="eastAsia" w:eastAsia="楷体_GB2312"/>
        </w:rPr>
        <w:t>镇</w:t>
      </w:r>
      <w:r>
        <w:rPr>
          <w:rFonts w:eastAsia="楷体_GB2312"/>
        </w:rPr>
        <w:t>道路桥涵设施修复</w:t>
      </w:r>
    </w:p>
    <w:p>
      <w:pPr>
        <w:pStyle w:val="2"/>
        <w:spacing w:after="0"/>
        <w:ind w:firstLine="640"/>
      </w:pPr>
      <w:r>
        <w:rPr>
          <w:rFonts w:hint="eastAsia"/>
        </w:rPr>
        <w:t>对城镇道路、桥涵及人行地道等关键基础设施进行全面检查，精准识别病害和潜在风险，制定科学合理的修复与重建方案。道路和桥梁的重建过程中应严格遵守国家现行的规范与标准，并与供水、排水等市政管网协同实施。针对低洼易涝区域，实施综合整治措施，以实现城镇道路排水的优化。</w:t>
      </w:r>
    </w:p>
    <w:p>
      <w:pPr>
        <w:pStyle w:val="2"/>
        <w:spacing w:after="0"/>
        <w:ind w:firstLine="640"/>
        <w:outlineLvl w:val="2"/>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（五）</w:t>
      </w:r>
      <w:r>
        <w:rPr>
          <w:rFonts w:eastAsia="楷体_GB2312"/>
          <w:color w:val="000000" w:themeColor="text1"/>
          <w14:textFill>
            <w14:solidFill>
              <w14:schemeClr w14:val="tx1"/>
            </w14:solidFill>
          </w14:textFill>
        </w:rPr>
        <w:t>保障环卫设施高效运行</w:t>
      </w:r>
    </w:p>
    <w:p>
      <w:pPr>
        <w:pStyle w:val="2"/>
        <w:spacing w:after="0"/>
        <w:ind w:firstLine="640"/>
        <w:rPr>
          <w:color w:val="000000" w:themeColor="text1"/>
          <w14:textFill>
            <w14:solidFill>
              <w14:schemeClr w14:val="tx1"/>
            </w14:solidFill>
          </w14:textFill>
        </w:rPr>
      </w:pPr>
      <w:r>
        <w:rPr>
          <w:color w:val="000000" w:themeColor="text1"/>
          <w14:textFill>
            <w14:solidFill>
              <w14:schemeClr w14:val="tx1"/>
            </w14:solidFill>
          </w14:textFill>
        </w:rPr>
        <w:t>加快修复受灾损毁的生活垃圾收运设施，完善除臭、垃圾收运、压缩等配套设施，补充购置垃圾桶、垃圾收集车、垃圾压缩车、环卫运输车等设备。加快恢复</w:t>
      </w:r>
      <w:r>
        <w:rPr>
          <w:rFonts w:hint="eastAsia"/>
          <w:color w:val="000000" w:themeColor="text1"/>
          <w14:textFill>
            <w14:solidFill>
              <w14:schemeClr w14:val="tx1"/>
            </w14:solidFill>
          </w14:textFill>
        </w:rPr>
        <w:t>环卫</w:t>
      </w:r>
      <w:r>
        <w:rPr>
          <w:color w:val="000000" w:themeColor="text1"/>
          <w14:textFill>
            <w14:solidFill>
              <w14:schemeClr w14:val="tx1"/>
            </w14:solidFill>
          </w14:textFill>
        </w:rPr>
        <w:t>设施处理能力，增设临时垃圾处理设施解决垃圾消纳问题。</w:t>
      </w:r>
    </w:p>
    <w:p>
      <w:pPr>
        <w:ind w:firstLine="640"/>
        <w:outlineLvl w:val="1"/>
        <w:rPr>
          <w:rFonts w:eastAsia="黑体"/>
        </w:rPr>
      </w:pPr>
      <w:bookmarkStart w:id="60" w:name="_Toc171527655"/>
      <w:bookmarkStart w:id="61" w:name="_Toc171525832"/>
      <w:bookmarkStart w:id="62" w:name="_Toc173243508"/>
      <w:r>
        <w:rPr>
          <w:rFonts w:eastAsia="黑体"/>
        </w:rPr>
        <w:t>第四节 电力通信设施</w:t>
      </w:r>
      <w:bookmarkEnd w:id="60"/>
      <w:bookmarkEnd w:id="61"/>
      <w:r>
        <w:rPr>
          <w:rFonts w:eastAsia="黑体"/>
        </w:rPr>
        <w:t>恢复</w:t>
      </w:r>
      <w:r>
        <w:rPr>
          <w:rFonts w:hint="eastAsia" w:eastAsia="黑体"/>
        </w:rPr>
        <w:t>提升</w:t>
      </w:r>
      <w:bookmarkEnd w:id="62"/>
    </w:p>
    <w:p>
      <w:pPr>
        <w:pStyle w:val="3"/>
        <w:spacing w:line="560" w:lineRule="exact"/>
        <w:ind w:firstLine="640" w:firstLineChars="200"/>
        <w:outlineLvl w:val="2"/>
        <w:rPr>
          <w:rFonts w:eastAsia="仿宋_GB2312"/>
          <w:color w:val="388600"/>
          <w:kern w:val="2"/>
          <w:sz w:val="32"/>
          <w:szCs w:val="24"/>
        </w:rPr>
      </w:pPr>
      <w:r>
        <w:rPr>
          <w:rFonts w:hint="eastAsia" w:eastAsia="楷体_GB2312"/>
          <w:color w:val="000000" w:themeColor="text1"/>
          <w:kern w:val="2"/>
          <w:sz w:val="32"/>
          <w:szCs w:val="24"/>
          <w14:textFill>
            <w14:solidFill>
              <w14:schemeClr w14:val="tx1"/>
            </w14:solidFill>
          </w14:textFill>
        </w:rPr>
        <w:t>（一）</w:t>
      </w:r>
      <w:r>
        <w:rPr>
          <w:rFonts w:eastAsia="楷体_GB2312"/>
          <w:color w:val="000000" w:themeColor="text1"/>
          <w:kern w:val="2"/>
          <w:sz w:val="32"/>
          <w:szCs w:val="24"/>
          <w14:textFill>
            <w14:solidFill>
              <w14:schemeClr w14:val="tx1"/>
            </w14:solidFill>
          </w14:textFill>
        </w:rPr>
        <w:t>加快修复受损输电线路及相关设施</w:t>
      </w:r>
    </w:p>
    <w:p>
      <w:pPr>
        <w:pStyle w:val="3"/>
        <w:spacing w:line="560" w:lineRule="exact"/>
        <w:ind w:firstLine="640" w:firstLineChars="200"/>
        <w:rPr>
          <w:color w:val="000000" w:themeColor="text1"/>
          <w14:textFill>
            <w14:solidFill>
              <w14:schemeClr w14:val="tx1"/>
            </w14:solidFill>
          </w14:textFill>
        </w:rPr>
      </w:pPr>
      <w:r>
        <w:rPr>
          <w:rFonts w:eastAsia="仿宋_GB2312"/>
          <w:color w:val="000000" w:themeColor="text1"/>
          <w:kern w:val="2"/>
          <w:sz w:val="32"/>
          <w:szCs w:val="24"/>
          <w14:textFill>
            <w14:solidFill>
              <w14:schemeClr w14:val="tx1"/>
            </w14:solidFill>
          </w14:textFill>
        </w:rPr>
        <w:t>开展电力设施修复，加大电网建设投入，保障居民、商业和学校等民生供电。强化居民用电安全保障，协助用户做好电力设施隐患排查处理，全面助力复工复产。</w:t>
      </w:r>
    </w:p>
    <w:p>
      <w:pPr>
        <w:ind w:firstLine="640"/>
        <w:outlineLvl w:val="2"/>
        <w:rPr>
          <w:color w:val="388600"/>
        </w:rPr>
      </w:pPr>
      <w:r>
        <w:rPr>
          <w:rFonts w:hint="eastAsia" w:eastAsia="楷体_GB2312"/>
        </w:rPr>
        <w:t>（二）</w:t>
      </w:r>
      <w:r>
        <w:rPr>
          <w:rFonts w:eastAsia="楷体_GB2312"/>
        </w:rPr>
        <w:t>加快公众通信网恢复重</w:t>
      </w:r>
      <w:r>
        <w:rPr>
          <w:rFonts w:hint="eastAsia" w:eastAsia="楷体_GB2312"/>
        </w:rPr>
        <w:t>建</w:t>
      </w:r>
    </w:p>
    <w:p>
      <w:pPr>
        <w:pStyle w:val="2"/>
        <w:ind w:firstLine="640"/>
      </w:pPr>
      <w:r>
        <w:t>推进灾区通信基础设施排查检修，优先保障民生和防汛指挥通信。</w:t>
      </w:r>
      <w:r>
        <w:rPr>
          <w:rFonts w:hint="eastAsia"/>
        </w:rPr>
        <w:t>加强通信基础设施保护统筹，</w:t>
      </w:r>
      <w:r>
        <w:t>强化通信基础设施系统设计，有效增强容灾备份能力。</w:t>
      </w:r>
      <w:r>
        <w:br w:type="page"/>
      </w:r>
    </w:p>
    <w:p>
      <w:pPr>
        <w:pStyle w:val="2"/>
        <w:ind w:firstLine="0" w:firstLineChars="0"/>
        <w:jc w:val="center"/>
        <w:outlineLvl w:val="0"/>
        <w:rPr>
          <w:sz w:val="28"/>
          <w:szCs w:val="22"/>
        </w:rPr>
      </w:pPr>
      <w:bookmarkStart w:id="63" w:name="_Toc171525833"/>
      <w:bookmarkStart w:id="64" w:name="_Toc171527656"/>
      <w:bookmarkStart w:id="65" w:name="_Toc173243509"/>
      <w:bookmarkStart w:id="66" w:name="_Hlk171882801"/>
      <w:r>
        <w:rPr>
          <w:rFonts w:eastAsia="方正小标宋简体"/>
          <w:sz w:val="36"/>
          <w:szCs w:val="36"/>
        </w:rPr>
        <w:t>第五章</w:t>
      </w:r>
      <w:bookmarkEnd w:id="63"/>
      <w:bookmarkEnd w:id="64"/>
      <w:r>
        <w:rPr>
          <w:rFonts w:hint="eastAsia" w:eastAsia="方正小标宋简体"/>
          <w:sz w:val="36"/>
          <w:szCs w:val="36"/>
        </w:rPr>
        <w:t xml:space="preserve"> </w:t>
      </w:r>
      <w:r>
        <w:rPr>
          <w:rFonts w:eastAsia="方正小标宋简体"/>
          <w:sz w:val="36"/>
          <w:szCs w:val="36"/>
        </w:rPr>
        <w:t xml:space="preserve"> </w:t>
      </w:r>
      <w:r>
        <w:rPr>
          <w:rFonts w:hint="eastAsia" w:eastAsia="方正小标宋简体"/>
          <w:sz w:val="36"/>
          <w:szCs w:val="36"/>
        </w:rPr>
        <w:t>实施生态修复涵养，</w:t>
      </w:r>
      <w:r>
        <w:rPr>
          <w:rFonts w:eastAsia="方正小标宋简体"/>
          <w:sz w:val="36"/>
          <w:szCs w:val="36"/>
        </w:rPr>
        <w:t>筑牢生态安全屏障</w:t>
      </w:r>
      <w:bookmarkEnd w:id="65"/>
      <w:r>
        <w:rPr>
          <w:sz w:val="28"/>
          <w:szCs w:val="22"/>
        </w:rPr>
        <w:t xml:space="preserve"> </w:t>
      </w:r>
    </w:p>
    <w:p>
      <w:pPr>
        <w:ind w:firstLine="640"/>
        <w:outlineLvl w:val="1"/>
        <w:rPr>
          <w:rFonts w:eastAsia="黑体"/>
        </w:rPr>
      </w:pPr>
      <w:bookmarkStart w:id="67" w:name="_Toc171527657"/>
      <w:bookmarkStart w:id="68" w:name="_Toc173243510"/>
      <w:bookmarkStart w:id="69" w:name="_Toc171525834"/>
      <w:r>
        <w:rPr>
          <w:rFonts w:eastAsia="黑体"/>
        </w:rPr>
        <w:t xml:space="preserve">第一节 </w:t>
      </w:r>
      <w:r>
        <w:rPr>
          <w:rFonts w:hint="eastAsia" w:eastAsia="黑体"/>
        </w:rPr>
        <w:t>加快</w:t>
      </w:r>
      <w:r>
        <w:rPr>
          <w:rFonts w:eastAsia="黑体"/>
        </w:rPr>
        <w:t>生态环境修复</w:t>
      </w:r>
      <w:bookmarkEnd w:id="67"/>
      <w:bookmarkEnd w:id="68"/>
      <w:bookmarkEnd w:id="69"/>
    </w:p>
    <w:p>
      <w:pPr>
        <w:ind w:firstLine="640"/>
        <w:outlineLvl w:val="2"/>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（一）加强</w:t>
      </w:r>
      <w:r>
        <w:rPr>
          <w:rFonts w:eastAsia="楷体_GB2312"/>
          <w:color w:val="000000" w:themeColor="text1"/>
          <w14:textFill>
            <w14:solidFill>
              <w14:schemeClr w14:val="tx1"/>
            </w14:solidFill>
          </w14:textFill>
        </w:rPr>
        <w:t>水土保持能力</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以中小河道修复提升为主线，开展水土流失防治与小流域综合治理，注重与山洪沟道治理、地质灾害防治相衔接，实施裸露山体生态修复。</w:t>
      </w:r>
    </w:p>
    <w:p>
      <w:pPr>
        <w:ind w:firstLine="640"/>
        <w:outlineLvl w:val="2"/>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（二）</w:t>
      </w:r>
      <w:r>
        <w:rPr>
          <w:rFonts w:eastAsia="楷体_GB2312"/>
          <w:color w:val="000000" w:themeColor="text1"/>
          <w14:textFill>
            <w14:solidFill>
              <w14:schemeClr w14:val="tx1"/>
            </w14:solidFill>
          </w14:textFill>
        </w:rPr>
        <w:t>加快林草植被恢复</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修复灾区受损生态单元，保持生态系统稳定性。</w:t>
      </w:r>
      <w:r>
        <w:rPr>
          <w:rFonts w:hint="eastAsia"/>
        </w:rPr>
        <w:t>围绕科学优化树种林种，坚持乔灌结合，</w:t>
      </w:r>
      <w:r>
        <w:t>统筹采取林木清障、补植</w:t>
      </w:r>
      <w:r>
        <w:rPr>
          <w:color w:val="000000" w:themeColor="text1"/>
          <w14:textFill>
            <w14:solidFill>
              <w14:schemeClr w14:val="tx1"/>
            </w14:solidFill>
          </w14:textFill>
        </w:rPr>
        <w:t>补造、林分改造、林木抚育等措施，恢复灾区受损林地。</w:t>
      </w:r>
    </w:p>
    <w:p>
      <w:pPr>
        <w:pStyle w:val="2"/>
        <w:spacing w:after="0"/>
        <w:ind w:firstLine="566" w:firstLineChars="177"/>
        <w:outlineLvl w:val="2"/>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（三）强化</w:t>
      </w:r>
      <w:r>
        <w:rPr>
          <w:rFonts w:eastAsia="楷体_GB2312"/>
          <w:color w:val="000000" w:themeColor="text1"/>
          <w14:textFill>
            <w14:solidFill>
              <w14:schemeClr w14:val="tx1"/>
            </w14:solidFill>
          </w14:textFill>
        </w:rPr>
        <w:t>森林防火基础设施建设</w:t>
      </w:r>
    </w:p>
    <w:p>
      <w:pPr>
        <w:pStyle w:val="2"/>
        <w:spacing w:after="0"/>
        <w:ind w:firstLine="566" w:firstLineChars="177"/>
        <w:rPr>
          <w:color w:val="000000" w:themeColor="text1"/>
          <w14:textFill>
            <w14:solidFill>
              <w14:schemeClr w14:val="tx1"/>
            </w14:solidFill>
          </w14:textFill>
        </w:rPr>
      </w:pPr>
      <w:r>
        <w:rPr>
          <w:color w:val="000000" w:themeColor="text1"/>
          <w14:textFill>
            <w14:solidFill>
              <w14:schemeClr w14:val="tx1"/>
            </w14:solidFill>
          </w14:textFill>
        </w:rPr>
        <w:t>推动森林管护由单一依靠人防向人防和技防结合转变。加快推进森林防火设施建设，完成防火管护站点重建，推进森林防火应急道路建设，加密森林防火阻隔系统，提升森林防火能力。</w:t>
      </w:r>
    </w:p>
    <w:p>
      <w:pPr>
        <w:pStyle w:val="2"/>
        <w:spacing w:after="0"/>
        <w:ind w:firstLine="518" w:firstLineChars="162"/>
        <w:outlineLvl w:val="2"/>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（四）加大</w:t>
      </w:r>
      <w:r>
        <w:rPr>
          <w:rFonts w:eastAsia="楷体_GB2312"/>
          <w:color w:val="000000" w:themeColor="text1"/>
          <w14:textFill>
            <w14:solidFill>
              <w14:schemeClr w14:val="tx1"/>
            </w14:solidFill>
          </w14:textFill>
        </w:rPr>
        <w:t>生物多样性保护</w:t>
      </w:r>
    </w:p>
    <w:p>
      <w:pPr>
        <w:pStyle w:val="2"/>
        <w:spacing w:after="0"/>
        <w:ind w:firstLine="566" w:firstLineChars="177"/>
        <w:rPr>
          <w:color w:val="000000" w:themeColor="text1"/>
          <w14:textFill>
            <w14:solidFill>
              <w14:schemeClr w14:val="tx1"/>
            </w14:solidFill>
          </w14:textFill>
        </w:rPr>
      </w:pPr>
      <w:r>
        <w:rPr>
          <w:color w:val="000000" w:themeColor="text1"/>
          <w14:textFill>
            <w14:solidFill>
              <w14:schemeClr w14:val="tx1"/>
            </w14:solidFill>
          </w14:textFill>
        </w:rPr>
        <w:t>恢复提升受损</w:t>
      </w:r>
      <w:r>
        <w:rPr>
          <w:rFonts w:hint="eastAsia"/>
          <w:color w:val="000000" w:themeColor="text1"/>
          <w14:textFill>
            <w14:solidFill>
              <w14:schemeClr w14:val="tx1"/>
            </w14:solidFill>
          </w14:textFill>
        </w:rPr>
        <w:t>的省级</w:t>
      </w:r>
      <w:r>
        <w:rPr>
          <w:color w:val="000000" w:themeColor="text1"/>
          <w14:textFill>
            <w14:solidFill>
              <w14:schemeClr w14:val="tx1"/>
            </w14:solidFill>
          </w14:textFill>
        </w:rPr>
        <w:t>森林公园和重点林区基础设施建设和生态系统修复。完善生物多样性调查监测体系，构建“天空地”一体化生物多样性保护监测网络。</w:t>
      </w:r>
    </w:p>
    <w:p>
      <w:pPr>
        <w:pStyle w:val="2"/>
        <w:spacing w:after="0"/>
        <w:ind w:firstLine="566" w:firstLineChars="177"/>
        <w:outlineLvl w:val="2"/>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（五）</w:t>
      </w:r>
      <w:r>
        <w:rPr>
          <w:rFonts w:eastAsia="楷体_GB2312"/>
          <w:color w:val="000000" w:themeColor="text1"/>
          <w14:textFill>
            <w14:solidFill>
              <w14:schemeClr w14:val="tx1"/>
            </w14:solidFill>
          </w14:textFill>
        </w:rPr>
        <w:t>恢复监测能力建设</w:t>
      </w:r>
    </w:p>
    <w:p>
      <w:pPr>
        <w:pStyle w:val="2"/>
        <w:spacing w:after="0"/>
        <w:ind w:firstLine="566" w:firstLineChars="177"/>
        <w:rPr>
          <w:color w:val="000000" w:themeColor="text1"/>
          <w14:textFill>
            <w14:solidFill>
              <w14:schemeClr w14:val="tx1"/>
            </w14:solidFill>
          </w14:textFill>
        </w:rPr>
      </w:pPr>
      <w:r>
        <w:rPr>
          <w:color w:val="000000" w:themeColor="text1"/>
          <w14:textFill>
            <w14:solidFill>
              <w14:schemeClr w14:val="tx1"/>
            </w14:solidFill>
          </w14:textFill>
        </w:rPr>
        <w:t>恢复重建灾区环境监测设施，完善环境监管能力。加强灾区生态环境跟踪监测，建立灾区生态环境影响监测评估预警系统。</w:t>
      </w:r>
    </w:p>
    <w:p>
      <w:pPr>
        <w:ind w:firstLine="640"/>
        <w:outlineLvl w:val="1"/>
        <w:rPr>
          <w:rFonts w:eastAsia="黑体"/>
        </w:rPr>
      </w:pPr>
      <w:bookmarkStart w:id="70" w:name="_Toc173243511"/>
      <w:r>
        <w:rPr>
          <w:rFonts w:eastAsia="黑体"/>
        </w:rPr>
        <w:t>第</w:t>
      </w:r>
      <w:r>
        <w:rPr>
          <w:rFonts w:hint="eastAsia" w:eastAsia="黑体"/>
        </w:rPr>
        <w:t>二</w:t>
      </w:r>
      <w:r>
        <w:rPr>
          <w:rFonts w:eastAsia="黑体"/>
        </w:rPr>
        <w:t>节 加强环境整治</w:t>
      </w:r>
      <w:bookmarkEnd w:id="70"/>
    </w:p>
    <w:bookmarkEnd w:id="66"/>
    <w:p>
      <w:pPr>
        <w:widowControl/>
        <w:tabs>
          <w:tab w:val="clear" w:pos="8296"/>
        </w:tabs>
        <w:kinsoku w:val="0"/>
        <w:autoSpaceDE w:val="0"/>
        <w:autoSpaceDN w:val="0"/>
        <w:adjustRightInd w:val="0"/>
        <w:snapToGrid w:val="0"/>
        <w:ind w:left="11" w:right="142" w:firstLine="635" w:firstLineChars="0"/>
        <w:textAlignment w:val="baseline"/>
        <w:outlineLvl w:val="2"/>
        <w:rPr>
          <w:rFonts w:ascii="楷体_GB2312" w:eastAsia="楷体_GB2312"/>
          <w:color w:val="000000"/>
          <w:spacing w:val="4"/>
          <w:kern w:val="0"/>
          <w:szCs w:val="32"/>
        </w:rPr>
      </w:pPr>
      <w:r>
        <w:rPr>
          <w:rFonts w:hint="eastAsia" w:ascii="楷体_GB2312" w:eastAsia="楷体_GB2312"/>
          <w:color w:val="000000"/>
          <w:spacing w:val="4"/>
          <w:kern w:val="0"/>
          <w:szCs w:val="32"/>
        </w:rPr>
        <w:t>（一）加强水环境保护</w:t>
      </w:r>
    </w:p>
    <w:p>
      <w:pPr>
        <w:widowControl/>
        <w:tabs>
          <w:tab w:val="clear" w:pos="8296"/>
        </w:tabs>
        <w:kinsoku w:val="0"/>
        <w:autoSpaceDE w:val="0"/>
        <w:autoSpaceDN w:val="0"/>
        <w:adjustRightInd w:val="0"/>
        <w:snapToGrid w:val="0"/>
        <w:ind w:left="11" w:right="142" w:firstLine="635" w:firstLineChars="0"/>
        <w:textAlignment w:val="baseline"/>
        <w:rPr>
          <w:color w:val="000000"/>
          <w:kern w:val="0"/>
          <w:szCs w:val="32"/>
        </w:rPr>
      </w:pPr>
      <w:r>
        <w:rPr>
          <w:color w:val="000000"/>
          <w:spacing w:val="4"/>
          <w:kern w:val="0"/>
          <w:szCs w:val="32"/>
        </w:rPr>
        <w:t>加强灾区饮用水水源地水质监测及环境风险排</w:t>
      </w:r>
      <w:r>
        <w:rPr>
          <w:color w:val="000000"/>
          <w:spacing w:val="-2"/>
          <w:kern w:val="0"/>
          <w:szCs w:val="32"/>
        </w:rPr>
        <w:t>查，开展饮用水水源地规范化建设，加强农村集中</w:t>
      </w:r>
      <w:r>
        <w:rPr>
          <w:color w:val="000000"/>
          <w:spacing w:val="-3"/>
          <w:kern w:val="0"/>
          <w:szCs w:val="32"/>
        </w:rPr>
        <w:t>供水工程净化、</w:t>
      </w:r>
      <w:r>
        <w:rPr>
          <w:color w:val="000000"/>
          <w:spacing w:val="5"/>
          <w:kern w:val="0"/>
          <w:szCs w:val="32"/>
        </w:rPr>
        <w:t>消毒、检测设备配建，保障饮用水安全</w:t>
      </w:r>
      <w:r>
        <w:rPr>
          <w:color w:val="000000"/>
          <w:spacing w:val="9"/>
          <w:kern w:val="0"/>
          <w:szCs w:val="32"/>
        </w:rPr>
        <w:t>。</w:t>
      </w:r>
    </w:p>
    <w:p>
      <w:pPr>
        <w:widowControl/>
        <w:tabs>
          <w:tab w:val="clear" w:pos="8296"/>
        </w:tabs>
        <w:kinsoku w:val="0"/>
        <w:autoSpaceDE w:val="0"/>
        <w:autoSpaceDN w:val="0"/>
        <w:adjustRightInd w:val="0"/>
        <w:snapToGrid w:val="0"/>
        <w:ind w:firstLine="668"/>
        <w:textAlignment w:val="baseline"/>
        <w:outlineLvl w:val="2"/>
        <w:rPr>
          <w:rFonts w:eastAsia="楷体_GB2312"/>
          <w:color w:val="000000"/>
          <w:spacing w:val="7"/>
          <w:kern w:val="0"/>
          <w:szCs w:val="32"/>
        </w:rPr>
      </w:pPr>
      <w:r>
        <w:rPr>
          <w:rFonts w:hint="eastAsia" w:eastAsia="楷体_GB2312"/>
          <w:color w:val="000000"/>
          <w:spacing w:val="7"/>
          <w:kern w:val="0"/>
          <w:szCs w:val="32"/>
        </w:rPr>
        <w:t>（二）</w:t>
      </w:r>
      <w:r>
        <w:rPr>
          <w:rFonts w:eastAsia="楷体_GB2312"/>
          <w:color w:val="000000"/>
          <w:spacing w:val="7"/>
          <w:kern w:val="0"/>
          <w:szCs w:val="32"/>
        </w:rPr>
        <w:t>加大农村人居环境整治</w:t>
      </w:r>
    </w:p>
    <w:p>
      <w:pPr>
        <w:widowControl/>
        <w:tabs>
          <w:tab w:val="clear" w:pos="8296"/>
        </w:tabs>
        <w:kinsoku w:val="0"/>
        <w:autoSpaceDE w:val="0"/>
        <w:autoSpaceDN w:val="0"/>
        <w:adjustRightInd w:val="0"/>
        <w:snapToGrid w:val="0"/>
        <w:ind w:firstLine="660"/>
        <w:textAlignment w:val="baseline"/>
        <w:rPr>
          <w:color w:val="000000"/>
          <w:spacing w:val="7"/>
          <w:kern w:val="0"/>
          <w:szCs w:val="32"/>
        </w:rPr>
      </w:pPr>
      <w:r>
        <w:rPr>
          <w:color w:val="000000"/>
          <w:spacing w:val="5"/>
          <w:kern w:val="0"/>
          <w:szCs w:val="32"/>
        </w:rPr>
        <w:t>深入开展村庄清洁和乡村绿化美化行动，建立</w:t>
      </w:r>
      <w:r>
        <w:rPr>
          <w:color w:val="000000"/>
          <w:spacing w:val="7"/>
          <w:kern w:val="0"/>
          <w:szCs w:val="32"/>
        </w:rPr>
        <w:t>健全农村生活垃圾收运处置体系，梯次推进农村生活污水治理。</w:t>
      </w:r>
    </w:p>
    <w:p>
      <w:pPr>
        <w:widowControl/>
        <w:tabs>
          <w:tab w:val="clear" w:pos="8296"/>
        </w:tabs>
        <w:spacing w:line="240" w:lineRule="auto"/>
        <w:ind w:firstLine="0" w:firstLineChars="0"/>
        <w:jc w:val="left"/>
      </w:pPr>
      <w:r>
        <w:br w:type="page"/>
      </w:r>
    </w:p>
    <w:p>
      <w:pPr>
        <w:pStyle w:val="2"/>
        <w:ind w:firstLine="0" w:firstLineChars="0"/>
        <w:jc w:val="center"/>
        <w:outlineLvl w:val="0"/>
        <w:rPr>
          <w:rFonts w:eastAsia="方正小标宋简体"/>
          <w:sz w:val="36"/>
          <w:szCs w:val="36"/>
        </w:rPr>
      </w:pPr>
      <w:bookmarkStart w:id="71" w:name="_Toc173243512"/>
      <w:bookmarkStart w:id="72" w:name="_Toc171525837"/>
      <w:bookmarkStart w:id="73" w:name="_Toc171527660"/>
      <w:r>
        <w:rPr>
          <w:rFonts w:eastAsia="方正小标宋简体"/>
          <w:sz w:val="36"/>
          <w:szCs w:val="36"/>
        </w:rPr>
        <w:t xml:space="preserve">第六章  </w:t>
      </w:r>
      <w:r>
        <w:rPr>
          <w:rFonts w:hint="eastAsia" w:eastAsia="方正小标宋简体"/>
          <w:sz w:val="36"/>
          <w:szCs w:val="36"/>
        </w:rPr>
        <w:t>扎实推动复工复产</w:t>
      </w:r>
      <w:r>
        <w:rPr>
          <w:rFonts w:eastAsia="方正小标宋简体"/>
          <w:sz w:val="36"/>
          <w:szCs w:val="36"/>
        </w:rPr>
        <w:t>，推动产业恢复振兴</w:t>
      </w:r>
      <w:bookmarkEnd w:id="71"/>
      <w:bookmarkEnd w:id="72"/>
      <w:bookmarkEnd w:id="73"/>
    </w:p>
    <w:p>
      <w:pPr>
        <w:ind w:firstLine="640"/>
        <w:outlineLvl w:val="1"/>
        <w:rPr>
          <w:rFonts w:eastAsia="黑体"/>
        </w:rPr>
      </w:pPr>
      <w:bookmarkStart w:id="74" w:name="_Toc171527661"/>
      <w:bookmarkStart w:id="75" w:name="_Toc171525838"/>
      <w:bookmarkStart w:id="76" w:name="_Toc173243513"/>
      <w:r>
        <w:rPr>
          <w:rFonts w:eastAsia="黑体"/>
        </w:rPr>
        <w:t>第一节 加快恢复农业</w:t>
      </w:r>
      <w:bookmarkEnd w:id="74"/>
      <w:bookmarkEnd w:id="75"/>
      <w:r>
        <w:rPr>
          <w:rFonts w:hint="eastAsia" w:eastAsia="黑体"/>
        </w:rPr>
        <w:t>生产</w:t>
      </w:r>
      <w:bookmarkEnd w:id="76"/>
    </w:p>
    <w:p>
      <w:pPr>
        <w:ind w:firstLine="640"/>
        <w:outlineLvl w:val="2"/>
        <w:rPr>
          <w:rFonts w:eastAsia="楷体_GB2312"/>
        </w:rPr>
      </w:pPr>
      <w:r>
        <w:rPr>
          <w:rFonts w:hint="eastAsia" w:eastAsia="楷体_GB2312"/>
        </w:rPr>
        <w:t>（一）</w:t>
      </w:r>
      <w:r>
        <w:rPr>
          <w:rFonts w:eastAsia="楷体_GB2312"/>
        </w:rPr>
        <w:t>粮食安全保障能力恢复</w:t>
      </w:r>
    </w:p>
    <w:p>
      <w:pPr>
        <w:ind w:firstLine="640"/>
      </w:pPr>
      <w:r>
        <w:t>全面核实高标准农田自然损毁情况，优先支持灾区高标准农田建设，恢复受损大棚、田间道路和灌排、蓄水池、泵站、配电等设施。</w:t>
      </w:r>
    </w:p>
    <w:p>
      <w:pPr>
        <w:ind w:firstLine="640"/>
        <w:outlineLvl w:val="2"/>
        <w:rPr>
          <w:rFonts w:eastAsia="楷体_GB2312"/>
        </w:rPr>
      </w:pPr>
      <w:r>
        <w:rPr>
          <w:rFonts w:hint="eastAsia" w:eastAsia="楷体_GB2312"/>
        </w:rPr>
        <w:t>（二）</w:t>
      </w:r>
      <w:r>
        <w:rPr>
          <w:rFonts w:eastAsia="楷体_GB2312"/>
        </w:rPr>
        <w:t>畜牧渔业生产恢复</w:t>
      </w:r>
    </w:p>
    <w:p>
      <w:pPr>
        <w:ind w:firstLine="640"/>
      </w:pPr>
      <w:r>
        <w:t>组织指导各地抓紧修复因灾损坏的设施棚室、畜禽养殖设施和水产养殖设施，尽快补栏补苗，尽快恢复畜牧养殖生产条件。做好损毁水产养殖设施、塘口堤坝等加固和修复，净化养殖水体水质，适当补放相应水产苗种。</w:t>
      </w:r>
    </w:p>
    <w:p>
      <w:pPr>
        <w:ind w:firstLine="640"/>
        <w:outlineLvl w:val="1"/>
        <w:rPr>
          <w:rFonts w:eastAsia="黑体"/>
        </w:rPr>
      </w:pPr>
      <w:bookmarkStart w:id="77" w:name="_Toc171525839"/>
      <w:bookmarkStart w:id="78" w:name="_Toc171527662"/>
      <w:bookmarkStart w:id="79" w:name="_Toc173243514"/>
      <w:r>
        <w:rPr>
          <w:rFonts w:eastAsia="黑体"/>
        </w:rPr>
        <w:t>第二节 促进工</w:t>
      </w:r>
      <w:bookmarkEnd w:id="77"/>
      <w:bookmarkEnd w:id="78"/>
      <w:r>
        <w:rPr>
          <w:rFonts w:eastAsia="黑体"/>
        </w:rPr>
        <w:t>业和服务业恢复</w:t>
      </w:r>
      <w:bookmarkEnd w:id="79"/>
    </w:p>
    <w:p>
      <w:pPr>
        <w:pStyle w:val="2"/>
        <w:spacing w:after="0"/>
        <w:ind w:firstLine="518" w:firstLineChars="162"/>
        <w:outlineLvl w:val="2"/>
        <w:rPr>
          <w:rFonts w:eastAsia="楷体_GB2312"/>
          <w:color w:val="000000" w:themeColor="text1"/>
          <w:szCs w:val="32"/>
          <w14:textFill>
            <w14:solidFill>
              <w14:schemeClr w14:val="tx1"/>
            </w14:solidFill>
          </w14:textFill>
        </w:rPr>
      </w:pPr>
      <w:r>
        <w:rPr>
          <w:rFonts w:hint="eastAsia" w:eastAsia="楷体_GB2312"/>
          <w:color w:val="000000" w:themeColor="text1"/>
          <w:szCs w:val="32"/>
          <w14:textFill>
            <w14:solidFill>
              <w14:schemeClr w14:val="tx1"/>
            </w14:solidFill>
          </w14:textFill>
        </w:rPr>
        <w:t>（一）</w:t>
      </w:r>
      <w:r>
        <w:rPr>
          <w:rFonts w:eastAsia="楷体_GB2312"/>
          <w:color w:val="000000" w:themeColor="text1"/>
          <w:szCs w:val="32"/>
          <w14:textFill>
            <w14:solidFill>
              <w14:schemeClr w14:val="tx1"/>
            </w14:solidFill>
          </w14:textFill>
        </w:rPr>
        <w:t>工业生产恢复</w:t>
      </w:r>
    </w:p>
    <w:p>
      <w:pPr>
        <w:pStyle w:val="2"/>
        <w:spacing w:after="0"/>
        <w:ind w:firstLine="640"/>
        <w:rPr>
          <w:szCs w:val="32"/>
        </w:rPr>
      </w:pPr>
      <w:r>
        <w:rPr>
          <w:szCs w:val="32"/>
        </w:rPr>
        <w:t>开展园区、重点企业安全风险排查，加强重大危险源在线安全管控，及时消除安全隐患。</w:t>
      </w:r>
    </w:p>
    <w:p>
      <w:pPr>
        <w:ind w:firstLine="518" w:firstLineChars="162"/>
        <w:outlineLvl w:val="2"/>
        <w:rPr>
          <w:rFonts w:eastAsia="楷体_GB2312"/>
          <w:color w:val="000000" w:themeColor="text1"/>
          <w:szCs w:val="32"/>
          <w14:textFill>
            <w14:solidFill>
              <w14:schemeClr w14:val="tx1"/>
            </w14:solidFill>
          </w14:textFill>
        </w:rPr>
      </w:pPr>
      <w:r>
        <w:rPr>
          <w:rFonts w:hint="eastAsia" w:eastAsia="楷体_GB2312"/>
          <w:color w:val="000000" w:themeColor="text1"/>
          <w:szCs w:val="32"/>
          <w14:textFill>
            <w14:solidFill>
              <w14:schemeClr w14:val="tx1"/>
            </w14:solidFill>
          </w14:textFill>
        </w:rPr>
        <w:t>（二）</w:t>
      </w:r>
      <w:r>
        <w:rPr>
          <w:rFonts w:eastAsia="楷体_GB2312"/>
          <w:color w:val="000000" w:themeColor="text1"/>
          <w:szCs w:val="32"/>
          <w14:textFill>
            <w14:solidFill>
              <w14:schemeClr w14:val="tx1"/>
            </w14:solidFill>
          </w14:textFill>
        </w:rPr>
        <w:t>服务业恢复</w:t>
      </w:r>
    </w:p>
    <w:p>
      <w:pPr>
        <w:ind w:firstLine="640"/>
        <w:rPr>
          <w:color w:val="000000"/>
          <w:kern w:val="0"/>
          <w:szCs w:val="32"/>
        </w:rPr>
      </w:pPr>
      <w:r>
        <w:rPr>
          <w:rFonts w:eastAsia="楷体_GB2312"/>
          <w:color w:val="000000" w:themeColor="text1"/>
          <w:szCs w:val="32"/>
          <w14:textFill>
            <w14:solidFill>
              <w14:schemeClr w14:val="tx1"/>
            </w14:solidFill>
          </w14:textFill>
        </w:rPr>
        <w:t>商贸业复工复产。</w:t>
      </w:r>
      <w:r>
        <w:rPr>
          <w:color w:val="000000"/>
          <w:spacing w:val="8"/>
          <w:kern w:val="0"/>
          <w:szCs w:val="32"/>
        </w:rPr>
        <w:t>尽快恢复农产品批发市场、商业综合体、</w:t>
      </w:r>
      <w:r>
        <w:rPr>
          <w:color w:val="000000"/>
          <w:spacing w:val="5"/>
          <w:kern w:val="0"/>
          <w:szCs w:val="32"/>
        </w:rPr>
        <w:t>大型商超、社区商圈等商业服务网点正常生产经营。强化灾区市场监管领域日常监督检查，依法查处生产、销售不符合安全标准</w:t>
      </w:r>
      <w:r>
        <w:rPr>
          <w:color w:val="000000"/>
          <w:spacing w:val="-2"/>
          <w:kern w:val="0"/>
          <w:szCs w:val="32"/>
        </w:rPr>
        <w:t>的产品等违法行为。</w:t>
      </w:r>
    </w:p>
    <w:p>
      <w:pPr>
        <w:widowControl/>
        <w:tabs>
          <w:tab w:val="clear" w:pos="8296"/>
        </w:tabs>
        <w:kinsoku w:val="0"/>
        <w:autoSpaceDE w:val="0"/>
        <w:autoSpaceDN w:val="0"/>
        <w:adjustRightInd w:val="0"/>
        <w:snapToGrid w:val="0"/>
        <w:ind w:left="10" w:right="95" w:firstLine="642" w:firstLineChars="0"/>
        <w:textAlignment w:val="baseline"/>
        <w:rPr>
          <w:color w:val="000000"/>
          <w:kern w:val="0"/>
          <w:szCs w:val="32"/>
        </w:rPr>
      </w:pPr>
      <w:r>
        <w:rPr>
          <w:rFonts w:eastAsia="楷体_GB2312"/>
          <w:color w:val="000000" w:themeColor="text1"/>
          <w:szCs w:val="32"/>
          <w14:textFill>
            <w14:solidFill>
              <w14:schemeClr w14:val="tx1"/>
            </w14:solidFill>
          </w14:textFill>
        </w:rPr>
        <w:t>物流业恢复提质。</w:t>
      </w:r>
      <w:r>
        <w:rPr>
          <w:color w:val="000000"/>
          <w:spacing w:val="5"/>
          <w:kern w:val="0"/>
          <w:szCs w:val="32"/>
        </w:rPr>
        <w:t>加快损毁仓储设施、多式联运装备修复重建，全面恢复分拨中心、配送网点等城市物流设施服务功能，修复完善灾区农村物流设施网络。</w:t>
      </w:r>
    </w:p>
    <w:p>
      <w:pPr>
        <w:widowControl/>
        <w:tabs>
          <w:tab w:val="clear" w:pos="8296"/>
        </w:tabs>
        <w:kinsoku w:val="0"/>
        <w:autoSpaceDE w:val="0"/>
        <w:autoSpaceDN w:val="0"/>
        <w:adjustRightInd w:val="0"/>
        <w:snapToGrid w:val="0"/>
        <w:ind w:firstLine="624"/>
        <w:textAlignment w:val="baseline"/>
        <w:rPr>
          <w:color w:val="000000"/>
          <w:spacing w:val="5"/>
          <w:kern w:val="0"/>
          <w:szCs w:val="32"/>
        </w:rPr>
      </w:pPr>
      <w:r>
        <w:rPr>
          <w:rFonts w:eastAsia="楷体_GB2312"/>
          <w:color w:val="000000"/>
          <w:spacing w:val="-4"/>
          <w:kern w:val="0"/>
          <w:szCs w:val="32"/>
        </w:rPr>
        <w:t>受损景区恢复重建。</w:t>
      </w:r>
      <w:r>
        <w:rPr>
          <w:color w:val="000000"/>
          <w:spacing w:val="-4"/>
          <w:kern w:val="0"/>
          <w:szCs w:val="32"/>
        </w:rPr>
        <w:t>修复受损景区内部道路、码头、停车场、</w:t>
      </w:r>
      <w:r>
        <w:rPr>
          <w:color w:val="000000"/>
          <w:spacing w:val="5"/>
          <w:kern w:val="0"/>
          <w:szCs w:val="32"/>
        </w:rPr>
        <w:t>旅游厕所、垃圾中转、标识系统等基础设施及配套服务设施。</w:t>
      </w:r>
      <w:r>
        <w:rPr>
          <w:color w:val="000000"/>
          <w:spacing w:val="3"/>
          <w:kern w:val="0"/>
          <w:szCs w:val="32"/>
        </w:rPr>
        <w:t>结合</w:t>
      </w:r>
      <w:r>
        <w:rPr>
          <w:color w:val="000000"/>
          <w:spacing w:val="2"/>
          <w:kern w:val="0"/>
          <w:szCs w:val="32"/>
        </w:rPr>
        <w:t>资源环境承</w:t>
      </w:r>
      <w:r>
        <w:rPr>
          <w:color w:val="000000"/>
          <w:spacing w:val="5"/>
          <w:kern w:val="0"/>
          <w:szCs w:val="32"/>
        </w:rPr>
        <w:t>载能力和地质灾害评估情况，因地制宜开发</w:t>
      </w:r>
      <w:r>
        <w:rPr>
          <w:rFonts w:hint="eastAsia"/>
          <w:color w:val="000000"/>
          <w:spacing w:val="5"/>
          <w:kern w:val="0"/>
          <w:szCs w:val="32"/>
        </w:rPr>
        <w:t>红色研学、</w:t>
      </w:r>
      <w:r>
        <w:rPr>
          <w:color w:val="000000"/>
          <w:spacing w:val="5"/>
          <w:kern w:val="0"/>
          <w:szCs w:val="32"/>
        </w:rPr>
        <w:t>休闲度假、生态康养等产品和服务。</w:t>
      </w:r>
    </w:p>
    <w:p>
      <w:pPr>
        <w:pStyle w:val="2"/>
        <w:ind w:firstLine="640"/>
      </w:pPr>
      <w:r>
        <w:br w:type="page"/>
      </w:r>
    </w:p>
    <w:p>
      <w:pPr>
        <w:pStyle w:val="2"/>
        <w:ind w:firstLine="0" w:firstLineChars="0"/>
        <w:jc w:val="center"/>
        <w:outlineLvl w:val="0"/>
        <w:rPr>
          <w:rFonts w:eastAsia="方正小标宋简体"/>
          <w:sz w:val="36"/>
          <w:szCs w:val="36"/>
        </w:rPr>
      </w:pPr>
      <w:bookmarkStart w:id="80" w:name="_Toc171525840"/>
      <w:bookmarkStart w:id="81" w:name="_Toc171527663"/>
      <w:bookmarkStart w:id="82" w:name="_Toc173243515"/>
      <w:r>
        <w:rPr>
          <w:rFonts w:eastAsia="方正小标宋简体"/>
          <w:sz w:val="36"/>
          <w:szCs w:val="36"/>
        </w:rPr>
        <w:t xml:space="preserve">第七章  </w:t>
      </w:r>
      <w:bookmarkEnd w:id="80"/>
      <w:r>
        <w:rPr>
          <w:rFonts w:eastAsia="方正小标宋简体"/>
          <w:sz w:val="36"/>
          <w:szCs w:val="36"/>
        </w:rPr>
        <w:t>提升防灾减灾能力</w:t>
      </w:r>
      <w:bookmarkEnd w:id="81"/>
      <w:r>
        <w:rPr>
          <w:rFonts w:eastAsia="方正小标宋简体"/>
          <w:sz w:val="36"/>
          <w:szCs w:val="36"/>
        </w:rPr>
        <w:t>，</w:t>
      </w:r>
      <w:r>
        <w:rPr>
          <w:rFonts w:hint="eastAsia" w:eastAsia="方正小标宋简体"/>
          <w:sz w:val="36"/>
          <w:szCs w:val="36"/>
        </w:rPr>
        <w:t>夯实</w:t>
      </w:r>
      <w:r>
        <w:rPr>
          <w:rFonts w:eastAsia="方正小标宋简体"/>
          <w:sz w:val="36"/>
          <w:szCs w:val="36"/>
        </w:rPr>
        <w:t>安全发展基础</w:t>
      </w:r>
      <w:bookmarkEnd w:id="82"/>
    </w:p>
    <w:p>
      <w:pPr>
        <w:widowControl/>
        <w:tabs>
          <w:tab w:val="clear" w:pos="8296"/>
        </w:tabs>
        <w:spacing w:line="240" w:lineRule="auto"/>
        <w:ind w:firstLine="640" w:firstLineChars="0"/>
        <w:jc w:val="left"/>
        <w:outlineLvl w:val="1"/>
        <w:rPr>
          <w:rFonts w:eastAsia="黑体"/>
          <w:kern w:val="0"/>
          <w:szCs w:val="32"/>
        </w:rPr>
      </w:pPr>
      <w:bookmarkStart w:id="83" w:name="_Toc173243516"/>
      <w:r>
        <w:rPr>
          <w:rFonts w:eastAsia="黑体"/>
          <w:kern w:val="0"/>
          <w:szCs w:val="32"/>
        </w:rPr>
        <w:t>第一节 强化灾害监测预警防治能力</w:t>
      </w:r>
      <w:bookmarkEnd w:id="83"/>
    </w:p>
    <w:p>
      <w:pPr>
        <w:ind w:firstLine="566" w:firstLineChars="177"/>
        <w:outlineLvl w:val="2"/>
        <w:rPr>
          <w:rFonts w:eastAsia="楷体_GB2312"/>
        </w:rPr>
      </w:pPr>
      <w:bookmarkStart w:id="84" w:name="_Toc171794101"/>
      <w:r>
        <w:rPr>
          <w:rFonts w:hint="eastAsia" w:eastAsia="楷体_GB2312"/>
        </w:rPr>
        <w:t>（一）</w:t>
      </w:r>
      <w:r>
        <w:rPr>
          <w:rFonts w:eastAsia="楷体_GB2312"/>
        </w:rPr>
        <w:t>健全风险识别研判机制</w:t>
      </w:r>
    </w:p>
    <w:p>
      <w:pPr>
        <w:ind w:firstLine="566" w:firstLineChars="177"/>
      </w:pPr>
      <w:r>
        <w:t>组织开展全市自然灾害综合风险普查，建立分类型、分区域的自然灾害综合风险与减灾资源基础数据库。建立新一代突发事件预警信息靶向发布系统，优化数智化防灾减灾决策气象服务平台，提升突发事件预警信息发布精准度。</w:t>
      </w:r>
    </w:p>
    <w:bookmarkEnd w:id="84"/>
    <w:p>
      <w:pPr>
        <w:ind w:firstLine="566" w:firstLineChars="177"/>
        <w:outlineLvl w:val="2"/>
        <w:rPr>
          <w:rFonts w:eastAsia="楷体_GB2312"/>
        </w:rPr>
      </w:pPr>
      <w:bookmarkStart w:id="85" w:name="_Toc171794102"/>
      <w:r>
        <w:rPr>
          <w:rFonts w:hint="eastAsia" w:eastAsia="楷体_GB2312"/>
        </w:rPr>
        <w:t>（二）</w:t>
      </w:r>
      <w:r>
        <w:rPr>
          <w:rFonts w:eastAsia="楷体_GB2312"/>
        </w:rPr>
        <w:t>完善气象观测监测体系建设</w:t>
      </w:r>
    </w:p>
    <w:p>
      <w:pPr>
        <w:ind w:firstLine="566" w:firstLineChars="177"/>
      </w:pPr>
      <w:r>
        <w:t>推进村级自动气象观测站建设，在监测盲区、灾害易发区加密建设地面自动气象站。统筹建设交通、农业、能源、生态环境等行业气象观测网。</w:t>
      </w:r>
    </w:p>
    <w:p>
      <w:pPr>
        <w:ind w:firstLine="566" w:firstLineChars="177"/>
        <w:outlineLvl w:val="2"/>
        <w:rPr>
          <w:rFonts w:eastAsia="楷体_GB2312"/>
        </w:rPr>
      </w:pPr>
      <w:r>
        <w:rPr>
          <w:rFonts w:hint="eastAsia" w:eastAsia="楷体_GB2312"/>
        </w:rPr>
        <w:t>（三）</w:t>
      </w:r>
      <w:r>
        <w:rPr>
          <w:rFonts w:eastAsia="楷体_GB2312"/>
        </w:rPr>
        <w:t>完善水文监测预报预警网络体系</w:t>
      </w:r>
      <w:bookmarkEnd w:id="85"/>
    </w:p>
    <w:p>
      <w:pPr>
        <w:ind w:firstLine="566" w:firstLineChars="177"/>
        <w:rPr>
          <w:color w:val="000000"/>
          <w:spacing w:val="5"/>
          <w:kern w:val="0"/>
          <w:szCs w:val="32"/>
        </w:rPr>
      </w:pPr>
      <w:r>
        <w:rPr>
          <w:rFonts w:hint="eastAsia"/>
          <w:color w:val="000000"/>
          <w:kern w:val="0"/>
          <w:szCs w:val="32"/>
        </w:rPr>
        <w:t>建设水文预警监测台站，加强水文信息基础设施建设，补充完善水文监测要素，加强遥感技术和地面水文监测技术、通信技术的融合应用，建立覆盖全面的“空天地”一体化水文监测体系。</w:t>
      </w:r>
    </w:p>
    <w:p>
      <w:pPr>
        <w:pStyle w:val="2"/>
        <w:spacing w:after="0"/>
        <w:ind w:firstLine="640"/>
        <w:outlineLvl w:val="2"/>
        <w:rPr>
          <w:rFonts w:eastAsia="楷体_GB2312"/>
        </w:rPr>
      </w:pPr>
      <w:r>
        <w:rPr>
          <w:rFonts w:hint="eastAsia" w:eastAsia="楷体_GB2312"/>
        </w:rPr>
        <w:t>（四）完善地质灾害预警预报和监测网建设</w:t>
      </w:r>
    </w:p>
    <w:p>
      <w:pPr>
        <w:pStyle w:val="2"/>
        <w:spacing w:after="0"/>
        <w:ind w:firstLine="640"/>
        <w:rPr>
          <w:rFonts w:eastAsia="宋体"/>
          <w:kern w:val="0"/>
          <w:szCs w:val="32"/>
        </w:rPr>
      </w:pPr>
      <w:r>
        <w:rPr>
          <w:rFonts w:hint="eastAsia"/>
          <w:szCs w:val="32"/>
        </w:rPr>
        <w:t>改造升级地质灾害气象风险预警预报系统，加强地质灾害专业监测阈值设置研究，不断提高地质灾害气象风险预警预报和专业监测精准度</w:t>
      </w:r>
      <w:r>
        <w:rPr>
          <w:szCs w:val="32"/>
        </w:rPr>
        <w:t>。</w:t>
      </w:r>
    </w:p>
    <w:p>
      <w:pPr>
        <w:widowControl/>
        <w:tabs>
          <w:tab w:val="clear" w:pos="8296"/>
        </w:tabs>
        <w:ind w:firstLine="553" w:firstLineChars="173"/>
        <w:outlineLvl w:val="2"/>
        <w:rPr>
          <w:rFonts w:ascii="楷体_GB2312" w:eastAsia="楷体_GB2312"/>
        </w:rPr>
      </w:pPr>
      <w:r>
        <w:rPr>
          <w:rFonts w:hint="eastAsia" w:ascii="楷体_GB2312" w:eastAsia="楷体_GB2312"/>
        </w:rPr>
        <w:t>（五）加强智能灾害预报预警</w:t>
      </w:r>
    </w:p>
    <w:p>
      <w:pPr>
        <w:widowControl/>
        <w:tabs>
          <w:tab w:val="clear" w:pos="8296"/>
        </w:tabs>
        <w:ind w:firstLine="553" w:firstLineChars="173"/>
        <w:rPr>
          <w:color w:val="000000"/>
          <w:kern w:val="0"/>
          <w:szCs w:val="32"/>
        </w:rPr>
      </w:pPr>
      <w:r>
        <w:t>建设基于人工智能气象大模型和大数据分析的精准化智能预报预警系统，实施监</w:t>
      </w:r>
      <w:r>
        <w:rPr>
          <w:rFonts w:hint="eastAsia"/>
        </w:rPr>
        <w:t>测</w:t>
      </w:r>
      <w:r>
        <w:t>预警智慧化工程</w:t>
      </w:r>
      <w:r>
        <w:rPr>
          <w:rFonts w:hint="eastAsia"/>
        </w:rPr>
        <w:t>。</w:t>
      </w:r>
      <w:r>
        <w:t>打造</w:t>
      </w:r>
      <w:r>
        <w:rPr>
          <w:rFonts w:hint="eastAsia"/>
        </w:rPr>
        <w:t>“</w:t>
      </w:r>
      <w:r>
        <w:t>大应急</w:t>
      </w:r>
      <w:r>
        <w:rPr>
          <w:rFonts w:hint="eastAsia"/>
        </w:rPr>
        <w:t>”“</w:t>
      </w:r>
      <w:r>
        <w:t>大指挥</w:t>
      </w:r>
      <w:r>
        <w:rPr>
          <w:rFonts w:hint="eastAsia"/>
        </w:rPr>
        <w:t>”“</w:t>
      </w:r>
      <w:r>
        <w:t>大联合</w:t>
      </w:r>
      <w:r>
        <w:rPr>
          <w:rFonts w:hint="eastAsia"/>
        </w:rPr>
        <w:t>”</w:t>
      </w:r>
      <w:r>
        <w:t>的智慧应急指挥信息平台</w:t>
      </w:r>
      <w:r>
        <w:rPr>
          <w:color w:val="000000"/>
          <w:kern w:val="0"/>
          <w:szCs w:val="32"/>
        </w:rPr>
        <w:t>。</w:t>
      </w:r>
    </w:p>
    <w:p>
      <w:pPr>
        <w:widowControl/>
        <w:tabs>
          <w:tab w:val="clear" w:pos="8296"/>
        </w:tabs>
        <w:ind w:firstLine="641" w:firstLineChars="0"/>
        <w:jc w:val="left"/>
        <w:outlineLvl w:val="1"/>
        <w:rPr>
          <w:rFonts w:eastAsia="黑体"/>
          <w:kern w:val="0"/>
          <w:szCs w:val="32"/>
        </w:rPr>
      </w:pPr>
      <w:bookmarkStart w:id="86" w:name="_Toc173243517"/>
      <w:r>
        <w:rPr>
          <w:rFonts w:eastAsia="黑体"/>
          <w:kern w:val="0"/>
          <w:szCs w:val="32"/>
        </w:rPr>
        <w:t>第二节 加强灾害应急保障能力</w:t>
      </w:r>
      <w:bookmarkEnd w:id="86"/>
    </w:p>
    <w:p>
      <w:pPr>
        <w:pStyle w:val="2"/>
        <w:spacing w:after="0"/>
        <w:ind w:firstLine="641" w:firstLineChars="0"/>
        <w:outlineLvl w:val="2"/>
      </w:pPr>
      <w:r>
        <w:rPr>
          <w:rFonts w:hint="eastAsia" w:eastAsia="楷体_GB2312"/>
        </w:rPr>
        <w:t>（一）综合</w:t>
      </w:r>
      <w:r>
        <w:rPr>
          <w:rFonts w:eastAsia="楷体_GB2312"/>
        </w:rPr>
        <w:t>提升应急指挥能力</w:t>
      </w:r>
    </w:p>
    <w:p>
      <w:pPr>
        <w:pStyle w:val="2"/>
        <w:spacing w:after="0"/>
        <w:ind w:firstLine="641" w:firstLineChars="0"/>
      </w:pPr>
      <w:r>
        <w:t>加强消防119平台、医疗急救平台升级，与全市应急指挥平台交叉融合，提升全市消防、应急指挥、救援、救治全链条智能辅助水平，实现事故灾害一线救援、现场指挥部与后方救治之间的音视频融合通信与指挥协同。</w:t>
      </w:r>
    </w:p>
    <w:p>
      <w:pPr>
        <w:ind w:firstLine="640"/>
        <w:outlineLvl w:val="2"/>
        <w:rPr>
          <w:rFonts w:eastAsia="楷体_GB2312"/>
        </w:rPr>
      </w:pPr>
      <w:r>
        <w:rPr>
          <w:rFonts w:hint="eastAsia" w:eastAsia="楷体_GB2312"/>
        </w:rPr>
        <w:t>（二）</w:t>
      </w:r>
      <w:r>
        <w:rPr>
          <w:rFonts w:eastAsia="楷体_GB2312"/>
        </w:rPr>
        <w:t>提升镇村山区应急保障能力</w:t>
      </w:r>
    </w:p>
    <w:p>
      <w:pPr>
        <w:ind w:firstLine="640"/>
      </w:pPr>
      <w:r>
        <w:rPr>
          <w:rFonts w:hint="eastAsia"/>
        </w:rPr>
        <w:t>确保每个自然村配备应急照明设施设备和应急通讯报警设备</w:t>
      </w:r>
      <w:r>
        <w:t>，最大限度扩大预警信息传递范围、落实叫应机制。</w:t>
      </w:r>
    </w:p>
    <w:p>
      <w:pPr>
        <w:pStyle w:val="2"/>
        <w:spacing w:after="0"/>
        <w:ind w:firstLine="640"/>
        <w:outlineLvl w:val="2"/>
        <w:rPr>
          <w:rFonts w:eastAsia="楷体_GB2312"/>
        </w:rPr>
      </w:pPr>
      <w:r>
        <w:rPr>
          <w:rFonts w:hint="eastAsia" w:eastAsia="楷体_GB2312"/>
        </w:rPr>
        <w:t>（三）提升</w:t>
      </w:r>
      <w:r>
        <w:rPr>
          <w:rFonts w:eastAsia="楷体_GB2312"/>
        </w:rPr>
        <w:t>应急物资保障</w:t>
      </w:r>
      <w:r>
        <w:rPr>
          <w:rFonts w:hint="eastAsia" w:eastAsia="楷体_GB2312"/>
        </w:rPr>
        <w:t>能力</w:t>
      </w:r>
    </w:p>
    <w:p>
      <w:pPr>
        <w:pStyle w:val="2"/>
        <w:spacing w:after="0"/>
        <w:ind w:firstLine="640"/>
      </w:pPr>
      <w:r>
        <w:t>建成全市上下联动、协同配合、调度高效的应急物资保障体系。建立市、县、乡三级应急救灾物资储备体系。建立应急物资快速补库</w:t>
      </w:r>
      <w:r>
        <w:rPr>
          <w:rFonts w:hint="eastAsia"/>
        </w:rPr>
        <w:t>“</w:t>
      </w:r>
      <w:r>
        <w:t>绿色通道</w:t>
      </w:r>
      <w:r>
        <w:rPr>
          <w:rFonts w:hint="eastAsia"/>
        </w:rPr>
        <w:t>”</w:t>
      </w:r>
      <w:r>
        <w:t>，推广运用高新技术配送装备，提高应急救援运输效率。</w:t>
      </w:r>
    </w:p>
    <w:p>
      <w:pPr>
        <w:widowControl/>
        <w:tabs>
          <w:tab w:val="clear" w:pos="8296"/>
        </w:tabs>
        <w:kinsoku w:val="0"/>
        <w:autoSpaceDE w:val="0"/>
        <w:autoSpaceDN w:val="0"/>
        <w:adjustRightInd w:val="0"/>
        <w:snapToGrid w:val="0"/>
        <w:ind w:firstLine="663" w:firstLineChars="0"/>
        <w:textAlignment w:val="baseline"/>
        <w:outlineLvl w:val="2"/>
        <w:rPr>
          <w:rFonts w:eastAsia="楷体_GB2312"/>
          <w:color w:val="000000"/>
          <w:spacing w:val="11"/>
          <w:kern w:val="0"/>
          <w:sz w:val="31"/>
          <w:szCs w:val="31"/>
        </w:rPr>
      </w:pPr>
      <w:r>
        <w:rPr>
          <w:rFonts w:hint="eastAsia" w:eastAsia="楷体_GB2312"/>
        </w:rPr>
        <w:t>（四）</w:t>
      </w:r>
      <w:r>
        <w:rPr>
          <w:rFonts w:eastAsia="楷体_GB2312"/>
        </w:rPr>
        <w:t>提升灾后紧急救助能力</w:t>
      </w:r>
    </w:p>
    <w:p>
      <w:pPr>
        <w:widowControl/>
        <w:tabs>
          <w:tab w:val="clear" w:pos="8296"/>
        </w:tabs>
        <w:kinsoku w:val="0"/>
        <w:autoSpaceDE w:val="0"/>
        <w:autoSpaceDN w:val="0"/>
        <w:adjustRightInd w:val="0"/>
        <w:snapToGrid w:val="0"/>
        <w:ind w:firstLine="663" w:firstLineChars="0"/>
        <w:textAlignment w:val="baseline"/>
        <w:rPr>
          <w:color w:val="000000"/>
          <w:kern w:val="0"/>
          <w:szCs w:val="32"/>
        </w:rPr>
      </w:pPr>
      <w:r>
        <w:rPr>
          <w:color w:val="000000"/>
          <w:spacing w:val="11"/>
          <w:kern w:val="0"/>
          <w:szCs w:val="32"/>
        </w:rPr>
        <w:t>健全灾害救助资金快速下拨机制、</w:t>
      </w:r>
      <w:r>
        <w:rPr>
          <w:color w:val="000000"/>
          <w:spacing w:val="1"/>
          <w:kern w:val="0"/>
          <w:szCs w:val="32"/>
        </w:rPr>
        <w:t>救灾物资预置保障机制、受灾人群提前转移机制，提升救助时效。</w:t>
      </w:r>
      <w:r>
        <w:rPr>
          <w:szCs w:val="32"/>
        </w:rPr>
        <w:t>健全完善综合性应急、消防救援队伍为主力、专业应急力量为协同、社会应急力量为辅助的应急救援力量体系。</w:t>
      </w:r>
    </w:p>
    <w:p>
      <w:pPr>
        <w:ind w:firstLine="566" w:firstLineChars="177"/>
        <w:outlineLvl w:val="2"/>
        <w:rPr>
          <w:rFonts w:ascii="楷体_GB2312" w:eastAsia="楷体_GB2312"/>
        </w:rPr>
      </w:pPr>
      <w:r>
        <w:rPr>
          <w:rFonts w:hint="eastAsia" w:ascii="楷体_GB2312" w:eastAsia="楷体_GB2312"/>
        </w:rPr>
        <w:t>（五）加强应急救援队伍装备建设</w:t>
      </w:r>
    </w:p>
    <w:p>
      <w:pPr>
        <w:ind w:firstLine="566" w:firstLineChars="177"/>
      </w:pPr>
      <w:r>
        <w:rPr>
          <w:rFonts w:hint="eastAsia"/>
        </w:rPr>
        <w:t>推进重点行业领域应急救援队伍装备建设，提高装备配备率。加强市级应急救援队伍装备能力建设，配备现代装备和高风险场景无人智能装备。</w:t>
      </w:r>
    </w:p>
    <w:p>
      <w:pPr>
        <w:ind w:firstLine="640"/>
        <w:outlineLvl w:val="2"/>
        <w:rPr>
          <w:b/>
          <w:bCs/>
        </w:rPr>
      </w:pPr>
      <w:r>
        <w:rPr>
          <w:rFonts w:hint="eastAsia" w:eastAsia="楷体_GB2312"/>
        </w:rPr>
        <w:t>（六）</w:t>
      </w:r>
      <w:r>
        <w:rPr>
          <w:rFonts w:eastAsia="楷体_GB2312"/>
        </w:rPr>
        <w:t>加强应急避难场所和救援基地建设</w:t>
      </w:r>
    </w:p>
    <w:p>
      <w:pPr>
        <w:ind w:firstLine="640"/>
      </w:pPr>
      <w:r>
        <w:t>结合城市建设发展规划及区域灾害特点，推动全市科学规划建设城乡应急避难场和消防救援场所。</w:t>
      </w:r>
    </w:p>
    <w:p>
      <w:pPr>
        <w:widowControl/>
        <w:tabs>
          <w:tab w:val="clear" w:pos="8296"/>
        </w:tabs>
        <w:wordWrap w:val="0"/>
        <w:ind w:firstLine="566" w:firstLineChars="177"/>
        <w:outlineLvl w:val="2"/>
        <w:rPr>
          <w:rFonts w:ascii="楷体_GB2312" w:eastAsia="楷体_GB2312"/>
        </w:rPr>
      </w:pPr>
      <w:r>
        <w:rPr>
          <w:rFonts w:hint="eastAsia" w:ascii="楷体_GB2312" w:eastAsia="楷体_GB2312"/>
        </w:rPr>
        <w:t>（七）加强防灾减灾救灾科普宣教</w:t>
      </w:r>
    </w:p>
    <w:p>
      <w:pPr>
        <w:widowControl/>
        <w:tabs>
          <w:tab w:val="clear" w:pos="8296"/>
        </w:tabs>
        <w:wordWrap w:val="0"/>
        <w:ind w:firstLine="566" w:firstLineChars="177"/>
      </w:pPr>
      <w:r>
        <w:t>加强全市防灾减灾综合性宣传。利用新媒体、移动客户端等方式，开展知识宣讲、案例解说、技能培训、应急演练等宣传教育活动，提升公众防灾救灾意识和自救互救技能。</w:t>
      </w:r>
    </w:p>
    <w:p>
      <w:pPr>
        <w:widowControl/>
        <w:tabs>
          <w:tab w:val="clear" w:pos="8296"/>
        </w:tabs>
        <w:spacing w:line="240" w:lineRule="auto"/>
        <w:ind w:firstLine="640" w:firstLineChars="0"/>
        <w:jc w:val="left"/>
        <w:outlineLvl w:val="1"/>
        <w:rPr>
          <w:rFonts w:eastAsia="黑体"/>
          <w:kern w:val="0"/>
          <w:szCs w:val="32"/>
        </w:rPr>
      </w:pPr>
      <w:bookmarkStart w:id="87" w:name="_Toc173243518"/>
      <w:r>
        <w:rPr>
          <w:rFonts w:eastAsia="黑体"/>
          <w:kern w:val="0"/>
          <w:szCs w:val="32"/>
        </w:rPr>
        <w:t xml:space="preserve">第三节 </w:t>
      </w:r>
      <w:r>
        <w:rPr>
          <w:rFonts w:hint="eastAsia" w:eastAsia="黑体"/>
          <w:kern w:val="0"/>
          <w:szCs w:val="32"/>
        </w:rPr>
        <w:t>加强地质灾害防范治理</w:t>
      </w:r>
      <w:bookmarkEnd w:id="87"/>
    </w:p>
    <w:p>
      <w:pPr>
        <w:widowControl/>
        <w:tabs>
          <w:tab w:val="clear" w:pos="8296"/>
        </w:tabs>
        <w:kinsoku w:val="0"/>
        <w:autoSpaceDE w:val="0"/>
        <w:autoSpaceDN w:val="0"/>
        <w:adjustRightInd w:val="0"/>
        <w:snapToGrid w:val="0"/>
        <w:ind w:firstLine="641" w:firstLineChars="0"/>
        <w:textAlignment w:val="baseline"/>
        <w:outlineLvl w:val="2"/>
        <w:rPr>
          <w:rFonts w:eastAsia="楷体_GB2312"/>
          <w:color w:val="000000"/>
          <w:spacing w:val="5"/>
          <w:kern w:val="0"/>
          <w:szCs w:val="32"/>
        </w:rPr>
      </w:pPr>
      <w:r>
        <w:rPr>
          <w:rFonts w:hint="eastAsia" w:eastAsia="楷体_GB2312"/>
          <w:color w:val="000000"/>
          <w:spacing w:val="5"/>
          <w:kern w:val="0"/>
          <w:szCs w:val="32"/>
        </w:rPr>
        <w:t>（一）开展</w:t>
      </w:r>
      <w:r>
        <w:rPr>
          <w:rFonts w:eastAsia="楷体_GB2312"/>
          <w:color w:val="000000"/>
          <w:spacing w:val="5"/>
          <w:kern w:val="0"/>
          <w:szCs w:val="32"/>
        </w:rPr>
        <w:t>地质灾害隐患风险综合治理</w:t>
      </w:r>
    </w:p>
    <w:p>
      <w:pPr>
        <w:widowControl/>
        <w:tabs>
          <w:tab w:val="clear" w:pos="8296"/>
        </w:tabs>
        <w:kinsoku w:val="0"/>
        <w:autoSpaceDE w:val="0"/>
        <w:autoSpaceDN w:val="0"/>
        <w:adjustRightInd w:val="0"/>
        <w:snapToGrid w:val="0"/>
        <w:ind w:firstLine="641" w:firstLineChars="0"/>
        <w:textAlignment w:val="baseline"/>
      </w:pPr>
      <w:r>
        <w:rPr>
          <w:rFonts w:hint="eastAsia"/>
        </w:rPr>
        <w:t>开展专项灾害详细调查与风险评估。完善智能化专业监测网络，建设地质灾害防控体系，</w:t>
      </w:r>
      <w:r>
        <w:rPr>
          <w:color w:val="000000"/>
          <w:spacing w:val="4"/>
          <w:kern w:val="0"/>
          <w:szCs w:val="32"/>
        </w:rPr>
        <w:t>全面提升地质灾害综合防治能力</w:t>
      </w:r>
      <w:r>
        <w:rPr>
          <w:color w:val="000000"/>
          <w:spacing w:val="8"/>
          <w:kern w:val="0"/>
          <w:szCs w:val="32"/>
        </w:rPr>
        <w:t>。</w:t>
      </w:r>
    </w:p>
    <w:p>
      <w:pPr>
        <w:widowControl/>
        <w:tabs>
          <w:tab w:val="clear" w:pos="8296"/>
        </w:tabs>
        <w:kinsoku w:val="0"/>
        <w:autoSpaceDE w:val="0"/>
        <w:autoSpaceDN w:val="0"/>
        <w:adjustRightInd w:val="0"/>
        <w:snapToGrid w:val="0"/>
        <w:ind w:firstLine="629" w:firstLineChars="0"/>
        <w:textAlignment w:val="baseline"/>
        <w:outlineLvl w:val="2"/>
        <w:rPr>
          <w:rFonts w:eastAsia="楷体_GB2312"/>
          <w:spacing w:val="5"/>
          <w:kern w:val="0"/>
          <w:szCs w:val="32"/>
        </w:rPr>
      </w:pPr>
      <w:r>
        <w:rPr>
          <w:rFonts w:hint="eastAsia" w:eastAsia="楷体_GB2312"/>
          <w:spacing w:val="5"/>
          <w:kern w:val="0"/>
          <w:szCs w:val="32"/>
        </w:rPr>
        <w:t>（二）</w:t>
      </w:r>
      <w:r>
        <w:rPr>
          <w:rFonts w:eastAsia="楷体_GB2312"/>
          <w:spacing w:val="5"/>
          <w:kern w:val="0"/>
          <w:szCs w:val="32"/>
        </w:rPr>
        <w:t>推进</w:t>
      </w:r>
      <w:r>
        <w:rPr>
          <w:rFonts w:hint="eastAsia" w:eastAsia="楷体_GB2312"/>
          <w:spacing w:val="5"/>
          <w:kern w:val="0"/>
          <w:szCs w:val="32"/>
        </w:rPr>
        <w:t>中高风险</w:t>
      </w:r>
      <w:r>
        <w:rPr>
          <w:rFonts w:eastAsia="楷体_GB2312"/>
          <w:spacing w:val="5"/>
          <w:kern w:val="0"/>
          <w:szCs w:val="32"/>
        </w:rPr>
        <w:t>地质灾害隐患点</w:t>
      </w:r>
      <w:r>
        <w:rPr>
          <w:rFonts w:hint="eastAsia" w:eastAsia="楷体_GB2312"/>
          <w:spacing w:val="5"/>
          <w:kern w:val="0"/>
          <w:szCs w:val="32"/>
        </w:rPr>
        <w:t>治理</w:t>
      </w:r>
    </w:p>
    <w:p>
      <w:pPr>
        <w:widowControl/>
        <w:tabs>
          <w:tab w:val="clear" w:pos="8296"/>
        </w:tabs>
        <w:kinsoku w:val="0"/>
        <w:autoSpaceDE w:val="0"/>
        <w:autoSpaceDN w:val="0"/>
        <w:adjustRightInd w:val="0"/>
        <w:snapToGrid w:val="0"/>
        <w:ind w:firstLine="629" w:firstLineChars="0"/>
        <w:textAlignment w:val="baseline"/>
        <w:rPr>
          <w:kern w:val="0"/>
          <w:szCs w:val="32"/>
        </w:rPr>
      </w:pPr>
      <w:r>
        <w:rPr>
          <w:spacing w:val="5"/>
          <w:kern w:val="0"/>
          <w:szCs w:val="32"/>
        </w:rPr>
        <w:t>房屋损毁不能原址重建的群众</w:t>
      </w:r>
      <w:r>
        <w:rPr>
          <w:spacing w:val="3"/>
          <w:kern w:val="0"/>
          <w:szCs w:val="32"/>
        </w:rPr>
        <w:t>实施搬迁避让，</w:t>
      </w:r>
      <w:r>
        <w:rPr>
          <w:spacing w:val="5"/>
          <w:kern w:val="0"/>
          <w:szCs w:val="32"/>
        </w:rPr>
        <w:t>实施削坡建房地质灾害风险点综合治理，对已发现受</w:t>
      </w:r>
      <w:r>
        <w:rPr>
          <w:spacing w:val="7"/>
          <w:kern w:val="0"/>
          <w:szCs w:val="32"/>
        </w:rPr>
        <w:t>地质灾害隐患威胁</w:t>
      </w:r>
      <w:r>
        <w:rPr>
          <w:rFonts w:hint="eastAsia"/>
          <w:spacing w:val="7"/>
          <w:kern w:val="0"/>
          <w:szCs w:val="32"/>
        </w:rPr>
        <w:t>的住</w:t>
      </w:r>
      <w:r>
        <w:rPr>
          <w:spacing w:val="7"/>
          <w:kern w:val="0"/>
          <w:szCs w:val="32"/>
        </w:rPr>
        <w:t>户，在尊重群众意愿的基础</w:t>
      </w:r>
      <w:r>
        <w:rPr>
          <w:spacing w:val="5"/>
          <w:kern w:val="0"/>
          <w:szCs w:val="32"/>
        </w:rPr>
        <w:t>上优先实施易地避险搬迁安置，暂不能实施避险搬迁的实施工程</w:t>
      </w:r>
      <w:r>
        <w:rPr>
          <w:spacing w:val="9"/>
          <w:kern w:val="0"/>
          <w:szCs w:val="32"/>
        </w:rPr>
        <w:t>治理、专业监测等综合治理方</w:t>
      </w:r>
      <w:r>
        <w:rPr>
          <w:spacing w:val="8"/>
          <w:kern w:val="0"/>
          <w:szCs w:val="32"/>
        </w:rPr>
        <w:t>式。</w:t>
      </w:r>
    </w:p>
    <w:p>
      <w:pPr>
        <w:widowControl/>
        <w:tabs>
          <w:tab w:val="clear" w:pos="8296"/>
        </w:tabs>
        <w:kinsoku w:val="0"/>
        <w:autoSpaceDE w:val="0"/>
        <w:autoSpaceDN w:val="0"/>
        <w:adjustRightInd w:val="0"/>
        <w:snapToGrid w:val="0"/>
        <w:ind w:right="198" w:firstLine="669" w:firstLineChars="0"/>
        <w:textAlignment w:val="baseline"/>
        <w:outlineLvl w:val="2"/>
        <w:rPr>
          <w:rFonts w:eastAsia="楷体_GB2312"/>
          <w:color w:val="000000"/>
          <w:spacing w:val="5"/>
          <w:kern w:val="0"/>
          <w:szCs w:val="32"/>
        </w:rPr>
      </w:pPr>
      <w:r>
        <w:rPr>
          <w:rFonts w:hint="eastAsia" w:eastAsia="楷体_GB2312"/>
          <w:color w:val="000000"/>
          <w:spacing w:val="6"/>
          <w:kern w:val="0"/>
          <w:szCs w:val="32"/>
        </w:rPr>
        <w:t>（三）</w:t>
      </w:r>
      <w:r>
        <w:rPr>
          <w:rFonts w:hint="eastAsia" w:eastAsia="楷体_GB2312"/>
          <w:color w:val="000000"/>
          <w:spacing w:val="5"/>
          <w:kern w:val="0"/>
          <w:szCs w:val="32"/>
        </w:rPr>
        <w:t>实施低风险地区</w:t>
      </w:r>
      <w:r>
        <w:rPr>
          <w:rFonts w:eastAsia="楷体_GB2312"/>
          <w:color w:val="000000"/>
          <w:spacing w:val="6"/>
          <w:kern w:val="0"/>
          <w:szCs w:val="32"/>
        </w:rPr>
        <w:t>地质灾害隐患点工程治理</w:t>
      </w:r>
    </w:p>
    <w:p>
      <w:pPr>
        <w:widowControl/>
        <w:tabs>
          <w:tab w:val="clear" w:pos="8296"/>
        </w:tabs>
        <w:kinsoku w:val="0"/>
        <w:autoSpaceDE w:val="0"/>
        <w:autoSpaceDN w:val="0"/>
        <w:adjustRightInd w:val="0"/>
        <w:snapToGrid w:val="0"/>
        <w:ind w:right="198" w:firstLine="669" w:firstLineChars="0"/>
        <w:textAlignment w:val="baseline"/>
        <w:rPr>
          <w:color w:val="000000"/>
          <w:kern w:val="0"/>
          <w:szCs w:val="32"/>
        </w:rPr>
      </w:pPr>
      <w:r>
        <w:rPr>
          <w:color w:val="000000"/>
          <w:spacing w:val="5"/>
          <w:kern w:val="0"/>
          <w:szCs w:val="32"/>
        </w:rPr>
        <w:t>按照轻重缓急对威</w:t>
      </w:r>
      <w:r>
        <w:rPr>
          <w:color w:val="000000"/>
          <w:spacing w:val="6"/>
          <w:kern w:val="0"/>
          <w:szCs w:val="32"/>
        </w:rPr>
        <w:t>胁县城、</w:t>
      </w:r>
      <w:r>
        <w:rPr>
          <w:color w:val="000000"/>
          <w:spacing w:val="5"/>
          <w:kern w:val="0"/>
          <w:szCs w:val="32"/>
        </w:rPr>
        <w:t>集镇、学校、聚居点等人口相对密集区，且难以实施搬迁避让的地质灾害隐患点进行工程治理</w:t>
      </w:r>
      <w:r>
        <w:rPr>
          <w:rFonts w:hint="eastAsia"/>
          <w:color w:val="000000"/>
          <w:spacing w:val="5"/>
          <w:kern w:val="0"/>
          <w:szCs w:val="32"/>
        </w:rPr>
        <w:t>和边坡稳定性监测</w:t>
      </w:r>
      <w:r>
        <w:rPr>
          <w:color w:val="000000"/>
          <w:spacing w:val="8"/>
          <w:kern w:val="0"/>
          <w:szCs w:val="32"/>
        </w:rPr>
        <w:t>。</w:t>
      </w:r>
    </w:p>
    <w:p>
      <w:pPr>
        <w:widowControl/>
        <w:tabs>
          <w:tab w:val="clear" w:pos="8296"/>
        </w:tabs>
        <w:kinsoku w:val="0"/>
        <w:autoSpaceDE w:val="0"/>
        <w:autoSpaceDN w:val="0"/>
        <w:adjustRightInd w:val="0"/>
        <w:snapToGrid w:val="0"/>
        <w:ind w:firstLine="652"/>
        <w:textAlignment w:val="baseline"/>
        <w:outlineLvl w:val="2"/>
        <w:rPr>
          <w:rFonts w:eastAsia="楷体_GB2312"/>
          <w:color w:val="000000"/>
          <w:spacing w:val="3"/>
          <w:kern w:val="0"/>
          <w:szCs w:val="32"/>
        </w:rPr>
      </w:pPr>
      <w:r>
        <w:rPr>
          <w:rFonts w:hint="eastAsia" w:eastAsia="楷体_GB2312"/>
          <w:color w:val="000000"/>
          <w:spacing w:val="3"/>
          <w:kern w:val="0"/>
          <w:szCs w:val="32"/>
        </w:rPr>
        <w:t>（四）加强地质灾害综合管控</w:t>
      </w:r>
    </w:p>
    <w:p>
      <w:pPr>
        <w:widowControl/>
        <w:tabs>
          <w:tab w:val="clear" w:pos="8296"/>
        </w:tabs>
        <w:kinsoku w:val="0"/>
        <w:autoSpaceDE w:val="0"/>
        <w:autoSpaceDN w:val="0"/>
        <w:adjustRightInd w:val="0"/>
        <w:snapToGrid w:val="0"/>
        <w:ind w:firstLine="640"/>
        <w:textAlignment w:val="baseline"/>
      </w:pPr>
      <w:r>
        <w:rPr>
          <w:rFonts w:hint="eastAsia"/>
        </w:rPr>
        <w:t>加大重点地区国土空间规划管控力度，合理布局生产、生活、生态空间，规范削坡建房、城市开发等活动，从源头控制或降低地质灾害风险，增强抵御区域地质灾害韧性。</w:t>
      </w:r>
    </w:p>
    <w:p>
      <w:pPr>
        <w:ind w:firstLine="652"/>
        <w:outlineLvl w:val="2"/>
        <w:rPr>
          <w:rFonts w:eastAsia="楷体_GB2312"/>
          <w:color w:val="000000"/>
          <w:spacing w:val="3"/>
          <w:kern w:val="0"/>
          <w:szCs w:val="32"/>
        </w:rPr>
      </w:pPr>
      <w:r>
        <w:rPr>
          <w:rFonts w:hint="eastAsia" w:eastAsia="楷体_GB2312"/>
          <w:color w:val="000000"/>
          <w:spacing w:val="3"/>
          <w:kern w:val="0"/>
          <w:szCs w:val="32"/>
        </w:rPr>
        <w:t>（五）提升基层地质灾害防范能力</w:t>
      </w:r>
    </w:p>
    <w:p>
      <w:pPr>
        <w:ind w:firstLine="640"/>
      </w:pPr>
      <w:r>
        <w:rPr>
          <w:rFonts w:hint="eastAsia"/>
        </w:rPr>
        <w:t>加强地质灾害应急调查队伍建设，充分利用广播、电视、网络、移动互联网等媒体，在全市开展地质灾害防治宣传教育和公益活动，向公众普及逃生避险基本技能，加强地质灾害应急演练，提升自救互救能力。</w:t>
      </w:r>
    </w:p>
    <w:p>
      <w:pPr>
        <w:widowControl/>
        <w:tabs>
          <w:tab w:val="clear" w:pos="8296"/>
        </w:tabs>
        <w:ind w:firstLine="640"/>
        <w:jc w:val="left"/>
        <w:outlineLvl w:val="1"/>
        <w:rPr>
          <w:rFonts w:eastAsia="黑体"/>
          <w:kern w:val="0"/>
          <w:szCs w:val="32"/>
        </w:rPr>
      </w:pPr>
      <w:bookmarkStart w:id="88" w:name="_Toc173243519"/>
      <w:r>
        <w:rPr>
          <w:rFonts w:eastAsia="黑体"/>
          <w:kern w:val="0"/>
          <w:szCs w:val="32"/>
        </w:rPr>
        <w:t>第四节 提升防洪排涝</w:t>
      </w:r>
      <w:r>
        <w:rPr>
          <w:rFonts w:hint="eastAsia" w:eastAsia="黑体"/>
          <w:kern w:val="0"/>
          <w:szCs w:val="32"/>
        </w:rPr>
        <w:t>能力</w:t>
      </w:r>
      <w:bookmarkEnd w:id="88"/>
    </w:p>
    <w:p>
      <w:pPr>
        <w:widowControl/>
        <w:tabs>
          <w:tab w:val="clear" w:pos="8296"/>
        </w:tabs>
        <w:kinsoku w:val="0"/>
        <w:autoSpaceDE w:val="0"/>
        <w:autoSpaceDN w:val="0"/>
        <w:adjustRightInd w:val="0"/>
        <w:snapToGrid w:val="0"/>
        <w:ind w:firstLine="648"/>
        <w:textAlignment w:val="baseline"/>
        <w:outlineLvl w:val="2"/>
        <w:rPr>
          <w:rFonts w:eastAsia="楷体_GB2312"/>
          <w:color w:val="000000"/>
          <w:spacing w:val="2"/>
          <w:kern w:val="0"/>
          <w:szCs w:val="32"/>
        </w:rPr>
      </w:pPr>
      <w:r>
        <w:rPr>
          <w:rFonts w:hint="eastAsia" w:eastAsia="楷体_GB2312"/>
          <w:color w:val="000000"/>
          <w:spacing w:val="2"/>
          <w:kern w:val="0"/>
          <w:szCs w:val="32"/>
        </w:rPr>
        <w:t>（一）</w:t>
      </w:r>
      <w:r>
        <w:rPr>
          <w:rFonts w:eastAsia="楷体_GB2312"/>
          <w:color w:val="000000"/>
          <w:spacing w:val="2"/>
          <w:kern w:val="0"/>
          <w:szCs w:val="32"/>
        </w:rPr>
        <w:t>加强山洪沟综合治理</w:t>
      </w:r>
    </w:p>
    <w:p>
      <w:pPr>
        <w:widowControl/>
        <w:tabs>
          <w:tab w:val="clear" w:pos="8296"/>
        </w:tabs>
        <w:kinsoku w:val="0"/>
        <w:autoSpaceDE w:val="0"/>
        <w:autoSpaceDN w:val="0"/>
        <w:adjustRightInd w:val="0"/>
        <w:snapToGrid w:val="0"/>
        <w:ind w:firstLine="660"/>
        <w:textAlignment w:val="baseline"/>
        <w:rPr>
          <w:rFonts w:eastAsia="楷体_GB2312"/>
          <w:color w:val="000000"/>
          <w:spacing w:val="5"/>
          <w:kern w:val="0"/>
          <w:szCs w:val="32"/>
        </w:rPr>
      </w:pPr>
      <w:r>
        <w:rPr>
          <w:color w:val="000000"/>
          <w:spacing w:val="5"/>
          <w:kern w:val="0"/>
          <w:szCs w:val="32"/>
        </w:rPr>
        <w:t>按照确有需要、突出重点、因地制宜的原则，采取</w:t>
      </w:r>
      <w:r>
        <w:rPr>
          <w:color w:val="000000"/>
          <w:spacing w:val="-2"/>
          <w:kern w:val="0"/>
          <w:szCs w:val="32"/>
        </w:rPr>
        <w:t>护岸工</w:t>
      </w:r>
      <w:r>
        <w:rPr>
          <w:color w:val="000000"/>
          <w:spacing w:val="-3"/>
          <w:kern w:val="0"/>
          <w:szCs w:val="32"/>
        </w:rPr>
        <w:t>程、堤防工程、</w:t>
      </w:r>
      <w:r>
        <w:rPr>
          <w:color w:val="000000"/>
          <w:spacing w:val="5"/>
          <w:kern w:val="0"/>
          <w:szCs w:val="32"/>
        </w:rPr>
        <w:t>排导工程、清淤等</w:t>
      </w:r>
      <w:r>
        <w:rPr>
          <w:rFonts w:hint="eastAsia"/>
          <w:color w:val="000000"/>
          <w:spacing w:val="5"/>
          <w:kern w:val="0"/>
          <w:szCs w:val="32"/>
        </w:rPr>
        <w:t>治理措施推进山洪沟治理</w:t>
      </w:r>
      <w:r>
        <w:rPr>
          <w:color w:val="000000"/>
          <w:spacing w:val="5"/>
          <w:kern w:val="0"/>
          <w:szCs w:val="32"/>
        </w:rPr>
        <w:t>，提高防护对象的防洪抗冲能力。</w:t>
      </w:r>
    </w:p>
    <w:p>
      <w:pPr>
        <w:widowControl/>
        <w:tabs>
          <w:tab w:val="clear" w:pos="8296"/>
        </w:tabs>
        <w:kinsoku w:val="0"/>
        <w:autoSpaceDE w:val="0"/>
        <w:autoSpaceDN w:val="0"/>
        <w:adjustRightInd w:val="0"/>
        <w:snapToGrid w:val="0"/>
        <w:ind w:firstLine="660"/>
        <w:textAlignment w:val="baseline"/>
        <w:outlineLvl w:val="2"/>
        <w:rPr>
          <w:rFonts w:eastAsia="楷体_GB2312"/>
          <w:color w:val="000000"/>
          <w:spacing w:val="5"/>
          <w:kern w:val="0"/>
          <w:szCs w:val="32"/>
        </w:rPr>
      </w:pPr>
      <w:r>
        <w:rPr>
          <w:rFonts w:hint="eastAsia" w:eastAsia="楷体_GB2312"/>
          <w:color w:val="000000"/>
          <w:spacing w:val="5"/>
          <w:kern w:val="0"/>
          <w:szCs w:val="32"/>
        </w:rPr>
        <w:t>（二）</w:t>
      </w:r>
      <w:r>
        <w:rPr>
          <w:rFonts w:eastAsia="楷体_GB2312"/>
          <w:color w:val="000000"/>
          <w:spacing w:val="5"/>
          <w:kern w:val="0"/>
          <w:szCs w:val="32"/>
        </w:rPr>
        <w:t>病险水库水闸山塘除险加固</w:t>
      </w:r>
    </w:p>
    <w:p>
      <w:pPr>
        <w:widowControl/>
        <w:tabs>
          <w:tab w:val="clear" w:pos="8296"/>
        </w:tabs>
        <w:kinsoku w:val="0"/>
        <w:autoSpaceDE w:val="0"/>
        <w:autoSpaceDN w:val="0"/>
        <w:adjustRightInd w:val="0"/>
        <w:snapToGrid w:val="0"/>
        <w:ind w:firstLine="668"/>
        <w:textAlignment w:val="baseline"/>
        <w:rPr>
          <w:color w:val="000000"/>
          <w:kern w:val="0"/>
          <w:szCs w:val="32"/>
        </w:rPr>
      </w:pPr>
      <w:r>
        <w:rPr>
          <w:color w:val="000000"/>
          <w:spacing w:val="7"/>
          <w:kern w:val="0"/>
          <w:szCs w:val="32"/>
        </w:rPr>
        <w:t>实施小型水库除险加固建设，全面完成现有病险水库</w:t>
      </w:r>
      <w:r>
        <w:rPr>
          <w:color w:val="000000"/>
          <w:spacing w:val="-6"/>
          <w:kern w:val="0"/>
          <w:szCs w:val="32"/>
        </w:rPr>
        <w:t>除险加固任务，推进病险水闸除险加固，建立健全水库（水</w:t>
      </w:r>
      <w:r>
        <w:rPr>
          <w:color w:val="000000"/>
          <w:spacing w:val="5"/>
          <w:kern w:val="0"/>
          <w:szCs w:val="32"/>
        </w:rPr>
        <w:t>闸）常态化除险加固和运行管护机制。</w:t>
      </w:r>
    </w:p>
    <w:p>
      <w:pPr>
        <w:widowControl/>
        <w:tabs>
          <w:tab w:val="clear" w:pos="8296"/>
        </w:tabs>
        <w:kinsoku w:val="0"/>
        <w:autoSpaceDE w:val="0"/>
        <w:autoSpaceDN w:val="0"/>
        <w:adjustRightInd w:val="0"/>
        <w:snapToGrid w:val="0"/>
        <w:ind w:firstLine="660"/>
        <w:textAlignment w:val="baseline"/>
        <w:outlineLvl w:val="2"/>
        <w:rPr>
          <w:rFonts w:eastAsia="楷体_GB2312"/>
          <w:color w:val="000000"/>
          <w:spacing w:val="5"/>
          <w:kern w:val="0"/>
          <w:szCs w:val="32"/>
        </w:rPr>
      </w:pPr>
      <w:r>
        <w:rPr>
          <w:rFonts w:hint="eastAsia" w:eastAsia="楷体_GB2312"/>
          <w:color w:val="000000"/>
          <w:spacing w:val="5"/>
          <w:kern w:val="0"/>
          <w:szCs w:val="32"/>
        </w:rPr>
        <w:t>（三）</w:t>
      </w:r>
      <w:r>
        <w:rPr>
          <w:rFonts w:eastAsia="楷体_GB2312"/>
          <w:color w:val="000000"/>
          <w:spacing w:val="5"/>
          <w:kern w:val="0"/>
          <w:szCs w:val="32"/>
        </w:rPr>
        <w:t>提升城市排涝能力</w:t>
      </w:r>
    </w:p>
    <w:p>
      <w:pPr>
        <w:widowControl/>
        <w:tabs>
          <w:tab w:val="clear" w:pos="8296"/>
        </w:tabs>
        <w:kinsoku w:val="0"/>
        <w:autoSpaceDE w:val="0"/>
        <w:autoSpaceDN w:val="0"/>
        <w:adjustRightInd w:val="0"/>
        <w:snapToGrid w:val="0"/>
        <w:ind w:firstLine="624"/>
        <w:textAlignment w:val="baseline"/>
        <w:rPr>
          <w:color w:val="000000"/>
          <w:spacing w:val="6"/>
          <w:kern w:val="0"/>
          <w:szCs w:val="32"/>
        </w:rPr>
      </w:pPr>
      <w:r>
        <w:rPr>
          <w:color w:val="000000"/>
          <w:spacing w:val="-4"/>
          <w:kern w:val="0"/>
          <w:szCs w:val="32"/>
        </w:rPr>
        <w:t>完善城市排水防涝工程体系，加快海绵城市建设，通过</w:t>
      </w:r>
      <w:r>
        <w:rPr>
          <w:color w:val="000000"/>
          <w:spacing w:val="5"/>
          <w:kern w:val="0"/>
          <w:szCs w:val="32"/>
        </w:rPr>
        <w:t>雨水系统综合规划，构建布局合理、安全可靠、智</w:t>
      </w:r>
      <w:r>
        <w:rPr>
          <w:color w:val="000000"/>
          <w:spacing w:val="-2"/>
          <w:kern w:val="0"/>
          <w:szCs w:val="32"/>
        </w:rPr>
        <w:t>慧高效的高标准排水防涝体系。</w:t>
      </w:r>
      <w:r>
        <w:rPr>
          <w:color w:val="000000"/>
          <w:spacing w:val="5"/>
          <w:kern w:val="0"/>
          <w:szCs w:val="32"/>
        </w:rPr>
        <w:t>加强涝区排涝预警调度系统和应急管理能力建设，整体提升涝区涝</w:t>
      </w:r>
      <w:r>
        <w:rPr>
          <w:color w:val="000000"/>
          <w:spacing w:val="6"/>
          <w:kern w:val="0"/>
          <w:szCs w:val="32"/>
        </w:rPr>
        <w:t>水外排能力。</w:t>
      </w:r>
    </w:p>
    <w:p>
      <w:pPr>
        <w:pStyle w:val="2"/>
        <w:ind w:firstLine="640"/>
      </w:pPr>
    </w:p>
    <w:p>
      <w:pPr>
        <w:pStyle w:val="3"/>
      </w:pPr>
    </w:p>
    <w:p>
      <w:pPr>
        <w:pStyle w:val="2"/>
        <w:ind w:firstLine="0" w:firstLineChars="0"/>
        <w:jc w:val="center"/>
        <w:outlineLvl w:val="0"/>
        <w:rPr>
          <w:rFonts w:eastAsia="方正小标宋简体"/>
          <w:sz w:val="36"/>
          <w:szCs w:val="36"/>
        </w:rPr>
      </w:pPr>
      <w:bookmarkStart w:id="89" w:name="_Toc171527666"/>
      <w:bookmarkStart w:id="90" w:name="_Toc171525843"/>
      <w:bookmarkStart w:id="91" w:name="_Toc173243520"/>
      <w:r>
        <w:rPr>
          <w:rFonts w:eastAsia="方正小标宋简体"/>
          <w:sz w:val="36"/>
          <w:szCs w:val="36"/>
        </w:rPr>
        <w:t>第</w:t>
      </w:r>
      <w:r>
        <w:rPr>
          <w:rFonts w:hint="eastAsia" w:eastAsia="方正小标宋简体"/>
          <w:sz w:val="36"/>
          <w:szCs w:val="36"/>
        </w:rPr>
        <w:t>八</w:t>
      </w:r>
      <w:r>
        <w:rPr>
          <w:rFonts w:eastAsia="方正小标宋简体"/>
          <w:sz w:val="36"/>
          <w:szCs w:val="36"/>
        </w:rPr>
        <w:t>章  保障措施</w:t>
      </w:r>
      <w:bookmarkEnd w:id="89"/>
      <w:bookmarkEnd w:id="90"/>
      <w:bookmarkEnd w:id="91"/>
    </w:p>
    <w:p>
      <w:pPr>
        <w:ind w:firstLine="640"/>
        <w:outlineLvl w:val="1"/>
        <w:rPr>
          <w:rFonts w:eastAsia="黑体"/>
        </w:rPr>
      </w:pPr>
      <w:bookmarkStart w:id="92" w:name="_Toc173243521"/>
      <w:bookmarkStart w:id="93" w:name="_Toc171525844"/>
      <w:bookmarkStart w:id="94" w:name="_Toc171527667"/>
      <w:r>
        <w:rPr>
          <w:rFonts w:eastAsia="黑体"/>
        </w:rPr>
        <w:t>第一节 加强组织领导</w:t>
      </w:r>
      <w:bookmarkEnd w:id="92"/>
      <w:bookmarkEnd w:id="93"/>
      <w:bookmarkEnd w:id="94"/>
    </w:p>
    <w:p>
      <w:pPr>
        <w:pStyle w:val="2"/>
        <w:spacing w:after="0"/>
        <w:ind w:firstLine="640"/>
      </w:pPr>
      <w:r>
        <w:t>坚持党的</w:t>
      </w:r>
      <w:r>
        <w:rPr>
          <w:rFonts w:hint="eastAsia"/>
          <w:lang w:eastAsia="zh-CN"/>
        </w:rPr>
        <w:t>全面</w:t>
      </w:r>
      <w:r>
        <w:t>领导，充分发挥党总揽全局、协调各方的核心地位，把党的领导始终贯穿于灾后恢复重建提升防灾减灾能力建设的全过程。</w:t>
      </w:r>
    </w:p>
    <w:p>
      <w:pPr>
        <w:ind w:firstLine="640"/>
        <w:outlineLvl w:val="1"/>
        <w:rPr>
          <w:rFonts w:eastAsia="黑体"/>
        </w:rPr>
      </w:pPr>
      <w:bookmarkStart w:id="95" w:name="_Toc171527669"/>
      <w:bookmarkStart w:id="96" w:name="_Toc173243522"/>
      <w:r>
        <w:rPr>
          <w:rFonts w:eastAsia="黑体"/>
        </w:rPr>
        <w:t>第二节 完善各类政策保障</w:t>
      </w:r>
      <w:bookmarkEnd w:id="95"/>
      <w:bookmarkEnd w:id="96"/>
    </w:p>
    <w:p>
      <w:pPr>
        <w:ind w:firstLine="640"/>
      </w:pPr>
      <w:r>
        <w:rPr>
          <w:rFonts w:eastAsia="楷体_GB2312"/>
        </w:rPr>
        <w:t>加大资金保障。</w:t>
      </w:r>
      <w:r>
        <w:t>加大对灾后恢复重建配套资金支持，切实履行灾后恢复重建，用好各渠道资金，加强资金监管，严格成本管控，提高资金使用效益。</w:t>
      </w:r>
    </w:p>
    <w:p>
      <w:pPr>
        <w:ind w:firstLine="640"/>
      </w:pPr>
      <w:r>
        <w:rPr>
          <w:rFonts w:eastAsia="楷体_GB2312"/>
        </w:rPr>
        <w:t>加大金融支持。</w:t>
      </w:r>
      <w:r>
        <w:t>加大银行保险机构对符合条件的灾后恢复重建项目贷款和融资支持力度，提升对灾区企业和群众的金融服务水平。</w:t>
      </w:r>
    </w:p>
    <w:p>
      <w:pPr>
        <w:pStyle w:val="2"/>
        <w:spacing w:after="0"/>
        <w:ind w:firstLine="640"/>
      </w:pPr>
      <w:r>
        <w:rPr>
          <w:rFonts w:eastAsia="楷体_GB2312"/>
        </w:rPr>
        <w:t>强化空间保障。</w:t>
      </w:r>
      <w:r>
        <w:t>依法开展国土空间规划优化维护，结合灾情调查评估，统筹生态环境、水利、应急等各类专项规划，推动灾后恢复重建项目建设。</w:t>
      </w:r>
    </w:p>
    <w:p>
      <w:pPr>
        <w:ind w:firstLine="640"/>
        <w:outlineLvl w:val="1"/>
        <w:rPr>
          <w:rFonts w:eastAsia="黑体"/>
        </w:rPr>
      </w:pPr>
      <w:bookmarkStart w:id="97" w:name="_Toc171527670"/>
      <w:bookmarkStart w:id="98" w:name="_Toc173243523"/>
      <w:r>
        <w:rPr>
          <w:rFonts w:eastAsia="黑体"/>
        </w:rPr>
        <w:t>第三节 强化实施和监督</w:t>
      </w:r>
      <w:bookmarkEnd w:id="97"/>
      <w:r>
        <w:rPr>
          <w:rFonts w:eastAsia="黑体"/>
        </w:rPr>
        <w:t>评估</w:t>
      </w:r>
      <w:bookmarkEnd w:id="98"/>
    </w:p>
    <w:p>
      <w:pPr>
        <w:pStyle w:val="2"/>
        <w:spacing w:after="0"/>
        <w:ind w:firstLine="640"/>
      </w:pPr>
      <w:r>
        <w:t>认真履行项目管理程序，严格执行项目法人责任制、招标投标制、合同管理制、工程监理制和竣工验收制。</w:t>
      </w:r>
    </w:p>
    <w:bookmarkEnd w:id="19"/>
    <w:p>
      <w:pPr>
        <w:pStyle w:val="2"/>
        <w:spacing w:after="0"/>
        <w:ind w:firstLine="640"/>
      </w:pPr>
    </w:p>
    <w:sectPr>
      <w:footerReference r:id="rId13"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0000000000000000000"/>
    <w:charset w:val="86"/>
    <w:family w:val="swiss"/>
    <w:pitch w:val="default"/>
    <w:sig w:usb0="00000000" w:usb1="0000000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949915"/>
    </w:sdtPr>
    <w:sdtContent>
      <w:p>
        <w:pPr>
          <w:pStyle w:val="23"/>
          <w:ind w:firstLine="360"/>
          <w:jc w:val="center"/>
        </w:pPr>
        <w:r>
          <w:fldChar w:fldCharType="begin"/>
        </w:r>
        <w:r>
          <w:instrText xml:space="preserve">PAGE   \* MERGEFORMAT</w:instrText>
        </w:r>
        <w:r>
          <w:fldChar w:fldCharType="separate"/>
        </w:r>
        <w:r>
          <w:rPr>
            <w:lang w:val="zh-CN"/>
          </w:rPr>
          <w:t>I</w:t>
        </w:r>
        <w:r>
          <w:fldChar w:fldCharType="end"/>
        </w:r>
      </w:p>
    </w:sdtContent>
  </w:sdt>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041817"/>
    </w:sdtPr>
    <w:sdtContent>
      <w:p>
        <w:pPr>
          <w:pStyle w:val="23"/>
          <w:ind w:firstLine="360"/>
          <w:jc w:val="center"/>
        </w:pPr>
        <w:r>
          <w:fldChar w:fldCharType="begin"/>
        </w:r>
        <w:r>
          <w:instrText xml:space="preserve">PAGE   \* MERGEFORMAT</w:instrText>
        </w:r>
        <w:r>
          <w:fldChar w:fldCharType="separate"/>
        </w:r>
        <w:r>
          <w:rPr>
            <w:lang w:val="zh-CN"/>
          </w:rPr>
          <w:t>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240293"/>
    </w:sdtPr>
    <w:sdtContent>
      <w:p>
        <w:pPr>
          <w:pStyle w:val="23"/>
          <w:ind w:firstLine="360"/>
          <w:jc w:val="center"/>
        </w:pPr>
        <w:r>
          <w:fldChar w:fldCharType="begin"/>
        </w:r>
        <w:r>
          <w:instrText xml:space="preserve">PAGE   \* MERGEFORMAT</w:instrText>
        </w:r>
        <w:r>
          <w:fldChar w:fldCharType="separate"/>
        </w:r>
        <w:r>
          <w:rPr>
            <w:lang w:val="zh-CN"/>
          </w:rPr>
          <w:t>I</w:t>
        </w:r>
        <w:r>
          <w:fldChar w:fldCharType="end"/>
        </w:r>
      </w:p>
    </w:sdtContent>
  </w:sdt>
  <w:p>
    <w:pPr>
      <w:pStyle w:val="2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821322"/>
    </w:sdtPr>
    <w:sdtContent>
      <w:p>
        <w:pPr>
          <w:pStyle w:val="23"/>
          <w:ind w:firstLine="360"/>
          <w:jc w:val="center"/>
        </w:pPr>
        <w:r>
          <w:fldChar w:fldCharType="begin"/>
        </w:r>
        <w:r>
          <w:instrText xml:space="preserve">PAGE   \* MERGEFORMAT</w:instrText>
        </w:r>
        <w:r>
          <w:fldChar w:fldCharType="separate"/>
        </w:r>
        <w:r>
          <w:rPr>
            <w:lang w:val="zh-CN"/>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154"/>
        <w:tab w:val="clear" w:pos="8296"/>
      </w:tabs>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4CD1F"/>
    <w:multiLevelType w:val="multilevel"/>
    <w:tmpl w:val="D994CD1F"/>
    <w:lvl w:ilvl="0" w:tentative="0">
      <w:start w:val="1"/>
      <w:numFmt w:val="chineseCounting"/>
      <w:pStyle w:val="4"/>
      <w:suff w:val="nothing"/>
      <w:lvlText w:val="%1、"/>
      <w:lvlJc w:val="left"/>
      <w:pPr>
        <w:tabs>
          <w:tab w:val="left" w:pos="0"/>
        </w:tabs>
        <w:ind w:left="0" w:firstLine="0"/>
      </w:pPr>
      <w:rPr>
        <w:rFonts w:hint="eastAsia"/>
      </w:rPr>
    </w:lvl>
    <w:lvl w:ilvl="1" w:tentative="0">
      <w:start w:val="1"/>
      <w:numFmt w:val="chineseCounting"/>
      <w:pStyle w:val="5"/>
      <w:suff w:val="nothing"/>
      <w:lvlText w:val="（%2）"/>
      <w:lvlJc w:val="left"/>
      <w:pPr>
        <w:tabs>
          <w:tab w:val="left" w:pos="0"/>
        </w:tabs>
        <w:ind w:left="0" w:firstLine="0"/>
      </w:pPr>
      <w:rPr>
        <w:rFonts w:hint="eastAsia" w:ascii="仿宋_GB2312" w:hAnsi="仿宋_GB2312" w:eastAsia="楷体_GB2312" w:cs="楷体_GB2312"/>
      </w:rPr>
    </w:lvl>
    <w:lvl w:ilvl="2" w:tentative="0">
      <w:start w:val="1"/>
      <w:numFmt w:val="decimal"/>
      <w:pStyle w:val="6"/>
      <w:suff w:val="nothing"/>
      <w:lvlText w:val="%3．"/>
      <w:lvlJc w:val="left"/>
      <w:pPr>
        <w:ind w:left="0" w:firstLine="400"/>
      </w:pPr>
      <w:rPr>
        <w:rFonts w:hint="default" w:ascii="Times New Roman" w:hAnsi="Times New Roman" w:eastAsia="宋体" w:cs="宋体"/>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OWM3YjVhY2Q1NDcyNmQ3YjRmMDU2MTlhOWIxZTMifQ=="/>
  </w:docVars>
  <w:rsids>
    <w:rsidRoot w:val="00573B11"/>
    <w:rsid w:val="0000181A"/>
    <w:rsid w:val="0000208A"/>
    <w:rsid w:val="000054D7"/>
    <w:rsid w:val="0000589E"/>
    <w:rsid w:val="00005C0A"/>
    <w:rsid w:val="000064D0"/>
    <w:rsid w:val="00007BA7"/>
    <w:rsid w:val="00010AAC"/>
    <w:rsid w:val="00010D7F"/>
    <w:rsid w:val="00011D67"/>
    <w:rsid w:val="00012862"/>
    <w:rsid w:val="0001396D"/>
    <w:rsid w:val="00016BF0"/>
    <w:rsid w:val="0001779F"/>
    <w:rsid w:val="00020691"/>
    <w:rsid w:val="0002096C"/>
    <w:rsid w:val="00020D9D"/>
    <w:rsid w:val="00026561"/>
    <w:rsid w:val="00026F3B"/>
    <w:rsid w:val="0002708F"/>
    <w:rsid w:val="0003042E"/>
    <w:rsid w:val="000315C0"/>
    <w:rsid w:val="00031F27"/>
    <w:rsid w:val="00033417"/>
    <w:rsid w:val="00040EAA"/>
    <w:rsid w:val="00043F23"/>
    <w:rsid w:val="0004485E"/>
    <w:rsid w:val="0005036C"/>
    <w:rsid w:val="0005296B"/>
    <w:rsid w:val="0005373F"/>
    <w:rsid w:val="0005654E"/>
    <w:rsid w:val="00056877"/>
    <w:rsid w:val="00056BC8"/>
    <w:rsid w:val="0005722C"/>
    <w:rsid w:val="0005797F"/>
    <w:rsid w:val="00060860"/>
    <w:rsid w:val="00061BD9"/>
    <w:rsid w:val="00062BF0"/>
    <w:rsid w:val="0006317A"/>
    <w:rsid w:val="00063592"/>
    <w:rsid w:val="00064517"/>
    <w:rsid w:val="00066BB2"/>
    <w:rsid w:val="00066D80"/>
    <w:rsid w:val="00067BD3"/>
    <w:rsid w:val="00071AE0"/>
    <w:rsid w:val="0007316D"/>
    <w:rsid w:val="00073392"/>
    <w:rsid w:val="000755F4"/>
    <w:rsid w:val="00075D07"/>
    <w:rsid w:val="00076AB4"/>
    <w:rsid w:val="00077E7D"/>
    <w:rsid w:val="00080494"/>
    <w:rsid w:val="00083056"/>
    <w:rsid w:val="00084DDE"/>
    <w:rsid w:val="00084F0F"/>
    <w:rsid w:val="00085515"/>
    <w:rsid w:val="0008592C"/>
    <w:rsid w:val="00085ABB"/>
    <w:rsid w:val="00090EBA"/>
    <w:rsid w:val="0009420C"/>
    <w:rsid w:val="0009555C"/>
    <w:rsid w:val="000963B5"/>
    <w:rsid w:val="000A18FC"/>
    <w:rsid w:val="000A1DEC"/>
    <w:rsid w:val="000A3A43"/>
    <w:rsid w:val="000A7194"/>
    <w:rsid w:val="000B25C3"/>
    <w:rsid w:val="000B2652"/>
    <w:rsid w:val="000B29C0"/>
    <w:rsid w:val="000B2A85"/>
    <w:rsid w:val="000B4B67"/>
    <w:rsid w:val="000B5ABB"/>
    <w:rsid w:val="000B612C"/>
    <w:rsid w:val="000B6D28"/>
    <w:rsid w:val="000B751C"/>
    <w:rsid w:val="000C0B1F"/>
    <w:rsid w:val="000C2BEE"/>
    <w:rsid w:val="000C6C2F"/>
    <w:rsid w:val="000C732C"/>
    <w:rsid w:val="000D1C35"/>
    <w:rsid w:val="000D2758"/>
    <w:rsid w:val="000D36D3"/>
    <w:rsid w:val="000D5DC1"/>
    <w:rsid w:val="000E0065"/>
    <w:rsid w:val="000E101D"/>
    <w:rsid w:val="000E3645"/>
    <w:rsid w:val="000E36F5"/>
    <w:rsid w:val="000E544D"/>
    <w:rsid w:val="000E5956"/>
    <w:rsid w:val="000E6B24"/>
    <w:rsid w:val="000E7850"/>
    <w:rsid w:val="000E7AB9"/>
    <w:rsid w:val="000E7C23"/>
    <w:rsid w:val="000F08A2"/>
    <w:rsid w:val="000F11E8"/>
    <w:rsid w:val="000F1427"/>
    <w:rsid w:val="000F3DD9"/>
    <w:rsid w:val="000F502A"/>
    <w:rsid w:val="000F5439"/>
    <w:rsid w:val="000F559C"/>
    <w:rsid w:val="000F6BD9"/>
    <w:rsid w:val="000F7813"/>
    <w:rsid w:val="000F78AE"/>
    <w:rsid w:val="001035BD"/>
    <w:rsid w:val="001048DF"/>
    <w:rsid w:val="00107904"/>
    <w:rsid w:val="001079E9"/>
    <w:rsid w:val="00110256"/>
    <w:rsid w:val="001110A7"/>
    <w:rsid w:val="00114179"/>
    <w:rsid w:val="001176E4"/>
    <w:rsid w:val="00120030"/>
    <w:rsid w:val="0012078C"/>
    <w:rsid w:val="00120F0F"/>
    <w:rsid w:val="00121104"/>
    <w:rsid w:val="00123863"/>
    <w:rsid w:val="00125A7A"/>
    <w:rsid w:val="0012691B"/>
    <w:rsid w:val="001269B1"/>
    <w:rsid w:val="00131187"/>
    <w:rsid w:val="00132C8E"/>
    <w:rsid w:val="001368AF"/>
    <w:rsid w:val="001408E1"/>
    <w:rsid w:val="00141F36"/>
    <w:rsid w:val="001426D9"/>
    <w:rsid w:val="001428AB"/>
    <w:rsid w:val="00144629"/>
    <w:rsid w:val="00147CE3"/>
    <w:rsid w:val="00153431"/>
    <w:rsid w:val="0015388C"/>
    <w:rsid w:val="00155E2C"/>
    <w:rsid w:val="001566D8"/>
    <w:rsid w:val="00160CDA"/>
    <w:rsid w:val="00162220"/>
    <w:rsid w:val="00164970"/>
    <w:rsid w:val="00165B5D"/>
    <w:rsid w:val="001676A2"/>
    <w:rsid w:val="00167879"/>
    <w:rsid w:val="0017189E"/>
    <w:rsid w:val="00171F73"/>
    <w:rsid w:val="001726B2"/>
    <w:rsid w:val="00174ED4"/>
    <w:rsid w:val="00174F55"/>
    <w:rsid w:val="0017504E"/>
    <w:rsid w:val="0017522D"/>
    <w:rsid w:val="00180719"/>
    <w:rsid w:val="001815E7"/>
    <w:rsid w:val="00183E08"/>
    <w:rsid w:val="001846B8"/>
    <w:rsid w:val="0018613C"/>
    <w:rsid w:val="00186B06"/>
    <w:rsid w:val="00186C80"/>
    <w:rsid w:val="00191D32"/>
    <w:rsid w:val="00193EA2"/>
    <w:rsid w:val="001963CA"/>
    <w:rsid w:val="0019679F"/>
    <w:rsid w:val="001A2010"/>
    <w:rsid w:val="001A34A1"/>
    <w:rsid w:val="001A420F"/>
    <w:rsid w:val="001A7519"/>
    <w:rsid w:val="001A7749"/>
    <w:rsid w:val="001B00E7"/>
    <w:rsid w:val="001B0BDD"/>
    <w:rsid w:val="001B28D2"/>
    <w:rsid w:val="001B3258"/>
    <w:rsid w:val="001B3A7F"/>
    <w:rsid w:val="001B3CCB"/>
    <w:rsid w:val="001B3E2F"/>
    <w:rsid w:val="001B43E3"/>
    <w:rsid w:val="001B485D"/>
    <w:rsid w:val="001B6E49"/>
    <w:rsid w:val="001B7962"/>
    <w:rsid w:val="001C09A7"/>
    <w:rsid w:val="001C0D19"/>
    <w:rsid w:val="001C38D2"/>
    <w:rsid w:val="001C3940"/>
    <w:rsid w:val="001C3A87"/>
    <w:rsid w:val="001C60EE"/>
    <w:rsid w:val="001C6C5E"/>
    <w:rsid w:val="001C7FE5"/>
    <w:rsid w:val="001D09D4"/>
    <w:rsid w:val="001D5B71"/>
    <w:rsid w:val="001D70AB"/>
    <w:rsid w:val="001D74E5"/>
    <w:rsid w:val="001E1B5B"/>
    <w:rsid w:val="001E412E"/>
    <w:rsid w:val="001E5015"/>
    <w:rsid w:val="001E620B"/>
    <w:rsid w:val="001F4407"/>
    <w:rsid w:val="001F521F"/>
    <w:rsid w:val="001F53E3"/>
    <w:rsid w:val="001F6B59"/>
    <w:rsid w:val="001F6CDD"/>
    <w:rsid w:val="001F6F88"/>
    <w:rsid w:val="002024FF"/>
    <w:rsid w:val="00202F60"/>
    <w:rsid w:val="0020317B"/>
    <w:rsid w:val="0020731B"/>
    <w:rsid w:val="00212E61"/>
    <w:rsid w:val="00213CA3"/>
    <w:rsid w:val="00216113"/>
    <w:rsid w:val="0022037C"/>
    <w:rsid w:val="0022198F"/>
    <w:rsid w:val="002220A1"/>
    <w:rsid w:val="002223E5"/>
    <w:rsid w:val="002241C2"/>
    <w:rsid w:val="0022590B"/>
    <w:rsid w:val="00226857"/>
    <w:rsid w:val="002378DC"/>
    <w:rsid w:val="002421E2"/>
    <w:rsid w:val="00243D89"/>
    <w:rsid w:val="00244093"/>
    <w:rsid w:val="002449FF"/>
    <w:rsid w:val="00246819"/>
    <w:rsid w:val="00253155"/>
    <w:rsid w:val="00253186"/>
    <w:rsid w:val="0025570E"/>
    <w:rsid w:val="002578A9"/>
    <w:rsid w:val="002608B1"/>
    <w:rsid w:val="002618F9"/>
    <w:rsid w:val="00262301"/>
    <w:rsid w:val="002639A8"/>
    <w:rsid w:val="00263D08"/>
    <w:rsid w:val="00264159"/>
    <w:rsid w:val="002649B7"/>
    <w:rsid w:val="00264E8F"/>
    <w:rsid w:val="002665D1"/>
    <w:rsid w:val="0026660F"/>
    <w:rsid w:val="00272200"/>
    <w:rsid w:val="00274C13"/>
    <w:rsid w:val="0027588E"/>
    <w:rsid w:val="00277500"/>
    <w:rsid w:val="00277743"/>
    <w:rsid w:val="00280CE7"/>
    <w:rsid w:val="00281394"/>
    <w:rsid w:val="002832AA"/>
    <w:rsid w:val="00286B44"/>
    <w:rsid w:val="0029034F"/>
    <w:rsid w:val="00291098"/>
    <w:rsid w:val="00291437"/>
    <w:rsid w:val="00291E97"/>
    <w:rsid w:val="00291FAE"/>
    <w:rsid w:val="002934E1"/>
    <w:rsid w:val="00293724"/>
    <w:rsid w:val="00295795"/>
    <w:rsid w:val="00295D2D"/>
    <w:rsid w:val="002A0EFD"/>
    <w:rsid w:val="002A1341"/>
    <w:rsid w:val="002A3CC3"/>
    <w:rsid w:val="002A3DD7"/>
    <w:rsid w:val="002A6832"/>
    <w:rsid w:val="002A7B13"/>
    <w:rsid w:val="002B087B"/>
    <w:rsid w:val="002B215B"/>
    <w:rsid w:val="002B3391"/>
    <w:rsid w:val="002B395E"/>
    <w:rsid w:val="002B41ED"/>
    <w:rsid w:val="002B43A7"/>
    <w:rsid w:val="002B61B2"/>
    <w:rsid w:val="002B6E1B"/>
    <w:rsid w:val="002B7D3E"/>
    <w:rsid w:val="002C1478"/>
    <w:rsid w:val="002C330D"/>
    <w:rsid w:val="002C589E"/>
    <w:rsid w:val="002C63E1"/>
    <w:rsid w:val="002C7408"/>
    <w:rsid w:val="002D1031"/>
    <w:rsid w:val="002D3B5B"/>
    <w:rsid w:val="002D47C4"/>
    <w:rsid w:val="002D61ED"/>
    <w:rsid w:val="002D6287"/>
    <w:rsid w:val="002E06B7"/>
    <w:rsid w:val="002E3547"/>
    <w:rsid w:val="002E38F1"/>
    <w:rsid w:val="002E3DFB"/>
    <w:rsid w:val="002F2385"/>
    <w:rsid w:val="002F36F1"/>
    <w:rsid w:val="002F5176"/>
    <w:rsid w:val="002F654A"/>
    <w:rsid w:val="0030319F"/>
    <w:rsid w:val="00303D42"/>
    <w:rsid w:val="003041F9"/>
    <w:rsid w:val="0030657E"/>
    <w:rsid w:val="00306AE0"/>
    <w:rsid w:val="00310B4E"/>
    <w:rsid w:val="00311E8E"/>
    <w:rsid w:val="00316F44"/>
    <w:rsid w:val="00320C8A"/>
    <w:rsid w:val="0032108C"/>
    <w:rsid w:val="00321718"/>
    <w:rsid w:val="00321BA3"/>
    <w:rsid w:val="003230DD"/>
    <w:rsid w:val="0032361E"/>
    <w:rsid w:val="00327C24"/>
    <w:rsid w:val="00331BB4"/>
    <w:rsid w:val="00332048"/>
    <w:rsid w:val="003324F0"/>
    <w:rsid w:val="00332E4C"/>
    <w:rsid w:val="00334FD1"/>
    <w:rsid w:val="00335C57"/>
    <w:rsid w:val="00335E34"/>
    <w:rsid w:val="0033690E"/>
    <w:rsid w:val="00340433"/>
    <w:rsid w:val="00341061"/>
    <w:rsid w:val="00341D36"/>
    <w:rsid w:val="00343927"/>
    <w:rsid w:val="00343C3C"/>
    <w:rsid w:val="0034429E"/>
    <w:rsid w:val="0034576E"/>
    <w:rsid w:val="003462B2"/>
    <w:rsid w:val="003465AE"/>
    <w:rsid w:val="00346938"/>
    <w:rsid w:val="00347ECA"/>
    <w:rsid w:val="0035034F"/>
    <w:rsid w:val="00351D64"/>
    <w:rsid w:val="00352660"/>
    <w:rsid w:val="003528DD"/>
    <w:rsid w:val="0035426D"/>
    <w:rsid w:val="00354728"/>
    <w:rsid w:val="0035787C"/>
    <w:rsid w:val="003630D0"/>
    <w:rsid w:val="0036450A"/>
    <w:rsid w:val="003753CB"/>
    <w:rsid w:val="00377418"/>
    <w:rsid w:val="00382A3C"/>
    <w:rsid w:val="00382AD6"/>
    <w:rsid w:val="003860F8"/>
    <w:rsid w:val="00390AA3"/>
    <w:rsid w:val="00391E56"/>
    <w:rsid w:val="003968FB"/>
    <w:rsid w:val="003A0BBC"/>
    <w:rsid w:val="003A0E46"/>
    <w:rsid w:val="003A1300"/>
    <w:rsid w:val="003A2058"/>
    <w:rsid w:val="003A2578"/>
    <w:rsid w:val="003A4A32"/>
    <w:rsid w:val="003A56A3"/>
    <w:rsid w:val="003A68C5"/>
    <w:rsid w:val="003B024F"/>
    <w:rsid w:val="003B1619"/>
    <w:rsid w:val="003B1D8E"/>
    <w:rsid w:val="003B40AB"/>
    <w:rsid w:val="003B698B"/>
    <w:rsid w:val="003B6CC1"/>
    <w:rsid w:val="003B787F"/>
    <w:rsid w:val="003C2755"/>
    <w:rsid w:val="003C32BE"/>
    <w:rsid w:val="003C4F8C"/>
    <w:rsid w:val="003C5362"/>
    <w:rsid w:val="003D0C9B"/>
    <w:rsid w:val="003D1134"/>
    <w:rsid w:val="003D15EB"/>
    <w:rsid w:val="003D2718"/>
    <w:rsid w:val="003D3067"/>
    <w:rsid w:val="003D482B"/>
    <w:rsid w:val="003D6129"/>
    <w:rsid w:val="003D66C3"/>
    <w:rsid w:val="003D69DC"/>
    <w:rsid w:val="003E07BC"/>
    <w:rsid w:val="003E4E37"/>
    <w:rsid w:val="003E5D70"/>
    <w:rsid w:val="003E6A65"/>
    <w:rsid w:val="003E6EC1"/>
    <w:rsid w:val="003E7F0A"/>
    <w:rsid w:val="003F3A06"/>
    <w:rsid w:val="003F482C"/>
    <w:rsid w:val="00400580"/>
    <w:rsid w:val="00400E06"/>
    <w:rsid w:val="00402341"/>
    <w:rsid w:val="00404B61"/>
    <w:rsid w:val="00406D3B"/>
    <w:rsid w:val="00411068"/>
    <w:rsid w:val="004119D7"/>
    <w:rsid w:val="00411DA8"/>
    <w:rsid w:val="004123DC"/>
    <w:rsid w:val="0041276F"/>
    <w:rsid w:val="004139F4"/>
    <w:rsid w:val="00413D2A"/>
    <w:rsid w:val="00416C2C"/>
    <w:rsid w:val="00417B67"/>
    <w:rsid w:val="00417D2B"/>
    <w:rsid w:val="00422006"/>
    <w:rsid w:val="00422014"/>
    <w:rsid w:val="00422A68"/>
    <w:rsid w:val="0042367C"/>
    <w:rsid w:val="00425B0E"/>
    <w:rsid w:val="004325C4"/>
    <w:rsid w:val="004369FD"/>
    <w:rsid w:val="00437A0F"/>
    <w:rsid w:val="00440128"/>
    <w:rsid w:val="004441F4"/>
    <w:rsid w:val="00445296"/>
    <w:rsid w:val="00446B8E"/>
    <w:rsid w:val="00447933"/>
    <w:rsid w:val="00450CD5"/>
    <w:rsid w:val="004515A7"/>
    <w:rsid w:val="00452EF0"/>
    <w:rsid w:val="0045406E"/>
    <w:rsid w:val="00456C0B"/>
    <w:rsid w:val="004570C9"/>
    <w:rsid w:val="004572FD"/>
    <w:rsid w:val="004601EA"/>
    <w:rsid w:val="00461728"/>
    <w:rsid w:val="00461735"/>
    <w:rsid w:val="004622BA"/>
    <w:rsid w:val="004629CB"/>
    <w:rsid w:val="00463E93"/>
    <w:rsid w:val="00463F37"/>
    <w:rsid w:val="004659EE"/>
    <w:rsid w:val="004660D7"/>
    <w:rsid w:val="00466599"/>
    <w:rsid w:val="00470DF8"/>
    <w:rsid w:val="00471427"/>
    <w:rsid w:val="004737D6"/>
    <w:rsid w:val="00474521"/>
    <w:rsid w:val="004750D5"/>
    <w:rsid w:val="00477105"/>
    <w:rsid w:val="004808A6"/>
    <w:rsid w:val="00480C80"/>
    <w:rsid w:val="004810F0"/>
    <w:rsid w:val="00481E12"/>
    <w:rsid w:val="004838A0"/>
    <w:rsid w:val="00483919"/>
    <w:rsid w:val="00484B2A"/>
    <w:rsid w:val="00484CB5"/>
    <w:rsid w:val="00484DD4"/>
    <w:rsid w:val="00487324"/>
    <w:rsid w:val="004876E7"/>
    <w:rsid w:val="0048776E"/>
    <w:rsid w:val="004909F4"/>
    <w:rsid w:val="00491E21"/>
    <w:rsid w:val="0049512D"/>
    <w:rsid w:val="00496B64"/>
    <w:rsid w:val="00497D69"/>
    <w:rsid w:val="004A106C"/>
    <w:rsid w:val="004A12C3"/>
    <w:rsid w:val="004A1B38"/>
    <w:rsid w:val="004A320D"/>
    <w:rsid w:val="004A324A"/>
    <w:rsid w:val="004A53ED"/>
    <w:rsid w:val="004A6E8F"/>
    <w:rsid w:val="004B1243"/>
    <w:rsid w:val="004B5D31"/>
    <w:rsid w:val="004B778F"/>
    <w:rsid w:val="004C1CB2"/>
    <w:rsid w:val="004C1D84"/>
    <w:rsid w:val="004C45F3"/>
    <w:rsid w:val="004C757F"/>
    <w:rsid w:val="004C786F"/>
    <w:rsid w:val="004C7A48"/>
    <w:rsid w:val="004D0DD5"/>
    <w:rsid w:val="004D1542"/>
    <w:rsid w:val="004D33CB"/>
    <w:rsid w:val="004D3405"/>
    <w:rsid w:val="004D4257"/>
    <w:rsid w:val="004D5106"/>
    <w:rsid w:val="004D52DF"/>
    <w:rsid w:val="004D64CA"/>
    <w:rsid w:val="004D78DC"/>
    <w:rsid w:val="004D7B3D"/>
    <w:rsid w:val="004E158D"/>
    <w:rsid w:val="004E5449"/>
    <w:rsid w:val="004E5CDC"/>
    <w:rsid w:val="004E6417"/>
    <w:rsid w:val="004E68B8"/>
    <w:rsid w:val="004F0421"/>
    <w:rsid w:val="004F1BED"/>
    <w:rsid w:val="004F306D"/>
    <w:rsid w:val="004F37C4"/>
    <w:rsid w:val="004F3F0F"/>
    <w:rsid w:val="004F4726"/>
    <w:rsid w:val="004F6E6D"/>
    <w:rsid w:val="004F777A"/>
    <w:rsid w:val="004F7E55"/>
    <w:rsid w:val="00502D37"/>
    <w:rsid w:val="00503AC7"/>
    <w:rsid w:val="00504D23"/>
    <w:rsid w:val="005050B5"/>
    <w:rsid w:val="00513F1A"/>
    <w:rsid w:val="00515B83"/>
    <w:rsid w:val="0052047E"/>
    <w:rsid w:val="00521EDE"/>
    <w:rsid w:val="005264F8"/>
    <w:rsid w:val="005301A0"/>
    <w:rsid w:val="00531906"/>
    <w:rsid w:val="00532D59"/>
    <w:rsid w:val="00533C3D"/>
    <w:rsid w:val="00536C86"/>
    <w:rsid w:val="0054006A"/>
    <w:rsid w:val="00541F82"/>
    <w:rsid w:val="00542AA3"/>
    <w:rsid w:val="00543656"/>
    <w:rsid w:val="00545540"/>
    <w:rsid w:val="005457C2"/>
    <w:rsid w:val="00545AE0"/>
    <w:rsid w:val="005464B5"/>
    <w:rsid w:val="00546875"/>
    <w:rsid w:val="00546D0D"/>
    <w:rsid w:val="00550641"/>
    <w:rsid w:val="00551851"/>
    <w:rsid w:val="00552D9B"/>
    <w:rsid w:val="0055567F"/>
    <w:rsid w:val="00555D97"/>
    <w:rsid w:val="00555EF0"/>
    <w:rsid w:val="0055694E"/>
    <w:rsid w:val="00561E33"/>
    <w:rsid w:val="00563E37"/>
    <w:rsid w:val="00573317"/>
    <w:rsid w:val="00573B11"/>
    <w:rsid w:val="00576330"/>
    <w:rsid w:val="005771DB"/>
    <w:rsid w:val="00581162"/>
    <w:rsid w:val="0058246D"/>
    <w:rsid w:val="005870BC"/>
    <w:rsid w:val="00591213"/>
    <w:rsid w:val="0059130D"/>
    <w:rsid w:val="00592FF4"/>
    <w:rsid w:val="005A40C0"/>
    <w:rsid w:val="005A52B5"/>
    <w:rsid w:val="005A5910"/>
    <w:rsid w:val="005A636A"/>
    <w:rsid w:val="005A6E48"/>
    <w:rsid w:val="005B15E7"/>
    <w:rsid w:val="005B6E0A"/>
    <w:rsid w:val="005C2257"/>
    <w:rsid w:val="005C3719"/>
    <w:rsid w:val="005C378A"/>
    <w:rsid w:val="005C4884"/>
    <w:rsid w:val="005C6B11"/>
    <w:rsid w:val="005C72EB"/>
    <w:rsid w:val="005D0A0E"/>
    <w:rsid w:val="005D4DF3"/>
    <w:rsid w:val="005D6B45"/>
    <w:rsid w:val="005E1B91"/>
    <w:rsid w:val="005E1E3A"/>
    <w:rsid w:val="005E2055"/>
    <w:rsid w:val="005E3E89"/>
    <w:rsid w:val="005E4EAB"/>
    <w:rsid w:val="005F216C"/>
    <w:rsid w:val="005F28A4"/>
    <w:rsid w:val="005F4AF8"/>
    <w:rsid w:val="005F4B88"/>
    <w:rsid w:val="005F770F"/>
    <w:rsid w:val="006004C5"/>
    <w:rsid w:val="00600675"/>
    <w:rsid w:val="00601CED"/>
    <w:rsid w:val="00602300"/>
    <w:rsid w:val="00605DDC"/>
    <w:rsid w:val="00606FEB"/>
    <w:rsid w:val="00607B40"/>
    <w:rsid w:val="0061026D"/>
    <w:rsid w:val="00611971"/>
    <w:rsid w:val="00614390"/>
    <w:rsid w:val="00615392"/>
    <w:rsid w:val="006161B8"/>
    <w:rsid w:val="006168ED"/>
    <w:rsid w:val="006211E9"/>
    <w:rsid w:val="0062179E"/>
    <w:rsid w:val="00621D62"/>
    <w:rsid w:val="00623993"/>
    <w:rsid w:val="006239BA"/>
    <w:rsid w:val="00623B06"/>
    <w:rsid w:val="0062411F"/>
    <w:rsid w:val="006249D6"/>
    <w:rsid w:val="00624DEC"/>
    <w:rsid w:val="0062554C"/>
    <w:rsid w:val="00627C1C"/>
    <w:rsid w:val="00630A12"/>
    <w:rsid w:val="00630F39"/>
    <w:rsid w:val="006311E8"/>
    <w:rsid w:val="00632ACF"/>
    <w:rsid w:val="00634864"/>
    <w:rsid w:val="0063535F"/>
    <w:rsid w:val="00637AE5"/>
    <w:rsid w:val="00644360"/>
    <w:rsid w:val="0065180B"/>
    <w:rsid w:val="0065215E"/>
    <w:rsid w:val="0065275B"/>
    <w:rsid w:val="00652DA8"/>
    <w:rsid w:val="00654DEA"/>
    <w:rsid w:val="00655B3B"/>
    <w:rsid w:val="00660C1D"/>
    <w:rsid w:val="00660E5C"/>
    <w:rsid w:val="00662953"/>
    <w:rsid w:val="006634DA"/>
    <w:rsid w:val="00667783"/>
    <w:rsid w:val="006678BE"/>
    <w:rsid w:val="00673D4E"/>
    <w:rsid w:val="00674408"/>
    <w:rsid w:val="00676C13"/>
    <w:rsid w:val="00677469"/>
    <w:rsid w:val="0067760F"/>
    <w:rsid w:val="00691C6A"/>
    <w:rsid w:val="00693895"/>
    <w:rsid w:val="006942E2"/>
    <w:rsid w:val="006947C4"/>
    <w:rsid w:val="00694960"/>
    <w:rsid w:val="00695D8C"/>
    <w:rsid w:val="006977B4"/>
    <w:rsid w:val="006A388F"/>
    <w:rsid w:val="006A5715"/>
    <w:rsid w:val="006A6BAB"/>
    <w:rsid w:val="006A71F3"/>
    <w:rsid w:val="006A7321"/>
    <w:rsid w:val="006A7BE8"/>
    <w:rsid w:val="006B1226"/>
    <w:rsid w:val="006B1970"/>
    <w:rsid w:val="006B2DCD"/>
    <w:rsid w:val="006B6983"/>
    <w:rsid w:val="006B7356"/>
    <w:rsid w:val="006B7361"/>
    <w:rsid w:val="006B7C73"/>
    <w:rsid w:val="006C0425"/>
    <w:rsid w:val="006C3091"/>
    <w:rsid w:val="006C431E"/>
    <w:rsid w:val="006C53B0"/>
    <w:rsid w:val="006C6868"/>
    <w:rsid w:val="006C7515"/>
    <w:rsid w:val="006D00FB"/>
    <w:rsid w:val="006D0307"/>
    <w:rsid w:val="006D1063"/>
    <w:rsid w:val="006D1F70"/>
    <w:rsid w:val="006D2FD2"/>
    <w:rsid w:val="006D7A9B"/>
    <w:rsid w:val="006E58B2"/>
    <w:rsid w:val="006F0CEC"/>
    <w:rsid w:val="006F7CA3"/>
    <w:rsid w:val="00700C6E"/>
    <w:rsid w:val="00704E7B"/>
    <w:rsid w:val="00707925"/>
    <w:rsid w:val="00707F3F"/>
    <w:rsid w:val="0071054F"/>
    <w:rsid w:val="00711610"/>
    <w:rsid w:val="00715F73"/>
    <w:rsid w:val="00721B8B"/>
    <w:rsid w:val="00723FE2"/>
    <w:rsid w:val="0072754B"/>
    <w:rsid w:val="00730544"/>
    <w:rsid w:val="00730CE5"/>
    <w:rsid w:val="00731276"/>
    <w:rsid w:val="00734C89"/>
    <w:rsid w:val="00734EEF"/>
    <w:rsid w:val="00736B3E"/>
    <w:rsid w:val="00743EC1"/>
    <w:rsid w:val="007474F0"/>
    <w:rsid w:val="007477A9"/>
    <w:rsid w:val="007522D2"/>
    <w:rsid w:val="0075395D"/>
    <w:rsid w:val="00753B4D"/>
    <w:rsid w:val="00755DCC"/>
    <w:rsid w:val="00757F1C"/>
    <w:rsid w:val="0076322C"/>
    <w:rsid w:val="0076450E"/>
    <w:rsid w:val="007647D1"/>
    <w:rsid w:val="0076554D"/>
    <w:rsid w:val="00766205"/>
    <w:rsid w:val="00766652"/>
    <w:rsid w:val="00770401"/>
    <w:rsid w:val="0077110D"/>
    <w:rsid w:val="0077197D"/>
    <w:rsid w:val="0077256F"/>
    <w:rsid w:val="0077352D"/>
    <w:rsid w:val="00775067"/>
    <w:rsid w:val="00776910"/>
    <w:rsid w:val="00776A2C"/>
    <w:rsid w:val="00783171"/>
    <w:rsid w:val="00783FD7"/>
    <w:rsid w:val="00785BBE"/>
    <w:rsid w:val="00785F77"/>
    <w:rsid w:val="00790E5D"/>
    <w:rsid w:val="00792494"/>
    <w:rsid w:val="0079445D"/>
    <w:rsid w:val="00795222"/>
    <w:rsid w:val="007A0569"/>
    <w:rsid w:val="007A30F3"/>
    <w:rsid w:val="007A3D00"/>
    <w:rsid w:val="007A53B6"/>
    <w:rsid w:val="007A5909"/>
    <w:rsid w:val="007A5F17"/>
    <w:rsid w:val="007A6BC2"/>
    <w:rsid w:val="007A6E67"/>
    <w:rsid w:val="007B05E1"/>
    <w:rsid w:val="007B1444"/>
    <w:rsid w:val="007B1591"/>
    <w:rsid w:val="007B1F5E"/>
    <w:rsid w:val="007B293B"/>
    <w:rsid w:val="007B3EE0"/>
    <w:rsid w:val="007B53DC"/>
    <w:rsid w:val="007B6295"/>
    <w:rsid w:val="007B67B4"/>
    <w:rsid w:val="007C1A3A"/>
    <w:rsid w:val="007C47F0"/>
    <w:rsid w:val="007C4B06"/>
    <w:rsid w:val="007C74F7"/>
    <w:rsid w:val="007C7B19"/>
    <w:rsid w:val="007D1313"/>
    <w:rsid w:val="007D1994"/>
    <w:rsid w:val="007D33AF"/>
    <w:rsid w:val="007D436A"/>
    <w:rsid w:val="007D4CE6"/>
    <w:rsid w:val="007D670C"/>
    <w:rsid w:val="007E2441"/>
    <w:rsid w:val="007E2BEB"/>
    <w:rsid w:val="007E5801"/>
    <w:rsid w:val="007E6F06"/>
    <w:rsid w:val="007F043F"/>
    <w:rsid w:val="007F4872"/>
    <w:rsid w:val="007F4E4A"/>
    <w:rsid w:val="008000A5"/>
    <w:rsid w:val="0080527C"/>
    <w:rsid w:val="00805AB1"/>
    <w:rsid w:val="008067A5"/>
    <w:rsid w:val="00807670"/>
    <w:rsid w:val="00812B6A"/>
    <w:rsid w:val="008140C1"/>
    <w:rsid w:val="0082067B"/>
    <w:rsid w:val="00822DB9"/>
    <w:rsid w:val="008252F0"/>
    <w:rsid w:val="00833238"/>
    <w:rsid w:val="0083335B"/>
    <w:rsid w:val="008364E4"/>
    <w:rsid w:val="0083741F"/>
    <w:rsid w:val="008415C8"/>
    <w:rsid w:val="008422BD"/>
    <w:rsid w:val="00851126"/>
    <w:rsid w:val="008527F7"/>
    <w:rsid w:val="00852847"/>
    <w:rsid w:val="00852F59"/>
    <w:rsid w:val="0085340B"/>
    <w:rsid w:val="008539FC"/>
    <w:rsid w:val="00853AAA"/>
    <w:rsid w:val="00854893"/>
    <w:rsid w:val="00855DA0"/>
    <w:rsid w:val="008571F6"/>
    <w:rsid w:val="008579D9"/>
    <w:rsid w:val="00857F0B"/>
    <w:rsid w:val="00861415"/>
    <w:rsid w:val="00861767"/>
    <w:rsid w:val="00863F06"/>
    <w:rsid w:val="00865779"/>
    <w:rsid w:val="00870502"/>
    <w:rsid w:val="0087107E"/>
    <w:rsid w:val="00875A7E"/>
    <w:rsid w:val="00876F38"/>
    <w:rsid w:val="0087762B"/>
    <w:rsid w:val="00877994"/>
    <w:rsid w:val="008801A6"/>
    <w:rsid w:val="008810A4"/>
    <w:rsid w:val="00882FF3"/>
    <w:rsid w:val="00883EB8"/>
    <w:rsid w:val="008867FA"/>
    <w:rsid w:val="00887008"/>
    <w:rsid w:val="00887944"/>
    <w:rsid w:val="0089087F"/>
    <w:rsid w:val="00893421"/>
    <w:rsid w:val="00894A00"/>
    <w:rsid w:val="00895834"/>
    <w:rsid w:val="00896B5F"/>
    <w:rsid w:val="008A091C"/>
    <w:rsid w:val="008A1108"/>
    <w:rsid w:val="008A2240"/>
    <w:rsid w:val="008A2B8F"/>
    <w:rsid w:val="008A2C0F"/>
    <w:rsid w:val="008A3380"/>
    <w:rsid w:val="008A6D76"/>
    <w:rsid w:val="008A762F"/>
    <w:rsid w:val="008B192A"/>
    <w:rsid w:val="008B26C0"/>
    <w:rsid w:val="008B2EDA"/>
    <w:rsid w:val="008B3838"/>
    <w:rsid w:val="008B5431"/>
    <w:rsid w:val="008B68BA"/>
    <w:rsid w:val="008C1738"/>
    <w:rsid w:val="008C4D88"/>
    <w:rsid w:val="008C52D0"/>
    <w:rsid w:val="008C5917"/>
    <w:rsid w:val="008C5938"/>
    <w:rsid w:val="008C73B5"/>
    <w:rsid w:val="008C73E9"/>
    <w:rsid w:val="008D111C"/>
    <w:rsid w:val="008D2297"/>
    <w:rsid w:val="008D23A5"/>
    <w:rsid w:val="008D434F"/>
    <w:rsid w:val="008E1EA9"/>
    <w:rsid w:val="008E297B"/>
    <w:rsid w:val="008E2D46"/>
    <w:rsid w:val="008E32B6"/>
    <w:rsid w:val="008E39B5"/>
    <w:rsid w:val="008E5623"/>
    <w:rsid w:val="008E6267"/>
    <w:rsid w:val="008F1534"/>
    <w:rsid w:val="008F1AB6"/>
    <w:rsid w:val="008F1D15"/>
    <w:rsid w:val="008F21B2"/>
    <w:rsid w:val="008F2B60"/>
    <w:rsid w:val="008F3855"/>
    <w:rsid w:val="00900AAD"/>
    <w:rsid w:val="00900BFA"/>
    <w:rsid w:val="00902645"/>
    <w:rsid w:val="00911457"/>
    <w:rsid w:val="00912805"/>
    <w:rsid w:val="009133E2"/>
    <w:rsid w:val="009138E7"/>
    <w:rsid w:val="009169D0"/>
    <w:rsid w:val="00916DC0"/>
    <w:rsid w:val="009179A7"/>
    <w:rsid w:val="00920BAA"/>
    <w:rsid w:val="009229D0"/>
    <w:rsid w:val="00922C47"/>
    <w:rsid w:val="00931011"/>
    <w:rsid w:val="0093411C"/>
    <w:rsid w:val="00934359"/>
    <w:rsid w:val="00935ABA"/>
    <w:rsid w:val="00941C9A"/>
    <w:rsid w:val="009425AD"/>
    <w:rsid w:val="0094295A"/>
    <w:rsid w:val="009429D3"/>
    <w:rsid w:val="009430B7"/>
    <w:rsid w:val="00944373"/>
    <w:rsid w:val="00944A7B"/>
    <w:rsid w:val="00946200"/>
    <w:rsid w:val="009471D8"/>
    <w:rsid w:val="009476EE"/>
    <w:rsid w:val="009507C3"/>
    <w:rsid w:val="00951BCF"/>
    <w:rsid w:val="00952599"/>
    <w:rsid w:val="00954DA4"/>
    <w:rsid w:val="00956943"/>
    <w:rsid w:val="00956C66"/>
    <w:rsid w:val="00956DB4"/>
    <w:rsid w:val="00957C91"/>
    <w:rsid w:val="009610C3"/>
    <w:rsid w:val="0096301A"/>
    <w:rsid w:val="00965348"/>
    <w:rsid w:val="0096783F"/>
    <w:rsid w:val="00973AE1"/>
    <w:rsid w:val="0097435B"/>
    <w:rsid w:val="00975CB6"/>
    <w:rsid w:val="00976059"/>
    <w:rsid w:val="00980906"/>
    <w:rsid w:val="00980A74"/>
    <w:rsid w:val="0098184A"/>
    <w:rsid w:val="00982264"/>
    <w:rsid w:val="0099001A"/>
    <w:rsid w:val="009901BE"/>
    <w:rsid w:val="00992B3C"/>
    <w:rsid w:val="00995041"/>
    <w:rsid w:val="00997BEB"/>
    <w:rsid w:val="009A0EB2"/>
    <w:rsid w:val="009A4A46"/>
    <w:rsid w:val="009A6BBF"/>
    <w:rsid w:val="009B1F9E"/>
    <w:rsid w:val="009B2724"/>
    <w:rsid w:val="009B3170"/>
    <w:rsid w:val="009B3D69"/>
    <w:rsid w:val="009B4194"/>
    <w:rsid w:val="009B53C6"/>
    <w:rsid w:val="009B6232"/>
    <w:rsid w:val="009B6309"/>
    <w:rsid w:val="009B6EAC"/>
    <w:rsid w:val="009B70B6"/>
    <w:rsid w:val="009C0D38"/>
    <w:rsid w:val="009C3D7D"/>
    <w:rsid w:val="009C4F3C"/>
    <w:rsid w:val="009C6C41"/>
    <w:rsid w:val="009C721F"/>
    <w:rsid w:val="009C7925"/>
    <w:rsid w:val="009C7B75"/>
    <w:rsid w:val="009C7F98"/>
    <w:rsid w:val="009D1448"/>
    <w:rsid w:val="009D14B3"/>
    <w:rsid w:val="009D2892"/>
    <w:rsid w:val="009D2BE8"/>
    <w:rsid w:val="009D4DEA"/>
    <w:rsid w:val="009D592C"/>
    <w:rsid w:val="009E39D6"/>
    <w:rsid w:val="009E503C"/>
    <w:rsid w:val="009E6537"/>
    <w:rsid w:val="009E6928"/>
    <w:rsid w:val="009E6CCA"/>
    <w:rsid w:val="009E76D5"/>
    <w:rsid w:val="009F01B1"/>
    <w:rsid w:val="009F0923"/>
    <w:rsid w:val="009F1B38"/>
    <w:rsid w:val="009F491B"/>
    <w:rsid w:val="009F5441"/>
    <w:rsid w:val="009F6C64"/>
    <w:rsid w:val="009F79DD"/>
    <w:rsid w:val="00A00DF9"/>
    <w:rsid w:val="00A018C9"/>
    <w:rsid w:val="00A02AE3"/>
    <w:rsid w:val="00A07418"/>
    <w:rsid w:val="00A079D3"/>
    <w:rsid w:val="00A143AE"/>
    <w:rsid w:val="00A151BA"/>
    <w:rsid w:val="00A15446"/>
    <w:rsid w:val="00A162D6"/>
    <w:rsid w:val="00A174DF"/>
    <w:rsid w:val="00A17CB8"/>
    <w:rsid w:val="00A2044B"/>
    <w:rsid w:val="00A20CCC"/>
    <w:rsid w:val="00A218CC"/>
    <w:rsid w:val="00A21C72"/>
    <w:rsid w:val="00A23A04"/>
    <w:rsid w:val="00A24547"/>
    <w:rsid w:val="00A255BD"/>
    <w:rsid w:val="00A30566"/>
    <w:rsid w:val="00A30C1C"/>
    <w:rsid w:val="00A33D81"/>
    <w:rsid w:val="00A36D4D"/>
    <w:rsid w:val="00A37EB9"/>
    <w:rsid w:val="00A423B7"/>
    <w:rsid w:val="00A448C2"/>
    <w:rsid w:val="00A508C1"/>
    <w:rsid w:val="00A50BBE"/>
    <w:rsid w:val="00A510A1"/>
    <w:rsid w:val="00A51622"/>
    <w:rsid w:val="00A52FEE"/>
    <w:rsid w:val="00A547EC"/>
    <w:rsid w:val="00A54B69"/>
    <w:rsid w:val="00A54BA0"/>
    <w:rsid w:val="00A5687E"/>
    <w:rsid w:val="00A56942"/>
    <w:rsid w:val="00A57B15"/>
    <w:rsid w:val="00A6078C"/>
    <w:rsid w:val="00A61B8F"/>
    <w:rsid w:val="00A644DA"/>
    <w:rsid w:val="00A70C0C"/>
    <w:rsid w:val="00A713D9"/>
    <w:rsid w:val="00A744F0"/>
    <w:rsid w:val="00A7482F"/>
    <w:rsid w:val="00A74DDE"/>
    <w:rsid w:val="00A75C60"/>
    <w:rsid w:val="00A774DF"/>
    <w:rsid w:val="00A811FC"/>
    <w:rsid w:val="00A81AB8"/>
    <w:rsid w:val="00A8206E"/>
    <w:rsid w:val="00A8339D"/>
    <w:rsid w:val="00A8519F"/>
    <w:rsid w:val="00A9093E"/>
    <w:rsid w:val="00A90E3F"/>
    <w:rsid w:val="00A933EB"/>
    <w:rsid w:val="00A95080"/>
    <w:rsid w:val="00A96B6F"/>
    <w:rsid w:val="00AA01E0"/>
    <w:rsid w:val="00AA1885"/>
    <w:rsid w:val="00AB1581"/>
    <w:rsid w:val="00AB66F1"/>
    <w:rsid w:val="00AB6D34"/>
    <w:rsid w:val="00AB7E05"/>
    <w:rsid w:val="00AC0943"/>
    <w:rsid w:val="00AC2F4A"/>
    <w:rsid w:val="00AC6011"/>
    <w:rsid w:val="00AC65AF"/>
    <w:rsid w:val="00AC6BFC"/>
    <w:rsid w:val="00AC7F9F"/>
    <w:rsid w:val="00AD10D5"/>
    <w:rsid w:val="00AD3546"/>
    <w:rsid w:val="00AD52B8"/>
    <w:rsid w:val="00AD7649"/>
    <w:rsid w:val="00AE0E2A"/>
    <w:rsid w:val="00AE6C3B"/>
    <w:rsid w:val="00AE7FBF"/>
    <w:rsid w:val="00AF0660"/>
    <w:rsid w:val="00AF0CE2"/>
    <w:rsid w:val="00AF181B"/>
    <w:rsid w:val="00AF2014"/>
    <w:rsid w:val="00AF26C0"/>
    <w:rsid w:val="00B027E8"/>
    <w:rsid w:val="00B02F17"/>
    <w:rsid w:val="00B03C62"/>
    <w:rsid w:val="00B048A6"/>
    <w:rsid w:val="00B056C4"/>
    <w:rsid w:val="00B07507"/>
    <w:rsid w:val="00B11B29"/>
    <w:rsid w:val="00B233F4"/>
    <w:rsid w:val="00B23F9E"/>
    <w:rsid w:val="00B24FDB"/>
    <w:rsid w:val="00B30018"/>
    <w:rsid w:val="00B30B24"/>
    <w:rsid w:val="00B30C0D"/>
    <w:rsid w:val="00B3350E"/>
    <w:rsid w:val="00B36168"/>
    <w:rsid w:val="00B36873"/>
    <w:rsid w:val="00B41758"/>
    <w:rsid w:val="00B4190F"/>
    <w:rsid w:val="00B423EC"/>
    <w:rsid w:val="00B43F41"/>
    <w:rsid w:val="00B46FA5"/>
    <w:rsid w:val="00B50A07"/>
    <w:rsid w:val="00B5102E"/>
    <w:rsid w:val="00B53844"/>
    <w:rsid w:val="00B53A18"/>
    <w:rsid w:val="00B54A00"/>
    <w:rsid w:val="00B55035"/>
    <w:rsid w:val="00B55D81"/>
    <w:rsid w:val="00B55E03"/>
    <w:rsid w:val="00B57395"/>
    <w:rsid w:val="00B5752C"/>
    <w:rsid w:val="00B575F7"/>
    <w:rsid w:val="00B60293"/>
    <w:rsid w:val="00B61A21"/>
    <w:rsid w:val="00B622DF"/>
    <w:rsid w:val="00B625CD"/>
    <w:rsid w:val="00B6270E"/>
    <w:rsid w:val="00B62FD5"/>
    <w:rsid w:val="00B6412E"/>
    <w:rsid w:val="00B64E2C"/>
    <w:rsid w:val="00B65ACD"/>
    <w:rsid w:val="00B66804"/>
    <w:rsid w:val="00B775B2"/>
    <w:rsid w:val="00B777CF"/>
    <w:rsid w:val="00B82224"/>
    <w:rsid w:val="00B82637"/>
    <w:rsid w:val="00B82F6B"/>
    <w:rsid w:val="00B8406C"/>
    <w:rsid w:val="00B85019"/>
    <w:rsid w:val="00B85885"/>
    <w:rsid w:val="00B87B9C"/>
    <w:rsid w:val="00B90813"/>
    <w:rsid w:val="00B92329"/>
    <w:rsid w:val="00B94D04"/>
    <w:rsid w:val="00B952F0"/>
    <w:rsid w:val="00B97CF8"/>
    <w:rsid w:val="00BA1BAE"/>
    <w:rsid w:val="00BA657B"/>
    <w:rsid w:val="00BA75AA"/>
    <w:rsid w:val="00BB23A9"/>
    <w:rsid w:val="00BB2D38"/>
    <w:rsid w:val="00BB355C"/>
    <w:rsid w:val="00BB5E17"/>
    <w:rsid w:val="00BB6D1E"/>
    <w:rsid w:val="00BC1EAF"/>
    <w:rsid w:val="00BC2DB8"/>
    <w:rsid w:val="00BC3C54"/>
    <w:rsid w:val="00BC47ED"/>
    <w:rsid w:val="00BC540D"/>
    <w:rsid w:val="00BC7B7D"/>
    <w:rsid w:val="00BC7BE6"/>
    <w:rsid w:val="00BD0785"/>
    <w:rsid w:val="00BD196E"/>
    <w:rsid w:val="00BD1B95"/>
    <w:rsid w:val="00BD5116"/>
    <w:rsid w:val="00BD7E79"/>
    <w:rsid w:val="00BE7B7A"/>
    <w:rsid w:val="00BF0A16"/>
    <w:rsid w:val="00BF1B5E"/>
    <w:rsid w:val="00BF2B1E"/>
    <w:rsid w:val="00BF39AF"/>
    <w:rsid w:val="00BF3E6D"/>
    <w:rsid w:val="00BF3FB9"/>
    <w:rsid w:val="00BF48E1"/>
    <w:rsid w:val="00BF5C9E"/>
    <w:rsid w:val="00BF6D6A"/>
    <w:rsid w:val="00BF792E"/>
    <w:rsid w:val="00C02069"/>
    <w:rsid w:val="00C05232"/>
    <w:rsid w:val="00C059B4"/>
    <w:rsid w:val="00C06226"/>
    <w:rsid w:val="00C06B96"/>
    <w:rsid w:val="00C070D7"/>
    <w:rsid w:val="00C13D02"/>
    <w:rsid w:val="00C14199"/>
    <w:rsid w:val="00C164D3"/>
    <w:rsid w:val="00C17CDA"/>
    <w:rsid w:val="00C2409D"/>
    <w:rsid w:val="00C2508D"/>
    <w:rsid w:val="00C25C10"/>
    <w:rsid w:val="00C260DB"/>
    <w:rsid w:val="00C2742F"/>
    <w:rsid w:val="00C278FC"/>
    <w:rsid w:val="00C30329"/>
    <w:rsid w:val="00C30B1F"/>
    <w:rsid w:val="00C32CDB"/>
    <w:rsid w:val="00C32ED2"/>
    <w:rsid w:val="00C348C3"/>
    <w:rsid w:val="00C35B01"/>
    <w:rsid w:val="00C372D4"/>
    <w:rsid w:val="00C41F03"/>
    <w:rsid w:val="00C42F08"/>
    <w:rsid w:val="00C449D6"/>
    <w:rsid w:val="00C45438"/>
    <w:rsid w:val="00C46A13"/>
    <w:rsid w:val="00C46C7D"/>
    <w:rsid w:val="00C54654"/>
    <w:rsid w:val="00C55B0C"/>
    <w:rsid w:val="00C56FB5"/>
    <w:rsid w:val="00C57C8C"/>
    <w:rsid w:val="00C60AA5"/>
    <w:rsid w:val="00C61631"/>
    <w:rsid w:val="00C62132"/>
    <w:rsid w:val="00C66909"/>
    <w:rsid w:val="00C70A34"/>
    <w:rsid w:val="00C725D3"/>
    <w:rsid w:val="00C72914"/>
    <w:rsid w:val="00C739DB"/>
    <w:rsid w:val="00C74D5A"/>
    <w:rsid w:val="00C75951"/>
    <w:rsid w:val="00C82976"/>
    <w:rsid w:val="00C82CAF"/>
    <w:rsid w:val="00C843FD"/>
    <w:rsid w:val="00C86812"/>
    <w:rsid w:val="00C86DD9"/>
    <w:rsid w:val="00C9086C"/>
    <w:rsid w:val="00C92C12"/>
    <w:rsid w:val="00C9461F"/>
    <w:rsid w:val="00C9486F"/>
    <w:rsid w:val="00C94CED"/>
    <w:rsid w:val="00C963C7"/>
    <w:rsid w:val="00C97B58"/>
    <w:rsid w:val="00CA00CC"/>
    <w:rsid w:val="00CA3DC2"/>
    <w:rsid w:val="00CA55EC"/>
    <w:rsid w:val="00CA6925"/>
    <w:rsid w:val="00CA6F70"/>
    <w:rsid w:val="00CB2333"/>
    <w:rsid w:val="00CB3284"/>
    <w:rsid w:val="00CB6041"/>
    <w:rsid w:val="00CB7E4D"/>
    <w:rsid w:val="00CC1A06"/>
    <w:rsid w:val="00CC2EDD"/>
    <w:rsid w:val="00CC3F65"/>
    <w:rsid w:val="00CC5FE0"/>
    <w:rsid w:val="00CD1B7F"/>
    <w:rsid w:val="00CD2424"/>
    <w:rsid w:val="00CD2837"/>
    <w:rsid w:val="00CD3009"/>
    <w:rsid w:val="00CD4CDA"/>
    <w:rsid w:val="00CD5F66"/>
    <w:rsid w:val="00CE09F5"/>
    <w:rsid w:val="00CE1229"/>
    <w:rsid w:val="00CE3FAD"/>
    <w:rsid w:val="00CE766E"/>
    <w:rsid w:val="00CE7AD7"/>
    <w:rsid w:val="00CF013D"/>
    <w:rsid w:val="00CF5124"/>
    <w:rsid w:val="00CF5AF9"/>
    <w:rsid w:val="00D04D5B"/>
    <w:rsid w:val="00D073BC"/>
    <w:rsid w:val="00D10137"/>
    <w:rsid w:val="00D13986"/>
    <w:rsid w:val="00D26F66"/>
    <w:rsid w:val="00D27678"/>
    <w:rsid w:val="00D34A52"/>
    <w:rsid w:val="00D4064B"/>
    <w:rsid w:val="00D41554"/>
    <w:rsid w:val="00D426F5"/>
    <w:rsid w:val="00D43F1C"/>
    <w:rsid w:val="00D46EA2"/>
    <w:rsid w:val="00D47B8F"/>
    <w:rsid w:val="00D5184B"/>
    <w:rsid w:val="00D5219C"/>
    <w:rsid w:val="00D538AD"/>
    <w:rsid w:val="00D53F2B"/>
    <w:rsid w:val="00D6006C"/>
    <w:rsid w:val="00D602A8"/>
    <w:rsid w:val="00D63B0E"/>
    <w:rsid w:val="00D65069"/>
    <w:rsid w:val="00D67706"/>
    <w:rsid w:val="00D7051A"/>
    <w:rsid w:val="00D722D2"/>
    <w:rsid w:val="00D767B4"/>
    <w:rsid w:val="00D823D5"/>
    <w:rsid w:val="00D848DF"/>
    <w:rsid w:val="00D84C11"/>
    <w:rsid w:val="00D85585"/>
    <w:rsid w:val="00D86FD3"/>
    <w:rsid w:val="00D91274"/>
    <w:rsid w:val="00D918B2"/>
    <w:rsid w:val="00D929C6"/>
    <w:rsid w:val="00D92BB5"/>
    <w:rsid w:val="00D92C50"/>
    <w:rsid w:val="00D92E1F"/>
    <w:rsid w:val="00D95EC7"/>
    <w:rsid w:val="00D97A37"/>
    <w:rsid w:val="00DA090F"/>
    <w:rsid w:val="00DA1102"/>
    <w:rsid w:val="00DA721F"/>
    <w:rsid w:val="00DA78E7"/>
    <w:rsid w:val="00DB0099"/>
    <w:rsid w:val="00DB015D"/>
    <w:rsid w:val="00DB28C1"/>
    <w:rsid w:val="00DB2A26"/>
    <w:rsid w:val="00DB36EF"/>
    <w:rsid w:val="00DB3FF6"/>
    <w:rsid w:val="00DC4C27"/>
    <w:rsid w:val="00DC6530"/>
    <w:rsid w:val="00DC67C1"/>
    <w:rsid w:val="00DD1799"/>
    <w:rsid w:val="00DD24C0"/>
    <w:rsid w:val="00DD47AF"/>
    <w:rsid w:val="00DD4FCF"/>
    <w:rsid w:val="00DE08E8"/>
    <w:rsid w:val="00DE0E64"/>
    <w:rsid w:val="00DE29BF"/>
    <w:rsid w:val="00DE2CAC"/>
    <w:rsid w:val="00DE3799"/>
    <w:rsid w:val="00DE7BE7"/>
    <w:rsid w:val="00DF13F6"/>
    <w:rsid w:val="00DF3120"/>
    <w:rsid w:val="00DF7A78"/>
    <w:rsid w:val="00E02E07"/>
    <w:rsid w:val="00E073B3"/>
    <w:rsid w:val="00E1006C"/>
    <w:rsid w:val="00E10C02"/>
    <w:rsid w:val="00E11475"/>
    <w:rsid w:val="00E12717"/>
    <w:rsid w:val="00E1333E"/>
    <w:rsid w:val="00E16A95"/>
    <w:rsid w:val="00E16E15"/>
    <w:rsid w:val="00E202DC"/>
    <w:rsid w:val="00E20973"/>
    <w:rsid w:val="00E21155"/>
    <w:rsid w:val="00E215E9"/>
    <w:rsid w:val="00E22401"/>
    <w:rsid w:val="00E22708"/>
    <w:rsid w:val="00E240F0"/>
    <w:rsid w:val="00E26245"/>
    <w:rsid w:val="00E26682"/>
    <w:rsid w:val="00E354E6"/>
    <w:rsid w:val="00E35A3F"/>
    <w:rsid w:val="00E35B5E"/>
    <w:rsid w:val="00E37890"/>
    <w:rsid w:val="00E412DC"/>
    <w:rsid w:val="00E415A5"/>
    <w:rsid w:val="00E42744"/>
    <w:rsid w:val="00E42EF7"/>
    <w:rsid w:val="00E44CB9"/>
    <w:rsid w:val="00E45BA4"/>
    <w:rsid w:val="00E47456"/>
    <w:rsid w:val="00E50982"/>
    <w:rsid w:val="00E50A84"/>
    <w:rsid w:val="00E50E85"/>
    <w:rsid w:val="00E52AAB"/>
    <w:rsid w:val="00E5475F"/>
    <w:rsid w:val="00E555D9"/>
    <w:rsid w:val="00E55F3B"/>
    <w:rsid w:val="00E575A8"/>
    <w:rsid w:val="00E61494"/>
    <w:rsid w:val="00E62093"/>
    <w:rsid w:val="00E62CD8"/>
    <w:rsid w:val="00E63BA9"/>
    <w:rsid w:val="00E64C46"/>
    <w:rsid w:val="00E65438"/>
    <w:rsid w:val="00E679F3"/>
    <w:rsid w:val="00E70D4A"/>
    <w:rsid w:val="00E73763"/>
    <w:rsid w:val="00E740BD"/>
    <w:rsid w:val="00E76319"/>
    <w:rsid w:val="00E771FA"/>
    <w:rsid w:val="00E77374"/>
    <w:rsid w:val="00E8012D"/>
    <w:rsid w:val="00E82A51"/>
    <w:rsid w:val="00E8320E"/>
    <w:rsid w:val="00E839C3"/>
    <w:rsid w:val="00E85625"/>
    <w:rsid w:val="00E8608D"/>
    <w:rsid w:val="00E8777A"/>
    <w:rsid w:val="00E87A12"/>
    <w:rsid w:val="00E90043"/>
    <w:rsid w:val="00E90EA5"/>
    <w:rsid w:val="00E91480"/>
    <w:rsid w:val="00E922F8"/>
    <w:rsid w:val="00E925EF"/>
    <w:rsid w:val="00E94B5E"/>
    <w:rsid w:val="00E97FAC"/>
    <w:rsid w:val="00EA291B"/>
    <w:rsid w:val="00EA3B87"/>
    <w:rsid w:val="00EA48EF"/>
    <w:rsid w:val="00EA4A07"/>
    <w:rsid w:val="00EA57A4"/>
    <w:rsid w:val="00EA7358"/>
    <w:rsid w:val="00EB27D5"/>
    <w:rsid w:val="00EB371E"/>
    <w:rsid w:val="00EB4516"/>
    <w:rsid w:val="00EB5793"/>
    <w:rsid w:val="00EB6A4C"/>
    <w:rsid w:val="00EC119F"/>
    <w:rsid w:val="00EC1FAB"/>
    <w:rsid w:val="00EC2562"/>
    <w:rsid w:val="00EC433E"/>
    <w:rsid w:val="00EC4D2E"/>
    <w:rsid w:val="00EC59F4"/>
    <w:rsid w:val="00EC6003"/>
    <w:rsid w:val="00ED237C"/>
    <w:rsid w:val="00ED3B94"/>
    <w:rsid w:val="00ED78B5"/>
    <w:rsid w:val="00EE18A6"/>
    <w:rsid w:val="00EE338B"/>
    <w:rsid w:val="00EE5948"/>
    <w:rsid w:val="00EF0A11"/>
    <w:rsid w:val="00EF17E1"/>
    <w:rsid w:val="00EF2F41"/>
    <w:rsid w:val="00EF3D8D"/>
    <w:rsid w:val="00EF531E"/>
    <w:rsid w:val="00EF5FB5"/>
    <w:rsid w:val="00EF671D"/>
    <w:rsid w:val="00EF6D26"/>
    <w:rsid w:val="00F00469"/>
    <w:rsid w:val="00F00D2B"/>
    <w:rsid w:val="00F02E2E"/>
    <w:rsid w:val="00F046FC"/>
    <w:rsid w:val="00F05571"/>
    <w:rsid w:val="00F074A6"/>
    <w:rsid w:val="00F11112"/>
    <w:rsid w:val="00F11AA9"/>
    <w:rsid w:val="00F11C9E"/>
    <w:rsid w:val="00F12041"/>
    <w:rsid w:val="00F13893"/>
    <w:rsid w:val="00F14687"/>
    <w:rsid w:val="00F15455"/>
    <w:rsid w:val="00F16FAA"/>
    <w:rsid w:val="00F20938"/>
    <w:rsid w:val="00F20F5B"/>
    <w:rsid w:val="00F23526"/>
    <w:rsid w:val="00F256A3"/>
    <w:rsid w:val="00F25BA7"/>
    <w:rsid w:val="00F25CEB"/>
    <w:rsid w:val="00F30C5E"/>
    <w:rsid w:val="00F31452"/>
    <w:rsid w:val="00F31910"/>
    <w:rsid w:val="00F31E4A"/>
    <w:rsid w:val="00F337B3"/>
    <w:rsid w:val="00F343AC"/>
    <w:rsid w:val="00F345DF"/>
    <w:rsid w:val="00F35260"/>
    <w:rsid w:val="00F367E1"/>
    <w:rsid w:val="00F3744B"/>
    <w:rsid w:val="00F41D45"/>
    <w:rsid w:val="00F43310"/>
    <w:rsid w:val="00F475B4"/>
    <w:rsid w:val="00F50A1A"/>
    <w:rsid w:val="00F52F57"/>
    <w:rsid w:val="00F61E02"/>
    <w:rsid w:val="00F61E97"/>
    <w:rsid w:val="00F62312"/>
    <w:rsid w:val="00F62608"/>
    <w:rsid w:val="00F62AAF"/>
    <w:rsid w:val="00F63A37"/>
    <w:rsid w:val="00F63FBB"/>
    <w:rsid w:val="00F65AC5"/>
    <w:rsid w:val="00F71D0B"/>
    <w:rsid w:val="00F7263F"/>
    <w:rsid w:val="00F72ABF"/>
    <w:rsid w:val="00F7456C"/>
    <w:rsid w:val="00F75CF2"/>
    <w:rsid w:val="00F76A4F"/>
    <w:rsid w:val="00F840F2"/>
    <w:rsid w:val="00F85DDC"/>
    <w:rsid w:val="00F925A6"/>
    <w:rsid w:val="00F933C2"/>
    <w:rsid w:val="00F93CC9"/>
    <w:rsid w:val="00F93D10"/>
    <w:rsid w:val="00F94E71"/>
    <w:rsid w:val="00F97AF6"/>
    <w:rsid w:val="00FA15CB"/>
    <w:rsid w:val="00FA2E4A"/>
    <w:rsid w:val="00FA3967"/>
    <w:rsid w:val="00FA526C"/>
    <w:rsid w:val="00FA6D66"/>
    <w:rsid w:val="00FB20F9"/>
    <w:rsid w:val="00FB3909"/>
    <w:rsid w:val="00FB62A5"/>
    <w:rsid w:val="00FB6511"/>
    <w:rsid w:val="00FB6F8C"/>
    <w:rsid w:val="00FC0B32"/>
    <w:rsid w:val="00FC345C"/>
    <w:rsid w:val="00FC4E7B"/>
    <w:rsid w:val="00FC603A"/>
    <w:rsid w:val="00FD02A3"/>
    <w:rsid w:val="00FD0B7D"/>
    <w:rsid w:val="00FD3C99"/>
    <w:rsid w:val="00FD56D2"/>
    <w:rsid w:val="00FD5A87"/>
    <w:rsid w:val="00FD5DDE"/>
    <w:rsid w:val="00FE2445"/>
    <w:rsid w:val="00FF1688"/>
    <w:rsid w:val="00FF18B5"/>
    <w:rsid w:val="00FF1978"/>
    <w:rsid w:val="00FF37B8"/>
    <w:rsid w:val="01070189"/>
    <w:rsid w:val="013043DA"/>
    <w:rsid w:val="015400D5"/>
    <w:rsid w:val="01A40FDC"/>
    <w:rsid w:val="01A90E32"/>
    <w:rsid w:val="01AC4D75"/>
    <w:rsid w:val="01B01311"/>
    <w:rsid w:val="01D44C5E"/>
    <w:rsid w:val="01EA6649"/>
    <w:rsid w:val="01EC3CB7"/>
    <w:rsid w:val="01F71CB0"/>
    <w:rsid w:val="021A012F"/>
    <w:rsid w:val="023B6BC5"/>
    <w:rsid w:val="028C7299"/>
    <w:rsid w:val="02B64C75"/>
    <w:rsid w:val="03251DC7"/>
    <w:rsid w:val="03734FA4"/>
    <w:rsid w:val="03806B4B"/>
    <w:rsid w:val="03A63E01"/>
    <w:rsid w:val="03CB6431"/>
    <w:rsid w:val="04204AEE"/>
    <w:rsid w:val="04465300"/>
    <w:rsid w:val="04503065"/>
    <w:rsid w:val="047D7DE1"/>
    <w:rsid w:val="04C663ED"/>
    <w:rsid w:val="04C932B0"/>
    <w:rsid w:val="04D00FDC"/>
    <w:rsid w:val="05185851"/>
    <w:rsid w:val="058A727B"/>
    <w:rsid w:val="05940DA8"/>
    <w:rsid w:val="05AB5E10"/>
    <w:rsid w:val="05CD133F"/>
    <w:rsid w:val="05EF1064"/>
    <w:rsid w:val="06481E8A"/>
    <w:rsid w:val="068056C5"/>
    <w:rsid w:val="06887B2D"/>
    <w:rsid w:val="06995E90"/>
    <w:rsid w:val="06A7056C"/>
    <w:rsid w:val="06B70319"/>
    <w:rsid w:val="06B91FA7"/>
    <w:rsid w:val="06D24801"/>
    <w:rsid w:val="06DB5978"/>
    <w:rsid w:val="06E178FA"/>
    <w:rsid w:val="06E54ED6"/>
    <w:rsid w:val="072864AF"/>
    <w:rsid w:val="07305989"/>
    <w:rsid w:val="07524CAC"/>
    <w:rsid w:val="07890A9F"/>
    <w:rsid w:val="078A2856"/>
    <w:rsid w:val="07FA718E"/>
    <w:rsid w:val="07FD3CDD"/>
    <w:rsid w:val="083814E9"/>
    <w:rsid w:val="08446AE6"/>
    <w:rsid w:val="08546DEB"/>
    <w:rsid w:val="086B5BFC"/>
    <w:rsid w:val="08DD0599"/>
    <w:rsid w:val="08F91C2E"/>
    <w:rsid w:val="090318CF"/>
    <w:rsid w:val="09063F17"/>
    <w:rsid w:val="09160A3D"/>
    <w:rsid w:val="09165381"/>
    <w:rsid w:val="09466242"/>
    <w:rsid w:val="094E1C88"/>
    <w:rsid w:val="097C2398"/>
    <w:rsid w:val="09A832A0"/>
    <w:rsid w:val="09B5725D"/>
    <w:rsid w:val="0A8B34F0"/>
    <w:rsid w:val="0A8E10E1"/>
    <w:rsid w:val="0ACB2D7A"/>
    <w:rsid w:val="0ACB4DDA"/>
    <w:rsid w:val="0ACC089C"/>
    <w:rsid w:val="0AE82B7C"/>
    <w:rsid w:val="0B2B5596"/>
    <w:rsid w:val="0B4F4113"/>
    <w:rsid w:val="0B5F4146"/>
    <w:rsid w:val="0B6E7F6D"/>
    <w:rsid w:val="0B9D6E9E"/>
    <w:rsid w:val="0BA35725"/>
    <w:rsid w:val="0BAA6D4D"/>
    <w:rsid w:val="0BC47315"/>
    <w:rsid w:val="0BD67D62"/>
    <w:rsid w:val="0BEE0518"/>
    <w:rsid w:val="0C681D34"/>
    <w:rsid w:val="0CBB6E75"/>
    <w:rsid w:val="0D5154F9"/>
    <w:rsid w:val="0D7634CC"/>
    <w:rsid w:val="0D8D0E33"/>
    <w:rsid w:val="0DA06B9C"/>
    <w:rsid w:val="0DAC61D0"/>
    <w:rsid w:val="0DAD56DF"/>
    <w:rsid w:val="0DAE1303"/>
    <w:rsid w:val="0E1055B1"/>
    <w:rsid w:val="0E143186"/>
    <w:rsid w:val="0E220A3D"/>
    <w:rsid w:val="0E222D6B"/>
    <w:rsid w:val="0E4852B2"/>
    <w:rsid w:val="0E5B36DD"/>
    <w:rsid w:val="0EE35138"/>
    <w:rsid w:val="0F0D17BA"/>
    <w:rsid w:val="0F707896"/>
    <w:rsid w:val="0F766837"/>
    <w:rsid w:val="0F9227E3"/>
    <w:rsid w:val="0F9E78B0"/>
    <w:rsid w:val="0FD4414F"/>
    <w:rsid w:val="0FF562BE"/>
    <w:rsid w:val="10233D6C"/>
    <w:rsid w:val="102436B2"/>
    <w:rsid w:val="10385AD0"/>
    <w:rsid w:val="103C73AE"/>
    <w:rsid w:val="10881CB2"/>
    <w:rsid w:val="108D1610"/>
    <w:rsid w:val="109C2063"/>
    <w:rsid w:val="10D06909"/>
    <w:rsid w:val="10DD0B39"/>
    <w:rsid w:val="10F1445C"/>
    <w:rsid w:val="110D5CDC"/>
    <w:rsid w:val="111531CE"/>
    <w:rsid w:val="111D346E"/>
    <w:rsid w:val="11602A9B"/>
    <w:rsid w:val="117376DF"/>
    <w:rsid w:val="118A6762"/>
    <w:rsid w:val="119E109A"/>
    <w:rsid w:val="11AD1337"/>
    <w:rsid w:val="11D16026"/>
    <w:rsid w:val="11DB6A83"/>
    <w:rsid w:val="12016B9C"/>
    <w:rsid w:val="120417D4"/>
    <w:rsid w:val="120C3E34"/>
    <w:rsid w:val="122C5313"/>
    <w:rsid w:val="126F5250"/>
    <w:rsid w:val="12771033"/>
    <w:rsid w:val="12CD28D2"/>
    <w:rsid w:val="12D01A3C"/>
    <w:rsid w:val="12E92611"/>
    <w:rsid w:val="12FC6EC3"/>
    <w:rsid w:val="132239D1"/>
    <w:rsid w:val="13312078"/>
    <w:rsid w:val="13B3194E"/>
    <w:rsid w:val="13D00A07"/>
    <w:rsid w:val="13D03474"/>
    <w:rsid w:val="13D97488"/>
    <w:rsid w:val="13E9355F"/>
    <w:rsid w:val="13E95D32"/>
    <w:rsid w:val="142904CF"/>
    <w:rsid w:val="142F38E7"/>
    <w:rsid w:val="14552610"/>
    <w:rsid w:val="149633CE"/>
    <w:rsid w:val="14CB326D"/>
    <w:rsid w:val="14D57DDA"/>
    <w:rsid w:val="14E63F44"/>
    <w:rsid w:val="14F1085E"/>
    <w:rsid w:val="14F23782"/>
    <w:rsid w:val="14F80D41"/>
    <w:rsid w:val="150218E7"/>
    <w:rsid w:val="153A21B6"/>
    <w:rsid w:val="153A585B"/>
    <w:rsid w:val="158566CC"/>
    <w:rsid w:val="159B1396"/>
    <w:rsid w:val="15A71DBE"/>
    <w:rsid w:val="15CB0B6D"/>
    <w:rsid w:val="160D3A46"/>
    <w:rsid w:val="1612751F"/>
    <w:rsid w:val="162B6112"/>
    <w:rsid w:val="164F7F3E"/>
    <w:rsid w:val="173A53EC"/>
    <w:rsid w:val="17663B62"/>
    <w:rsid w:val="178A7E53"/>
    <w:rsid w:val="17986330"/>
    <w:rsid w:val="17CD4364"/>
    <w:rsid w:val="17E35B5A"/>
    <w:rsid w:val="17ED3B51"/>
    <w:rsid w:val="17F975C5"/>
    <w:rsid w:val="18633DEE"/>
    <w:rsid w:val="187535E9"/>
    <w:rsid w:val="18842C1C"/>
    <w:rsid w:val="18D71159"/>
    <w:rsid w:val="18F01094"/>
    <w:rsid w:val="19153A3C"/>
    <w:rsid w:val="192D769B"/>
    <w:rsid w:val="19493C08"/>
    <w:rsid w:val="19610EC1"/>
    <w:rsid w:val="19B35F80"/>
    <w:rsid w:val="19C56F9F"/>
    <w:rsid w:val="1A11765A"/>
    <w:rsid w:val="1A1E5751"/>
    <w:rsid w:val="1A3273FB"/>
    <w:rsid w:val="1A362C2B"/>
    <w:rsid w:val="1A3C4088"/>
    <w:rsid w:val="1A7F2C3F"/>
    <w:rsid w:val="1A934470"/>
    <w:rsid w:val="1A997BE0"/>
    <w:rsid w:val="1A9C3EE7"/>
    <w:rsid w:val="1A9E6F21"/>
    <w:rsid w:val="1ACA0826"/>
    <w:rsid w:val="1AE54DD9"/>
    <w:rsid w:val="1AEF4BA5"/>
    <w:rsid w:val="1B466E6F"/>
    <w:rsid w:val="1BD84A64"/>
    <w:rsid w:val="1BF02374"/>
    <w:rsid w:val="1C107AF5"/>
    <w:rsid w:val="1C234815"/>
    <w:rsid w:val="1C444A40"/>
    <w:rsid w:val="1C576B25"/>
    <w:rsid w:val="1C6270A9"/>
    <w:rsid w:val="1C9F4411"/>
    <w:rsid w:val="1CAD229D"/>
    <w:rsid w:val="1CB33AD0"/>
    <w:rsid w:val="1D157E7E"/>
    <w:rsid w:val="1D3D5A8F"/>
    <w:rsid w:val="1D8675D7"/>
    <w:rsid w:val="1DA901D7"/>
    <w:rsid w:val="1DFA594C"/>
    <w:rsid w:val="1E180A76"/>
    <w:rsid w:val="1E2C6D79"/>
    <w:rsid w:val="1E3A19CF"/>
    <w:rsid w:val="1E3B2B06"/>
    <w:rsid w:val="1E80408F"/>
    <w:rsid w:val="1EA6611E"/>
    <w:rsid w:val="1EB80A87"/>
    <w:rsid w:val="1EE91C3F"/>
    <w:rsid w:val="1F1F4634"/>
    <w:rsid w:val="1F5A7A27"/>
    <w:rsid w:val="1F6B2BC3"/>
    <w:rsid w:val="1F9A3D64"/>
    <w:rsid w:val="1FA00A84"/>
    <w:rsid w:val="1FCF0F79"/>
    <w:rsid w:val="1FFE1FFF"/>
    <w:rsid w:val="200C217B"/>
    <w:rsid w:val="201406F9"/>
    <w:rsid w:val="204F0012"/>
    <w:rsid w:val="2067726F"/>
    <w:rsid w:val="20724992"/>
    <w:rsid w:val="20AA7366"/>
    <w:rsid w:val="20AC57EA"/>
    <w:rsid w:val="20D47EA3"/>
    <w:rsid w:val="20E14485"/>
    <w:rsid w:val="20F72F03"/>
    <w:rsid w:val="21886C63"/>
    <w:rsid w:val="21A4208E"/>
    <w:rsid w:val="21C72261"/>
    <w:rsid w:val="21DF6C7E"/>
    <w:rsid w:val="2216778A"/>
    <w:rsid w:val="2224117D"/>
    <w:rsid w:val="22284550"/>
    <w:rsid w:val="222B4366"/>
    <w:rsid w:val="22330853"/>
    <w:rsid w:val="22353272"/>
    <w:rsid w:val="22640383"/>
    <w:rsid w:val="227D0607"/>
    <w:rsid w:val="228128BF"/>
    <w:rsid w:val="22941799"/>
    <w:rsid w:val="22D45E05"/>
    <w:rsid w:val="232651B9"/>
    <w:rsid w:val="23382530"/>
    <w:rsid w:val="235A03E3"/>
    <w:rsid w:val="235F3F9F"/>
    <w:rsid w:val="236A4EC8"/>
    <w:rsid w:val="23780760"/>
    <w:rsid w:val="23944CBB"/>
    <w:rsid w:val="23B002A7"/>
    <w:rsid w:val="24122728"/>
    <w:rsid w:val="24365D44"/>
    <w:rsid w:val="24557194"/>
    <w:rsid w:val="24617238"/>
    <w:rsid w:val="24AB288C"/>
    <w:rsid w:val="24AC127A"/>
    <w:rsid w:val="24AC40C1"/>
    <w:rsid w:val="24BF73ED"/>
    <w:rsid w:val="24D3579F"/>
    <w:rsid w:val="24E42C87"/>
    <w:rsid w:val="24E80824"/>
    <w:rsid w:val="24FB715E"/>
    <w:rsid w:val="25200810"/>
    <w:rsid w:val="252C1D37"/>
    <w:rsid w:val="25497D26"/>
    <w:rsid w:val="25580E84"/>
    <w:rsid w:val="259A3B93"/>
    <w:rsid w:val="25C32B1D"/>
    <w:rsid w:val="2609760F"/>
    <w:rsid w:val="263D0619"/>
    <w:rsid w:val="265B43C0"/>
    <w:rsid w:val="26817BEC"/>
    <w:rsid w:val="2699542D"/>
    <w:rsid w:val="26B17722"/>
    <w:rsid w:val="26F77B00"/>
    <w:rsid w:val="27036B00"/>
    <w:rsid w:val="27137775"/>
    <w:rsid w:val="277D27A6"/>
    <w:rsid w:val="27FA7098"/>
    <w:rsid w:val="27FB76C8"/>
    <w:rsid w:val="28066A60"/>
    <w:rsid w:val="284626CA"/>
    <w:rsid w:val="28527D82"/>
    <w:rsid w:val="285A36F2"/>
    <w:rsid w:val="287236F6"/>
    <w:rsid w:val="28A569C3"/>
    <w:rsid w:val="290939F8"/>
    <w:rsid w:val="291A1D7A"/>
    <w:rsid w:val="298358A0"/>
    <w:rsid w:val="29EA3FEF"/>
    <w:rsid w:val="29FE3D06"/>
    <w:rsid w:val="2A193293"/>
    <w:rsid w:val="2A317DC0"/>
    <w:rsid w:val="2A5164E5"/>
    <w:rsid w:val="2A940642"/>
    <w:rsid w:val="2AB76ADB"/>
    <w:rsid w:val="2AD544C9"/>
    <w:rsid w:val="2AE43D6D"/>
    <w:rsid w:val="2B110DAD"/>
    <w:rsid w:val="2B3F4063"/>
    <w:rsid w:val="2B676632"/>
    <w:rsid w:val="2B764EE7"/>
    <w:rsid w:val="2B944BBE"/>
    <w:rsid w:val="2BA86778"/>
    <w:rsid w:val="2BBB2BF5"/>
    <w:rsid w:val="2BCA7749"/>
    <w:rsid w:val="2BD61125"/>
    <w:rsid w:val="2BE05F26"/>
    <w:rsid w:val="2BF9208E"/>
    <w:rsid w:val="2C4169C9"/>
    <w:rsid w:val="2C482F99"/>
    <w:rsid w:val="2C623F16"/>
    <w:rsid w:val="2C673476"/>
    <w:rsid w:val="2C6D1F88"/>
    <w:rsid w:val="2C765A7B"/>
    <w:rsid w:val="2CC15B4B"/>
    <w:rsid w:val="2CE84FDC"/>
    <w:rsid w:val="2CF13F53"/>
    <w:rsid w:val="2D003B65"/>
    <w:rsid w:val="2D006C0C"/>
    <w:rsid w:val="2D024618"/>
    <w:rsid w:val="2D1C11CE"/>
    <w:rsid w:val="2D3B31EA"/>
    <w:rsid w:val="2D824512"/>
    <w:rsid w:val="2D8B6E5E"/>
    <w:rsid w:val="2D9707BD"/>
    <w:rsid w:val="2DA03633"/>
    <w:rsid w:val="2DAC4F44"/>
    <w:rsid w:val="2DE27FBC"/>
    <w:rsid w:val="2DF54AFA"/>
    <w:rsid w:val="2DFE2840"/>
    <w:rsid w:val="2E246D28"/>
    <w:rsid w:val="2E4513B2"/>
    <w:rsid w:val="2E452FBB"/>
    <w:rsid w:val="2E56052E"/>
    <w:rsid w:val="2E5776AE"/>
    <w:rsid w:val="2E891CAF"/>
    <w:rsid w:val="2E8938FA"/>
    <w:rsid w:val="2EA20052"/>
    <w:rsid w:val="2EF72B25"/>
    <w:rsid w:val="2F261564"/>
    <w:rsid w:val="2F2F348A"/>
    <w:rsid w:val="2F660815"/>
    <w:rsid w:val="2F6E7AFA"/>
    <w:rsid w:val="2F902E5E"/>
    <w:rsid w:val="2FAD6750"/>
    <w:rsid w:val="2FCB6894"/>
    <w:rsid w:val="2FDF0F79"/>
    <w:rsid w:val="2FF271C0"/>
    <w:rsid w:val="301F0AD3"/>
    <w:rsid w:val="304B3947"/>
    <w:rsid w:val="307D7968"/>
    <w:rsid w:val="310A5FE9"/>
    <w:rsid w:val="312A6E94"/>
    <w:rsid w:val="31350804"/>
    <w:rsid w:val="31403F72"/>
    <w:rsid w:val="314D6BB8"/>
    <w:rsid w:val="319E6D56"/>
    <w:rsid w:val="31AE3119"/>
    <w:rsid w:val="31C41E09"/>
    <w:rsid w:val="31F06DE2"/>
    <w:rsid w:val="31FA6843"/>
    <w:rsid w:val="320506C3"/>
    <w:rsid w:val="3205690D"/>
    <w:rsid w:val="322921FA"/>
    <w:rsid w:val="327356E9"/>
    <w:rsid w:val="32B11E86"/>
    <w:rsid w:val="32C07BB4"/>
    <w:rsid w:val="32ED4FEF"/>
    <w:rsid w:val="330E322B"/>
    <w:rsid w:val="331C7D52"/>
    <w:rsid w:val="332E1F7A"/>
    <w:rsid w:val="33340051"/>
    <w:rsid w:val="33390219"/>
    <w:rsid w:val="334D31CE"/>
    <w:rsid w:val="335A7067"/>
    <w:rsid w:val="337B28E7"/>
    <w:rsid w:val="33846DC3"/>
    <w:rsid w:val="338C5B0D"/>
    <w:rsid w:val="33B122BD"/>
    <w:rsid w:val="33E71CFE"/>
    <w:rsid w:val="33F476D6"/>
    <w:rsid w:val="344E1676"/>
    <w:rsid w:val="34611804"/>
    <w:rsid w:val="346B0761"/>
    <w:rsid w:val="346C65E7"/>
    <w:rsid w:val="34757882"/>
    <w:rsid w:val="347C0D68"/>
    <w:rsid w:val="349C4EB8"/>
    <w:rsid w:val="34AB1A90"/>
    <w:rsid w:val="34AD156D"/>
    <w:rsid w:val="34AF0BF0"/>
    <w:rsid w:val="34C27AC4"/>
    <w:rsid w:val="34EB0FA8"/>
    <w:rsid w:val="35B53714"/>
    <w:rsid w:val="35CA7091"/>
    <w:rsid w:val="35D13B09"/>
    <w:rsid w:val="35E948D8"/>
    <w:rsid w:val="361A3C22"/>
    <w:rsid w:val="36257D0C"/>
    <w:rsid w:val="3627776D"/>
    <w:rsid w:val="3631539D"/>
    <w:rsid w:val="363C68D2"/>
    <w:rsid w:val="36587AA5"/>
    <w:rsid w:val="370D3DFC"/>
    <w:rsid w:val="37683724"/>
    <w:rsid w:val="37B02A8C"/>
    <w:rsid w:val="37D030F6"/>
    <w:rsid w:val="37DE33AA"/>
    <w:rsid w:val="380C2B03"/>
    <w:rsid w:val="38384EF4"/>
    <w:rsid w:val="38F2445B"/>
    <w:rsid w:val="38FB58BB"/>
    <w:rsid w:val="39911FAC"/>
    <w:rsid w:val="39A31856"/>
    <w:rsid w:val="39E25E52"/>
    <w:rsid w:val="3A3F2D6C"/>
    <w:rsid w:val="3A521654"/>
    <w:rsid w:val="3A786A03"/>
    <w:rsid w:val="3AAA2714"/>
    <w:rsid w:val="3B220F54"/>
    <w:rsid w:val="3B2A24D9"/>
    <w:rsid w:val="3B416151"/>
    <w:rsid w:val="3BAA2B02"/>
    <w:rsid w:val="3BBB1808"/>
    <w:rsid w:val="3BCD14DA"/>
    <w:rsid w:val="3C005805"/>
    <w:rsid w:val="3C006EA5"/>
    <w:rsid w:val="3C3C179A"/>
    <w:rsid w:val="3C584AC4"/>
    <w:rsid w:val="3C973837"/>
    <w:rsid w:val="3CDD43AC"/>
    <w:rsid w:val="3CE91BC2"/>
    <w:rsid w:val="3D8E0CC4"/>
    <w:rsid w:val="3DA85093"/>
    <w:rsid w:val="3DB35286"/>
    <w:rsid w:val="3DCB28D9"/>
    <w:rsid w:val="3E1B256B"/>
    <w:rsid w:val="3E620775"/>
    <w:rsid w:val="3E6312D0"/>
    <w:rsid w:val="3E644519"/>
    <w:rsid w:val="3ED72D21"/>
    <w:rsid w:val="3EE020D6"/>
    <w:rsid w:val="3EEE1B84"/>
    <w:rsid w:val="3F0E63EB"/>
    <w:rsid w:val="3F6A56A2"/>
    <w:rsid w:val="3FA52123"/>
    <w:rsid w:val="40242547"/>
    <w:rsid w:val="402B1AC1"/>
    <w:rsid w:val="402B5CB5"/>
    <w:rsid w:val="403F48F5"/>
    <w:rsid w:val="4050715B"/>
    <w:rsid w:val="40824650"/>
    <w:rsid w:val="408459B1"/>
    <w:rsid w:val="40874EE6"/>
    <w:rsid w:val="41015884"/>
    <w:rsid w:val="41172AC8"/>
    <w:rsid w:val="413421F2"/>
    <w:rsid w:val="413C69F6"/>
    <w:rsid w:val="41402788"/>
    <w:rsid w:val="414914C5"/>
    <w:rsid w:val="41564127"/>
    <w:rsid w:val="42040642"/>
    <w:rsid w:val="42156510"/>
    <w:rsid w:val="421F0D5A"/>
    <w:rsid w:val="422E75D1"/>
    <w:rsid w:val="426632CC"/>
    <w:rsid w:val="427A05F9"/>
    <w:rsid w:val="428B2359"/>
    <w:rsid w:val="428E70F3"/>
    <w:rsid w:val="42A73111"/>
    <w:rsid w:val="42FB07E4"/>
    <w:rsid w:val="43083826"/>
    <w:rsid w:val="43285082"/>
    <w:rsid w:val="43C324DF"/>
    <w:rsid w:val="43DF7761"/>
    <w:rsid w:val="43ED3EB2"/>
    <w:rsid w:val="443876D1"/>
    <w:rsid w:val="44555797"/>
    <w:rsid w:val="44903EEF"/>
    <w:rsid w:val="44CE24F2"/>
    <w:rsid w:val="44E6642E"/>
    <w:rsid w:val="450407F9"/>
    <w:rsid w:val="45052F15"/>
    <w:rsid w:val="450872BD"/>
    <w:rsid w:val="452A6FFD"/>
    <w:rsid w:val="45595FB7"/>
    <w:rsid w:val="455E4967"/>
    <w:rsid w:val="4561629E"/>
    <w:rsid w:val="458B614E"/>
    <w:rsid w:val="458E7A34"/>
    <w:rsid w:val="459D7420"/>
    <w:rsid w:val="45AA7E5A"/>
    <w:rsid w:val="45C412A0"/>
    <w:rsid w:val="463F36EF"/>
    <w:rsid w:val="465C4836"/>
    <w:rsid w:val="46714721"/>
    <w:rsid w:val="469D4F25"/>
    <w:rsid w:val="46CE7B51"/>
    <w:rsid w:val="46DA3884"/>
    <w:rsid w:val="47482328"/>
    <w:rsid w:val="477A1C52"/>
    <w:rsid w:val="478000ED"/>
    <w:rsid w:val="47891B0A"/>
    <w:rsid w:val="478D1200"/>
    <w:rsid w:val="47E42D99"/>
    <w:rsid w:val="48784BA4"/>
    <w:rsid w:val="48D9240A"/>
    <w:rsid w:val="490309FA"/>
    <w:rsid w:val="49342E48"/>
    <w:rsid w:val="49476F4C"/>
    <w:rsid w:val="494C4D5B"/>
    <w:rsid w:val="4965246A"/>
    <w:rsid w:val="498219D3"/>
    <w:rsid w:val="498D689D"/>
    <w:rsid w:val="49B30028"/>
    <w:rsid w:val="49CD1A6F"/>
    <w:rsid w:val="49EA1F99"/>
    <w:rsid w:val="49FD6918"/>
    <w:rsid w:val="4A0B09E9"/>
    <w:rsid w:val="4A2122AF"/>
    <w:rsid w:val="4A314836"/>
    <w:rsid w:val="4A696CC5"/>
    <w:rsid w:val="4A8E6D42"/>
    <w:rsid w:val="4A9A6572"/>
    <w:rsid w:val="4AA0437F"/>
    <w:rsid w:val="4AAD68CF"/>
    <w:rsid w:val="4ABC3396"/>
    <w:rsid w:val="4ACC58C6"/>
    <w:rsid w:val="4B37152D"/>
    <w:rsid w:val="4B645CE1"/>
    <w:rsid w:val="4B763DE4"/>
    <w:rsid w:val="4BDA2711"/>
    <w:rsid w:val="4C16767E"/>
    <w:rsid w:val="4C1D5CBF"/>
    <w:rsid w:val="4C7C7495"/>
    <w:rsid w:val="4D05576C"/>
    <w:rsid w:val="4D115B26"/>
    <w:rsid w:val="4D574CC8"/>
    <w:rsid w:val="4D672F6A"/>
    <w:rsid w:val="4D851D35"/>
    <w:rsid w:val="4DF32793"/>
    <w:rsid w:val="4DF50ABB"/>
    <w:rsid w:val="4DFC6946"/>
    <w:rsid w:val="4E030A01"/>
    <w:rsid w:val="4E226405"/>
    <w:rsid w:val="4E22642E"/>
    <w:rsid w:val="4E453263"/>
    <w:rsid w:val="4E524ECA"/>
    <w:rsid w:val="4ECF77BA"/>
    <w:rsid w:val="4F062086"/>
    <w:rsid w:val="4F263F18"/>
    <w:rsid w:val="4F68289F"/>
    <w:rsid w:val="4FCF3396"/>
    <w:rsid w:val="4FF62BF1"/>
    <w:rsid w:val="501A45B3"/>
    <w:rsid w:val="504D4B43"/>
    <w:rsid w:val="50856D8B"/>
    <w:rsid w:val="50D11711"/>
    <w:rsid w:val="51120FFB"/>
    <w:rsid w:val="51406A27"/>
    <w:rsid w:val="5148614F"/>
    <w:rsid w:val="515A61EE"/>
    <w:rsid w:val="515C1F97"/>
    <w:rsid w:val="516C6FD6"/>
    <w:rsid w:val="51AA6652"/>
    <w:rsid w:val="51AD3CC2"/>
    <w:rsid w:val="51BB1BCC"/>
    <w:rsid w:val="529359E1"/>
    <w:rsid w:val="52B6091F"/>
    <w:rsid w:val="52B656DE"/>
    <w:rsid w:val="530910CA"/>
    <w:rsid w:val="53190502"/>
    <w:rsid w:val="533F391D"/>
    <w:rsid w:val="53AA7718"/>
    <w:rsid w:val="53B658F2"/>
    <w:rsid w:val="53BD3C74"/>
    <w:rsid w:val="53FE704E"/>
    <w:rsid w:val="54045384"/>
    <w:rsid w:val="54081519"/>
    <w:rsid w:val="542A66F2"/>
    <w:rsid w:val="543C50CC"/>
    <w:rsid w:val="54420585"/>
    <w:rsid w:val="544C1458"/>
    <w:rsid w:val="545825F7"/>
    <w:rsid w:val="54A33DB3"/>
    <w:rsid w:val="54B84010"/>
    <w:rsid w:val="55063B42"/>
    <w:rsid w:val="55223863"/>
    <w:rsid w:val="55286E96"/>
    <w:rsid w:val="554B000F"/>
    <w:rsid w:val="55980015"/>
    <w:rsid w:val="55DC1FB5"/>
    <w:rsid w:val="55DD513F"/>
    <w:rsid w:val="56372AA1"/>
    <w:rsid w:val="5639633B"/>
    <w:rsid w:val="56405511"/>
    <w:rsid w:val="56B95A10"/>
    <w:rsid w:val="56CC434C"/>
    <w:rsid w:val="56CE1133"/>
    <w:rsid w:val="56E67940"/>
    <w:rsid w:val="570E5D89"/>
    <w:rsid w:val="57303572"/>
    <w:rsid w:val="57707025"/>
    <w:rsid w:val="579E2D70"/>
    <w:rsid w:val="57D64536"/>
    <w:rsid w:val="57E50B8B"/>
    <w:rsid w:val="57EB2714"/>
    <w:rsid w:val="57FC23B9"/>
    <w:rsid w:val="584D3510"/>
    <w:rsid w:val="58C77451"/>
    <w:rsid w:val="58FA7A77"/>
    <w:rsid w:val="593302AB"/>
    <w:rsid w:val="59496648"/>
    <w:rsid w:val="5953033D"/>
    <w:rsid w:val="59536F3C"/>
    <w:rsid w:val="596F1DF0"/>
    <w:rsid w:val="59CF0ACD"/>
    <w:rsid w:val="5A5D2DA5"/>
    <w:rsid w:val="5A653DAC"/>
    <w:rsid w:val="5A8615D2"/>
    <w:rsid w:val="5A897059"/>
    <w:rsid w:val="5A901FD7"/>
    <w:rsid w:val="5AA347D7"/>
    <w:rsid w:val="5AAF4EDD"/>
    <w:rsid w:val="5B0168C5"/>
    <w:rsid w:val="5B391752"/>
    <w:rsid w:val="5B526ADE"/>
    <w:rsid w:val="5B5C08C9"/>
    <w:rsid w:val="5B703410"/>
    <w:rsid w:val="5B7F4A76"/>
    <w:rsid w:val="5B85605C"/>
    <w:rsid w:val="5B86121E"/>
    <w:rsid w:val="5B9837B7"/>
    <w:rsid w:val="5B9E5287"/>
    <w:rsid w:val="5B9F5F52"/>
    <w:rsid w:val="5BA45945"/>
    <w:rsid w:val="5BB0251E"/>
    <w:rsid w:val="5BD70292"/>
    <w:rsid w:val="5BDE1764"/>
    <w:rsid w:val="5BF705DC"/>
    <w:rsid w:val="5C1B04DF"/>
    <w:rsid w:val="5C347657"/>
    <w:rsid w:val="5C5E0135"/>
    <w:rsid w:val="5C8E6988"/>
    <w:rsid w:val="5CA822E7"/>
    <w:rsid w:val="5CFB75BB"/>
    <w:rsid w:val="5D076BDA"/>
    <w:rsid w:val="5D3D3982"/>
    <w:rsid w:val="5D710740"/>
    <w:rsid w:val="5D8273CA"/>
    <w:rsid w:val="5D977366"/>
    <w:rsid w:val="5DB16FE2"/>
    <w:rsid w:val="5DC0325D"/>
    <w:rsid w:val="5DF77DDD"/>
    <w:rsid w:val="5E204427"/>
    <w:rsid w:val="5E6E2DD8"/>
    <w:rsid w:val="5E86403E"/>
    <w:rsid w:val="5E9C45FE"/>
    <w:rsid w:val="5EBB429A"/>
    <w:rsid w:val="5EBF71A3"/>
    <w:rsid w:val="5F0C271E"/>
    <w:rsid w:val="5F1631AB"/>
    <w:rsid w:val="5F1A4995"/>
    <w:rsid w:val="5F511235"/>
    <w:rsid w:val="5F691631"/>
    <w:rsid w:val="5FD93B75"/>
    <w:rsid w:val="5FDD0D1D"/>
    <w:rsid w:val="600879BB"/>
    <w:rsid w:val="60381B47"/>
    <w:rsid w:val="605047C6"/>
    <w:rsid w:val="60B151FE"/>
    <w:rsid w:val="60B847DE"/>
    <w:rsid w:val="60CA0AA6"/>
    <w:rsid w:val="60D51B82"/>
    <w:rsid w:val="60D63510"/>
    <w:rsid w:val="60DA4BC5"/>
    <w:rsid w:val="60FA5CD7"/>
    <w:rsid w:val="61212C41"/>
    <w:rsid w:val="61CF490F"/>
    <w:rsid w:val="61F02C9C"/>
    <w:rsid w:val="62334279"/>
    <w:rsid w:val="623E3CD7"/>
    <w:rsid w:val="62481E6C"/>
    <w:rsid w:val="624D71A8"/>
    <w:rsid w:val="625A626A"/>
    <w:rsid w:val="629D2A05"/>
    <w:rsid w:val="62A05F82"/>
    <w:rsid w:val="62DD5E12"/>
    <w:rsid w:val="63337CD3"/>
    <w:rsid w:val="634F64FE"/>
    <w:rsid w:val="63545CAE"/>
    <w:rsid w:val="63A50CE5"/>
    <w:rsid w:val="63C660AA"/>
    <w:rsid w:val="641E60D1"/>
    <w:rsid w:val="64494641"/>
    <w:rsid w:val="64584111"/>
    <w:rsid w:val="6471044C"/>
    <w:rsid w:val="6496370C"/>
    <w:rsid w:val="649D05EB"/>
    <w:rsid w:val="64A47716"/>
    <w:rsid w:val="64B61886"/>
    <w:rsid w:val="64BC40C1"/>
    <w:rsid w:val="651A0044"/>
    <w:rsid w:val="656132A5"/>
    <w:rsid w:val="656E7BE6"/>
    <w:rsid w:val="658F23C8"/>
    <w:rsid w:val="65A70FB5"/>
    <w:rsid w:val="65B06387"/>
    <w:rsid w:val="65B132AF"/>
    <w:rsid w:val="66051108"/>
    <w:rsid w:val="661867FC"/>
    <w:rsid w:val="663C1E0D"/>
    <w:rsid w:val="669A3353"/>
    <w:rsid w:val="66C43018"/>
    <w:rsid w:val="66DF0127"/>
    <w:rsid w:val="67067257"/>
    <w:rsid w:val="670A0148"/>
    <w:rsid w:val="67B6097E"/>
    <w:rsid w:val="67E4780D"/>
    <w:rsid w:val="67E7173D"/>
    <w:rsid w:val="67E82794"/>
    <w:rsid w:val="68114388"/>
    <w:rsid w:val="684F5758"/>
    <w:rsid w:val="68561FAC"/>
    <w:rsid w:val="686670D4"/>
    <w:rsid w:val="68756D4B"/>
    <w:rsid w:val="6896508D"/>
    <w:rsid w:val="68BF47A6"/>
    <w:rsid w:val="691B3C1E"/>
    <w:rsid w:val="691C40BF"/>
    <w:rsid w:val="693444EE"/>
    <w:rsid w:val="699E65F2"/>
    <w:rsid w:val="69AC03E8"/>
    <w:rsid w:val="69EF3D7E"/>
    <w:rsid w:val="69FA6151"/>
    <w:rsid w:val="6A3E79E1"/>
    <w:rsid w:val="6A46701D"/>
    <w:rsid w:val="6A71323B"/>
    <w:rsid w:val="6AA41768"/>
    <w:rsid w:val="6AB56834"/>
    <w:rsid w:val="6ACA2794"/>
    <w:rsid w:val="6AD4429A"/>
    <w:rsid w:val="6AEB6A46"/>
    <w:rsid w:val="6AEB755E"/>
    <w:rsid w:val="6B173A99"/>
    <w:rsid w:val="6B1E781E"/>
    <w:rsid w:val="6B286EC3"/>
    <w:rsid w:val="6B504004"/>
    <w:rsid w:val="6B5811A1"/>
    <w:rsid w:val="6B7E2193"/>
    <w:rsid w:val="6B955B72"/>
    <w:rsid w:val="6BBD1855"/>
    <w:rsid w:val="6C0F4AB3"/>
    <w:rsid w:val="6C4931AC"/>
    <w:rsid w:val="6C5C4BB7"/>
    <w:rsid w:val="6C724041"/>
    <w:rsid w:val="6CD22585"/>
    <w:rsid w:val="6D505D9E"/>
    <w:rsid w:val="6D877774"/>
    <w:rsid w:val="6DB37ADD"/>
    <w:rsid w:val="6DF2279E"/>
    <w:rsid w:val="6E124877"/>
    <w:rsid w:val="6E443B19"/>
    <w:rsid w:val="6E5E45E4"/>
    <w:rsid w:val="6E5E7E57"/>
    <w:rsid w:val="6E9C46B9"/>
    <w:rsid w:val="6EA76BFD"/>
    <w:rsid w:val="6ECE20EC"/>
    <w:rsid w:val="6ECF2C50"/>
    <w:rsid w:val="6EDA6A37"/>
    <w:rsid w:val="6EE774EE"/>
    <w:rsid w:val="6EEF5864"/>
    <w:rsid w:val="6F356B04"/>
    <w:rsid w:val="6F466928"/>
    <w:rsid w:val="6F6453D8"/>
    <w:rsid w:val="6F6A3DF9"/>
    <w:rsid w:val="6F75503A"/>
    <w:rsid w:val="6F766A9D"/>
    <w:rsid w:val="6F9D6246"/>
    <w:rsid w:val="6FC212D0"/>
    <w:rsid w:val="6FD958D4"/>
    <w:rsid w:val="6FE32251"/>
    <w:rsid w:val="70515DE9"/>
    <w:rsid w:val="70603F55"/>
    <w:rsid w:val="70742697"/>
    <w:rsid w:val="70990B51"/>
    <w:rsid w:val="70A12ACC"/>
    <w:rsid w:val="70DC2A8C"/>
    <w:rsid w:val="70FC308D"/>
    <w:rsid w:val="716166B7"/>
    <w:rsid w:val="71707B41"/>
    <w:rsid w:val="71F93AAA"/>
    <w:rsid w:val="72286584"/>
    <w:rsid w:val="72432788"/>
    <w:rsid w:val="727F5367"/>
    <w:rsid w:val="72C632B9"/>
    <w:rsid w:val="72DA43C5"/>
    <w:rsid w:val="72F72DB1"/>
    <w:rsid w:val="730C6310"/>
    <w:rsid w:val="731779C9"/>
    <w:rsid w:val="733167B8"/>
    <w:rsid w:val="73373D98"/>
    <w:rsid w:val="73600BEC"/>
    <w:rsid w:val="737E1222"/>
    <w:rsid w:val="73CC56E1"/>
    <w:rsid w:val="73D17101"/>
    <w:rsid w:val="743218D5"/>
    <w:rsid w:val="74402DE1"/>
    <w:rsid w:val="745F2751"/>
    <w:rsid w:val="74637786"/>
    <w:rsid w:val="746C3A7F"/>
    <w:rsid w:val="74811CAA"/>
    <w:rsid w:val="74842EFD"/>
    <w:rsid w:val="74996F42"/>
    <w:rsid w:val="74A3067C"/>
    <w:rsid w:val="74A73B93"/>
    <w:rsid w:val="74C65EC5"/>
    <w:rsid w:val="74F65AE5"/>
    <w:rsid w:val="75072C43"/>
    <w:rsid w:val="75366365"/>
    <w:rsid w:val="75402790"/>
    <w:rsid w:val="755D7ED3"/>
    <w:rsid w:val="757A2A06"/>
    <w:rsid w:val="758572F9"/>
    <w:rsid w:val="758959DB"/>
    <w:rsid w:val="75BA49BB"/>
    <w:rsid w:val="763B18F9"/>
    <w:rsid w:val="763F5AF9"/>
    <w:rsid w:val="76421DF5"/>
    <w:rsid w:val="765A7E25"/>
    <w:rsid w:val="767029D9"/>
    <w:rsid w:val="76D138FA"/>
    <w:rsid w:val="772A2FAB"/>
    <w:rsid w:val="77445891"/>
    <w:rsid w:val="775337B6"/>
    <w:rsid w:val="77610BF0"/>
    <w:rsid w:val="777E3D9E"/>
    <w:rsid w:val="77C36F63"/>
    <w:rsid w:val="77E04CE9"/>
    <w:rsid w:val="78057AA8"/>
    <w:rsid w:val="780B11C6"/>
    <w:rsid w:val="781626B5"/>
    <w:rsid w:val="783F3752"/>
    <w:rsid w:val="78554DE4"/>
    <w:rsid w:val="78655EDA"/>
    <w:rsid w:val="78706A00"/>
    <w:rsid w:val="789445F0"/>
    <w:rsid w:val="78AF159F"/>
    <w:rsid w:val="78DF74FA"/>
    <w:rsid w:val="79154E14"/>
    <w:rsid w:val="7922383A"/>
    <w:rsid w:val="79291CC8"/>
    <w:rsid w:val="79294131"/>
    <w:rsid w:val="792B2E43"/>
    <w:rsid w:val="79993CE9"/>
    <w:rsid w:val="799C50A0"/>
    <w:rsid w:val="79F62EB7"/>
    <w:rsid w:val="7A367F12"/>
    <w:rsid w:val="7A462FA4"/>
    <w:rsid w:val="7A517A6A"/>
    <w:rsid w:val="7A9B67AC"/>
    <w:rsid w:val="7ACF578D"/>
    <w:rsid w:val="7AD067FF"/>
    <w:rsid w:val="7ADA73E2"/>
    <w:rsid w:val="7AF60ADD"/>
    <w:rsid w:val="7B0B780C"/>
    <w:rsid w:val="7B4D1FE6"/>
    <w:rsid w:val="7B5C0DDB"/>
    <w:rsid w:val="7BA03CE4"/>
    <w:rsid w:val="7BA34F2A"/>
    <w:rsid w:val="7BA66531"/>
    <w:rsid w:val="7BB832AB"/>
    <w:rsid w:val="7BD34415"/>
    <w:rsid w:val="7BD36D14"/>
    <w:rsid w:val="7BE0126F"/>
    <w:rsid w:val="7BF63BED"/>
    <w:rsid w:val="7C073646"/>
    <w:rsid w:val="7C301C08"/>
    <w:rsid w:val="7C550735"/>
    <w:rsid w:val="7C961A99"/>
    <w:rsid w:val="7CAB44A2"/>
    <w:rsid w:val="7CBC693C"/>
    <w:rsid w:val="7CE1335E"/>
    <w:rsid w:val="7D0C5996"/>
    <w:rsid w:val="7D155F6B"/>
    <w:rsid w:val="7D2D4B5E"/>
    <w:rsid w:val="7D3F009F"/>
    <w:rsid w:val="7D43377B"/>
    <w:rsid w:val="7D780E84"/>
    <w:rsid w:val="7D795032"/>
    <w:rsid w:val="7D906BEE"/>
    <w:rsid w:val="7DA5058D"/>
    <w:rsid w:val="7DAF2F94"/>
    <w:rsid w:val="7DED73F5"/>
    <w:rsid w:val="7E1E782E"/>
    <w:rsid w:val="7E2E4E45"/>
    <w:rsid w:val="7E4D5D87"/>
    <w:rsid w:val="7E6424B5"/>
    <w:rsid w:val="7E683732"/>
    <w:rsid w:val="7EAE6660"/>
    <w:rsid w:val="7EC86A63"/>
    <w:rsid w:val="7EDE6695"/>
    <w:rsid w:val="7EF15931"/>
    <w:rsid w:val="7EF461D9"/>
    <w:rsid w:val="7F047B6E"/>
    <w:rsid w:val="7F1E62BD"/>
    <w:rsid w:val="7F9E35D9"/>
    <w:rsid w:val="7FC825C9"/>
    <w:rsid w:val="7FD47DFC"/>
    <w:rsid w:val="BABEE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right" w:leader="dot" w:pos="8296"/>
      </w:tabs>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42"/>
    <w:qFormat/>
    <w:uiPriority w:val="0"/>
    <w:pPr>
      <w:keepNext/>
      <w:numPr>
        <w:ilvl w:val="0"/>
        <w:numId w:val="1"/>
      </w:numPr>
      <w:tabs>
        <w:tab w:val="clear" w:pos="0"/>
      </w:tabs>
      <w:adjustRightInd w:val="0"/>
      <w:snapToGrid w:val="0"/>
      <w:spacing w:before="120" w:after="120"/>
      <w:ind w:firstLine="880"/>
      <w:outlineLvl w:val="0"/>
    </w:pPr>
    <w:rPr>
      <w:rFonts w:eastAsia="黑体"/>
      <w:bCs/>
      <w:kern w:val="44"/>
      <w:szCs w:val="44"/>
    </w:rPr>
  </w:style>
  <w:style w:type="paragraph" w:styleId="5">
    <w:name w:val="heading 2"/>
    <w:basedOn w:val="1"/>
    <w:next w:val="1"/>
    <w:qFormat/>
    <w:uiPriority w:val="0"/>
    <w:pPr>
      <w:keepNext/>
      <w:numPr>
        <w:ilvl w:val="1"/>
        <w:numId w:val="1"/>
      </w:numPr>
      <w:adjustRightInd w:val="0"/>
      <w:snapToGrid w:val="0"/>
      <w:spacing w:before="120" w:after="120"/>
      <w:ind w:firstLineChars="0"/>
      <w:outlineLvl w:val="1"/>
    </w:pPr>
    <w:rPr>
      <w:rFonts w:ascii="Cambria" w:hAnsi="Cambria" w:eastAsia="楷体_GB2312"/>
      <w:bCs/>
    </w:rPr>
  </w:style>
  <w:style w:type="paragraph" w:styleId="6">
    <w:name w:val="heading 3"/>
    <w:basedOn w:val="1"/>
    <w:next w:val="1"/>
    <w:link w:val="43"/>
    <w:qFormat/>
    <w:uiPriority w:val="0"/>
    <w:pPr>
      <w:keepNext/>
      <w:numPr>
        <w:ilvl w:val="2"/>
        <w:numId w:val="1"/>
      </w:numPr>
      <w:tabs>
        <w:tab w:val="left" w:pos="0"/>
      </w:tabs>
      <w:adjustRightInd w:val="0"/>
      <w:snapToGrid w:val="0"/>
      <w:ind w:firstLine="0" w:firstLineChars="0"/>
      <w:contextualSpacing/>
      <w:outlineLvl w:val="2"/>
    </w:pPr>
    <w:rPr>
      <w:rFonts w:cs="楷体"/>
      <w:b/>
      <w:szCs w:val="32"/>
    </w:rPr>
  </w:style>
  <w:style w:type="paragraph" w:styleId="7">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eastAsia="黑体"/>
      <w:b/>
      <w:sz w:val="28"/>
    </w:rPr>
  </w:style>
  <w:style w:type="paragraph" w:styleId="8">
    <w:name w:val="heading 5"/>
    <w:basedOn w:val="1"/>
    <w:next w:val="1"/>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9">
    <w:name w:val="heading 6"/>
    <w:basedOn w:val="1"/>
    <w:next w:val="1"/>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10">
    <w:name w:val="heading 7"/>
    <w:basedOn w:val="1"/>
    <w:next w:val="1"/>
    <w:unhideWhenUsed/>
    <w:qFormat/>
    <w:uiPriority w:val="0"/>
    <w:pPr>
      <w:keepNext/>
      <w:keepLines/>
      <w:numPr>
        <w:ilvl w:val="6"/>
        <w:numId w:val="1"/>
      </w:numPr>
      <w:spacing w:before="240" w:after="64" w:line="317" w:lineRule="auto"/>
      <w:ind w:firstLine="0" w:firstLineChars="0"/>
      <w:outlineLvl w:val="6"/>
    </w:pPr>
    <w:rPr>
      <w:b/>
      <w:sz w:val="24"/>
    </w:rPr>
  </w:style>
  <w:style w:type="paragraph" w:styleId="11">
    <w:name w:val="heading 8"/>
    <w:basedOn w:val="1"/>
    <w:next w:val="1"/>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2">
    <w:name w:val="heading 9"/>
    <w:basedOn w:val="1"/>
    <w:next w:val="1"/>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unhideWhenUsed/>
    <w:qFormat/>
    <w:uiPriority w:val="99"/>
    <w:pPr>
      <w:spacing w:after="12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3">
    <w:name w:val="toc 7"/>
    <w:basedOn w:val="1"/>
    <w:next w:val="1"/>
    <w:autoRedefine/>
    <w:unhideWhenUsed/>
    <w:qFormat/>
    <w:uiPriority w:val="39"/>
    <w:pPr>
      <w:tabs>
        <w:tab w:val="clear" w:pos="8296"/>
      </w:tabs>
      <w:spacing w:line="240" w:lineRule="auto"/>
      <w:ind w:left="2520" w:leftChars="1200" w:firstLine="0" w:firstLineChars="0"/>
    </w:pPr>
    <w:rPr>
      <w:rFonts w:asciiTheme="minorHAnsi" w:hAnsiTheme="minorHAnsi" w:eastAsiaTheme="minorEastAsia" w:cstheme="minorBidi"/>
      <w:sz w:val="21"/>
      <w:szCs w:val="22"/>
      <w14:ligatures w14:val="standardContextual"/>
    </w:rPr>
  </w:style>
  <w:style w:type="paragraph" w:styleId="14">
    <w:name w:val="Normal Indent"/>
    <w:basedOn w:val="1"/>
    <w:next w:val="1"/>
    <w:qFormat/>
    <w:uiPriority w:val="0"/>
    <w:pPr>
      <w:spacing w:line="540" w:lineRule="exact"/>
      <w:ind w:firstLine="420"/>
    </w:pPr>
    <w:rPr>
      <w:sz w:val="36"/>
      <w:szCs w:val="20"/>
    </w:rPr>
  </w:style>
  <w:style w:type="paragraph" w:styleId="15">
    <w:name w:val="Document Map"/>
    <w:basedOn w:val="1"/>
    <w:link w:val="44"/>
    <w:unhideWhenUsed/>
    <w:qFormat/>
    <w:uiPriority w:val="99"/>
    <w:pPr>
      <w:tabs>
        <w:tab w:val="clear" w:pos="8296"/>
      </w:tabs>
      <w:contextualSpacing/>
    </w:pPr>
    <w:rPr>
      <w:rFonts w:ascii="Microsoft YaHei UI" w:eastAsia="Microsoft YaHei UI"/>
      <w:sz w:val="18"/>
      <w:szCs w:val="18"/>
    </w:rPr>
  </w:style>
  <w:style w:type="paragraph" w:styleId="16">
    <w:name w:val="annotation text"/>
    <w:basedOn w:val="1"/>
    <w:link w:val="64"/>
    <w:qFormat/>
    <w:uiPriority w:val="0"/>
    <w:pPr>
      <w:jc w:val="left"/>
    </w:pPr>
  </w:style>
  <w:style w:type="paragraph" w:styleId="17">
    <w:name w:val="Block Text"/>
    <w:basedOn w:val="1"/>
    <w:unhideWhenUsed/>
    <w:qFormat/>
    <w:uiPriority w:val="99"/>
    <w:pPr>
      <w:tabs>
        <w:tab w:val="clear" w:pos="8296"/>
      </w:tabs>
      <w:spacing w:after="120" w:line="240" w:lineRule="auto"/>
      <w:ind w:left="1440" w:leftChars="700" w:right="1440" w:rightChars="700" w:firstLine="0" w:firstLineChars="0"/>
    </w:pPr>
    <w:rPr>
      <w:rFonts w:ascii="Calibri" w:hAnsi="Calibri" w:eastAsia="宋体"/>
      <w:sz w:val="21"/>
    </w:rPr>
  </w:style>
  <w:style w:type="paragraph" w:styleId="18">
    <w:name w:val="toc 5"/>
    <w:basedOn w:val="1"/>
    <w:next w:val="1"/>
    <w:autoRedefine/>
    <w:unhideWhenUsed/>
    <w:qFormat/>
    <w:uiPriority w:val="39"/>
    <w:pPr>
      <w:tabs>
        <w:tab w:val="clear" w:pos="8296"/>
      </w:tabs>
      <w:spacing w:line="240" w:lineRule="auto"/>
      <w:ind w:left="1680" w:leftChars="800" w:firstLine="0" w:firstLineChars="0"/>
    </w:pPr>
    <w:rPr>
      <w:rFonts w:asciiTheme="minorHAnsi" w:hAnsiTheme="minorHAnsi" w:eastAsiaTheme="minorEastAsia" w:cstheme="minorBidi"/>
      <w:sz w:val="21"/>
      <w:szCs w:val="22"/>
      <w14:ligatures w14:val="standardContextual"/>
    </w:rPr>
  </w:style>
  <w:style w:type="paragraph" w:styleId="19">
    <w:name w:val="toc 3"/>
    <w:basedOn w:val="1"/>
    <w:next w:val="1"/>
    <w:qFormat/>
    <w:uiPriority w:val="39"/>
  </w:style>
  <w:style w:type="paragraph" w:styleId="20">
    <w:name w:val="Plain Text"/>
    <w:basedOn w:val="1"/>
    <w:link w:val="55"/>
    <w:qFormat/>
    <w:uiPriority w:val="0"/>
    <w:rPr>
      <w:rFonts w:ascii="宋体" w:hAnsi="Courier New" w:eastAsia="宋体"/>
    </w:rPr>
  </w:style>
  <w:style w:type="paragraph" w:styleId="21">
    <w:name w:val="toc 8"/>
    <w:basedOn w:val="1"/>
    <w:next w:val="1"/>
    <w:autoRedefine/>
    <w:unhideWhenUsed/>
    <w:qFormat/>
    <w:uiPriority w:val="39"/>
    <w:pPr>
      <w:tabs>
        <w:tab w:val="clear" w:pos="8296"/>
      </w:tabs>
      <w:spacing w:line="240" w:lineRule="auto"/>
      <w:ind w:left="2940" w:leftChars="1400" w:firstLine="0" w:firstLineChars="0"/>
    </w:pPr>
    <w:rPr>
      <w:rFonts w:asciiTheme="minorHAnsi" w:hAnsiTheme="minorHAnsi" w:eastAsiaTheme="minorEastAsia" w:cstheme="minorBidi"/>
      <w:sz w:val="21"/>
      <w:szCs w:val="22"/>
      <w14:ligatures w14:val="standardContextual"/>
    </w:rPr>
  </w:style>
  <w:style w:type="paragraph" w:styleId="22">
    <w:name w:val="Balloon Text"/>
    <w:basedOn w:val="1"/>
    <w:link w:val="45"/>
    <w:qFormat/>
    <w:uiPriority w:val="0"/>
    <w:rPr>
      <w:sz w:val="18"/>
      <w:szCs w:val="18"/>
    </w:rPr>
  </w:style>
  <w:style w:type="paragraph" w:styleId="23">
    <w:name w:val="footer"/>
    <w:basedOn w:val="1"/>
    <w:link w:val="46"/>
    <w:qFormat/>
    <w:uiPriority w:val="99"/>
    <w:pPr>
      <w:tabs>
        <w:tab w:val="center" w:pos="4153"/>
        <w:tab w:val="right" w:pos="8306"/>
        <w:tab w:val="clear" w:pos="8296"/>
      </w:tabs>
      <w:snapToGrid w:val="0"/>
      <w:jc w:val="left"/>
    </w:pPr>
    <w:rPr>
      <w:sz w:val="18"/>
      <w:szCs w:val="18"/>
    </w:rPr>
  </w:style>
  <w:style w:type="paragraph" w:styleId="24">
    <w:name w:val="header"/>
    <w:basedOn w:val="1"/>
    <w:link w:val="47"/>
    <w:qFormat/>
    <w:uiPriority w:val="0"/>
    <w:pPr>
      <w:pBdr>
        <w:bottom w:val="single" w:color="auto" w:sz="6" w:space="1"/>
      </w:pBdr>
      <w:tabs>
        <w:tab w:val="center" w:pos="4153"/>
        <w:tab w:val="right" w:pos="8306"/>
        <w:tab w:val="clear" w:pos="8296"/>
      </w:tabs>
      <w:snapToGrid w:val="0"/>
      <w:jc w:val="center"/>
    </w:pPr>
    <w:rPr>
      <w:sz w:val="18"/>
      <w:szCs w:val="18"/>
    </w:rPr>
  </w:style>
  <w:style w:type="paragraph" w:styleId="25">
    <w:name w:val="toc 1"/>
    <w:basedOn w:val="1"/>
    <w:next w:val="1"/>
    <w:qFormat/>
    <w:uiPriority w:val="39"/>
    <w:pPr>
      <w:ind w:left="200" w:firstLine="0" w:firstLineChars="0"/>
    </w:pPr>
    <w:rPr>
      <w:rFonts w:eastAsia="黑体"/>
    </w:rPr>
  </w:style>
  <w:style w:type="paragraph" w:styleId="26">
    <w:name w:val="toc 4"/>
    <w:basedOn w:val="1"/>
    <w:next w:val="1"/>
    <w:autoRedefine/>
    <w:unhideWhenUsed/>
    <w:qFormat/>
    <w:uiPriority w:val="39"/>
    <w:pPr>
      <w:tabs>
        <w:tab w:val="clear" w:pos="8296"/>
      </w:tabs>
      <w:spacing w:line="240" w:lineRule="auto"/>
      <w:ind w:left="1260" w:leftChars="600" w:firstLine="0" w:firstLineChars="0"/>
    </w:pPr>
    <w:rPr>
      <w:rFonts w:asciiTheme="minorHAnsi" w:hAnsiTheme="minorHAnsi" w:eastAsiaTheme="minorEastAsia" w:cstheme="minorBidi"/>
      <w:sz w:val="21"/>
      <w:szCs w:val="22"/>
      <w14:ligatures w14:val="standardContextual"/>
    </w:rPr>
  </w:style>
  <w:style w:type="paragraph" w:styleId="27">
    <w:name w:val="footnote text"/>
    <w:basedOn w:val="1"/>
    <w:qFormat/>
    <w:uiPriority w:val="0"/>
    <w:pPr>
      <w:snapToGrid w:val="0"/>
      <w:jc w:val="left"/>
    </w:pPr>
    <w:rPr>
      <w:sz w:val="18"/>
    </w:rPr>
  </w:style>
  <w:style w:type="paragraph" w:styleId="28">
    <w:name w:val="toc 6"/>
    <w:basedOn w:val="1"/>
    <w:next w:val="1"/>
    <w:autoRedefine/>
    <w:unhideWhenUsed/>
    <w:qFormat/>
    <w:uiPriority w:val="39"/>
    <w:pPr>
      <w:tabs>
        <w:tab w:val="clear" w:pos="8296"/>
      </w:tabs>
      <w:spacing w:line="240" w:lineRule="auto"/>
      <w:ind w:left="2100" w:leftChars="1000" w:firstLine="0" w:firstLineChars="0"/>
    </w:pPr>
    <w:rPr>
      <w:rFonts w:asciiTheme="minorHAnsi" w:hAnsiTheme="minorHAnsi" w:eastAsiaTheme="minorEastAsia" w:cstheme="minorBidi"/>
      <w:sz w:val="21"/>
      <w:szCs w:val="22"/>
      <w14:ligatures w14:val="standardContextual"/>
    </w:rPr>
  </w:style>
  <w:style w:type="paragraph" w:styleId="29">
    <w:name w:val="toc 2"/>
    <w:basedOn w:val="1"/>
    <w:next w:val="1"/>
    <w:qFormat/>
    <w:uiPriority w:val="39"/>
    <w:pPr>
      <w:ind w:firstLine="0" w:firstLineChars="0"/>
    </w:pPr>
    <w:rPr>
      <w:rFonts w:eastAsia="楷体_GB2312"/>
    </w:rPr>
  </w:style>
  <w:style w:type="paragraph" w:styleId="30">
    <w:name w:val="toc 9"/>
    <w:basedOn w:val="1"/>
    <w:next w:val="1"/>
    <w:autoRedefine/>
    <w:unhideWhenUsed/>
    <w:qFormat/>
    <w:uiPriority w:val="39"/>
    <w:pPr>
      <w:tabs>
        <w:tab w:val="clear" w:pos="8296"/>
      </w:tabs>
      <w:spacing w:line="240" w:lineRule="auto"/>
      <w:ind w:left="3360" w:leftChars="1600" w:firstLine="0" w:firstLineChars="0"/>
    </w:pPr>
    <w:rPr>
      <w:rFonts w:asciiTheme="minorHAnsi" w:hAnsiTheme="minorHAnsi" w:eastAsiaTheme="minorEastAsia" w:cstheme="minorBidi"/>
      <w:sz w:val="21"/>
      <w:szCs w:val="22"/>
      <w14:ligatures w14:val="standardContextual"/>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32">
    <w:name w:val="Normal (Web)"/>
    <w:basedOn w:val="1"/>
    <w:unhideWhenUsed/>
    <w:qFormat/>
    <w:uiPriority w:val="99"/>
    <w:pPr>
      <w:widowControl/>
      <w:tabs>
        <w:tab w:val="clear" w:pos="8296"/>
      </w:tabs>
      <w:spacing w:before="100" w:beforeAutospacing="1" w:after="100" w:afterAutospacing="1" w:line="240" w:lineRule="auto"/>
      <w:ind w:firstLine="0" w:firstLineChars="0"/>
      <w:jc w:val="left"/>
    </w:pPr>
    <w:rPr>
      <w:rFonts w:ascii="宋体" w:hAnsi="宋体" w:eastAsia="宋体" w:cs="宋体"/>
      <w:kern w:val="0"/>
      <w:sz w:val="24"/>
    </w:rPr>
  </w:style>
  <w:style w:type="paragraph" w:styleId="33">
    <w:name w:val="Title"/>
    <w:basedOn w:val="1"/>
    <w:next w:val="1"/>
    <w:link w:val="57"/>
    <w:qFormat/>
    <w:uiPriority w:val="10"/>
    <w:pPr>
      <w:keepNext/>
      <w:keepLines/>
      <w:tabs>
        <w:tab w:val="clear" w:pos="8296"/>
      </w:tabs>
      <w:spacing w:line="820" w:lineRule="exact"/>
      <w:ind w:firstLine="0" w:firstLineChars="0"/>
      <w:jc w:val="center"/>
    </w:pPr>
    <w:rPr>
      <w:rFonts w:ascii="方正小标宋简体" w:hAnsi="方正小标宋简体" w:eastAsia="方正小标宋简体" w:cs="方正小标宋简体"/>
      <w:sz w:val="48"/>
      <w:szCs w:val="48"/>
    </w:rPr>
  </w:style>
  <w:style w:type="paragraph" w:styleId="34">
    <w:name w:val="annotation subject"/>
    <w:basedOn w:val="16"/>
    <w:next w:val="16"/>
    <w:link w:val="65"/>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rPr>
  </w:style>
  <w:style w:type="character" w:styleId="39">
    <w:name w:val="Hyperlink"/>
    <w:unhideWhenUsed/>
    <w:qFormat/>
    <w:uiPriority w:val="99"/>
    <w:rPr>
      <w:color w:val="0563C1"/>
      <w:u w:val="single"/>
    </w:rPr>
  </w:style>
  <w:style w:type="character" w:styleId="40">
    <w:name w:val="annotation reference"/>
    <w:basedOn w:val="37"/>
    <w:qFormat/>
    <w:uiPriority w:val="0"/>
    <w:rPr>
      <w:sz w:val="21"/>
      <w:szCs w:val="21"/>
    </w:rPr>
  </w:style>
  <w:style w:type="character" w:styleId="41">
    <w:name w:val="footnote reference"/>
    <w:qFormat/>
    <w:uiPriority w:val="0"/>
    <w:rPr>
      <w:vertAlign w:val="superscript"/>
    </w:rPr>
  </w:style>
  <w:style w:type="character" w:customStyle="1" w:styleId="42">
    <w:name w:val="标题 1 Char"/>
    <w:link w:val="4"/>
    <w:qFormat/>
    <w:uiPriority w:val="0"/>
    <w:rPr>
      <w:rFonts w:eastAsia="黑体"/>
      <w:bCs/>
      <w:kern w:val="44"/>
      <w:sz w:val="32"/>
      <w:szCs w:val="44"/>
    </w:rPr>
  </w:style>
  <w:style w:type="character" w:customStyle="1" w:styleId="43">
    <w:name w:val="标题 3 Char"/>
    <w:link w:val="6"/>
    <w:qFormat/>
    <w:uiPriority w:val="0"/>
    <w:rPr>
      <w:rFonts w:eastAsia="仿宋_GB2312" w:cs="楷体"/>
      <w:b/>
      <w:kern w:val="2"/>
      <w:sz w:val="32"/>
      <w:szCs w:val="32"/>
    </w:rPr>
  </w:style>
  <w:style w:type="character" w:customStyle="1" w:styleId="44">
    <w:name w:val="文档结构图 Char"/>
    <w:link w:val="15"/>
    <w:qFormat/>
    <w:uiPriority w:val="99"/>
    <w:rPr>
      <w:rFonts w:ascii="Microsoft YaHei UI" w:eastAsia="Microsoft YaHei UI"/>
      <w:kern w:val="2"/>
      <w:sz w:val="18"/>
      <w:szCs w:val="18"/>
    </w:rPr>
  </w:style>
  <w:style w:type="character" w:customStyle="1" w:styleId="45">
    <w:name w:val="批注框文本 Char"/>
    <w:link w:val="22"/>
    <w:qFormat/>
    <w:uiPriority w:val="0"/>
    <w:rPr>
      <w:kern w:val="2"/>
      <w:sz w:val="18"/>
      <w:szCs w:val="18"/>
    </w:rPr>
  </w:style>
  <w:style w:type="character" w:customStyle="1" w:styleId="46">
    <w:name w:val="页脚 Char"/>
    <w:link w:val="23"/>
    <w:qFormat/>
    <w:uiPriority w:val="99"/>
    <w:rPr>
      <w:kern w:val="2"/>
      <w:sz w:val="18"/>
      <w:szCs w:val="18"/>
    </w:rPr>
  </w:style>
  <w:style w:type="character" w:customStyle="1" w:styleId="47">
    <w:name w:val="页眉 Char"/>
    <w:link w:val="24"/>
    <w:qFormat/>
    <w:uiPriority w:val="0"/>
    <w:rPr>
      <w:kern w:val="2"/>
      <w:sz w:val="18"/>
      <w:szCs w:val="18"/>
    </w:rPr>
  </w:style>
  <w:style w:type="paragraph" w:customStyle="1" w:styleId="48">
    <w:name w:val="_Style 31"/>
    <w:unhideWhenUsed/>
    <w:qFormat/>
    <w:uiPriority w:val="99"/>
    <w:rPr>
      <w:rFonts w:ascii="Times New Roman" w:hAnsi="Times New Roman" w:eastAsia="仿宋_GB2312" w:cs="Times New Roman"/>
      <w:kern w:val="2"/>
      <w:sz w:val="32"/>
      <w:szCs w:val="24"/>
      <w:lang w:val="en-US" w:eastAsia="zh-CN" w:bidi="ar-SA"/>
    </w:rPr>
  </w:style>
  <w:style w:type="paragraph" w:customStyle="1" w:styleId="49">
    <w:name w:val="_Style 32"/>
    <w:basedOn w:val="4"/>
    <w:next w:val="1"/>
    <w:qFormat/>
    <w:uiPriority w:val="39"/>
    <w:pPr>
      <w:widowControl/>
      <w:spacing w:before="240" w:line="259" w:lineRule="auto"/>
      <w:jc w:val="left"/>
      <w:outlineLvl w:val="9"/>
    </w:pPr>
    <w:rPr>
      <w:rFonts w:ascii="等线 Light" w:hAnsi="等线 Light" w:eastAsia="等线 Light"/>
      <w:b/>
      <w:bCs w:val="0"/>
      <w:color w:val="2E74B5"/>
      <w:kern w:val="0"/>
      <w:szCs w:val="32"/>
    </w:rPr>
  </w:style>
  <w:style w:type="paragraph" w:customStyle="1" w:styleId="50">
    <w:name w:val="Table Paragraph"/>
    <w:basedOn w:val="1"/>
    <w:qFormat/>
    <w:uiPriority w:val="1"/>
  </w:style>
  <w:style w:type="paragraph" w:customStyle="1" w:styleId="51">
    <w:name w:val="列出段落1"/>
    <w:basedOn w:val="1"/>
    <w:qFormat/>
    <w:uiPriority w:val="34"/>
    <w:pPr>
      <w:tabs>
        <w:tab w:val="clear" w:pos="8296"/>
      </w:tabs>
      <w:spacing w:line="240" w:lineRule="auto"/>
      <w:ind w:firstLine="420"/>
    </w:pPr>
    <w:rPr>
      <w:rFonts w:ascii="DengXian" w:hAnsi="DengXian" w:eastAsia="DengXian"/>
      <w:sz w:val="21"/>
      <w:szCs w:val="22"/>
    </w:rPr>
  </w:style>
  <w:style w:type="table" w:customStyle="1" w:styleId="52">
    <w:name w:val="网格型1"/>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3">
    <w:name w:val="正文文本 Char"/>
    <w:basedOn w:val="37"/>
    <w:link w:val="2"/>
    <w:qFormat/>
    <w:uiPriority w:val="99"/>
    <w:rPr>
      <w:rFonts w:eastAsia="仿宋_GB2312"/>
      <w:kern w:val="2"/>
      <w:sz w:val="32"/>
      <w:szCs w:val="24"/>
    </w:rPr>
  </w:style>
  <w:style w:type="paragraph" w:customStyle="1" w:styleId="54">
    <w:name w:val="列出段落2"/>
    <w:basedOn w:val="1"/>
    <w:qFormat/>
    <w:uiPriority w:val="99"/>
    <w:pPr>
      <w:ind w:firstLine="420"/>
    </w:pPr>
  </w:style>
  <w:style w:type="character" w:customStyle="1" w:styleId="55">
    <w:name w:val="纯文本 Char"/>
    <w:basedOn w:val="37"/>
    <w:link w:val="20"/>
    <w:qFormat/>
    <w:uiPriority w:val="0"/>
    <w:rPr>
      <w:rFonts w:ascii="宋体" w:hAnsi="Courier New"/>
      <w:kern w:val="2"/>
      <w:sz w:val="32"/>
      <w:szCs w:val="24"/>
    </w:rPr>
  </w:style>
  <w:style w:type="paragraph" w:customStyle="1" w:styleId="56">
    <w:name w:val="TOC 标题1"/>
    <w:basedOn w:val="4"/>
    <w:next w:val="1"/>
    <w:unhideWhenUsed/>
    <w:qFormat/>
    <w:uiPriority w:val="39"/>
    <w:pPr>
      <w:keepLines/>
      <w:widowControl/>
      <w:numPr>
        <w:numId w:val="0"/>
      </w:numPr>
      <w:tabs>
        <w:tab w:val="clear" w:pos="8296"/>
      </w:tabs>
      <w:adjustRightInd/>
      <w:snapToGrid/>
      <w:spacing w:before="240" w:after="0" w:line="259" w:lineRule="auto"/>
      <w:jc w:val="left"/>
      <w:outlineLvl w:val="9"/>
    </w:pPr>
    <w:rPr>
      <w:rFonts w:asciiTheme="majorHAnsi" w:hAnsiTheme="majorHAnsi" w:eastAsiaTheme="majorEastAsia" w:cstheme="majorBidi"/>
      <w:bCs w:val="0"/>
      <w:color w:val="376092" w:themeColor="accent1" w:themeShade="BF"/>
      <w:kern w:val="0"/>
      <w:szCs w:val="32"/>
    </w:rPr>
  </w:style>
  <w:style w:type="character" w:customStyle="1" w:styleId="57">
    <w:name w:val="标题 Char"/>
    <w:basedOn w:val="37"/>
    <w:link w:val="33"/>
    <w:qFormat/>
    <w:uiPriority w:val="10"/>
    <w:rPr>
      <w:rFonts w:ascii="方正小标宋简体" w:hAnsi="方正小标宋简体" w:eastAsia="方正小标宋简体" w:cs="方正小标宋简体"/>
      <w:kern w:val="2"/>
      <w:sz w:val="48"/>
      <w:szCs w:val="48"/>
    </w:rPr>
  </w:style>
  <w:style w:type="character" w:customStyle="1" w:styleId="58">
    <w:name w:val="专栏标题 字符"/>
    <w:basedOn w:val="37"/>
    <w:link w:val="59"/>
    <w:qFormat/>
    <w:locked/>
    <w:uiPriority w:val="0"/>
    <w:rPr>
      <w:rFonts w:eastAsia="华文楷体" w:cs="宋体"/>
      <w:sz w:val="28"/>
      <w:szCs w:val="28"/>
      <w:lang w:val="zh-CN"/>
    </w:rPr>
  </w:style>
  <w:style w:type="paragraph" w:customStyle="1" w:styleId="59">
    <w:name w:val="专栏标题"/>
    <w:basedOn w:val="9"/>
    <w:link w:val="58"/>
    <w:qFormat/>
    <w:uiPriority w:val="0"/>
    <w:pPr>
      <w:keepNext w:val="0"/>
      <w:keepLines w:val="0"/>
      <w:numPr>
        <w:ilvl w:val="0"/>
        <w:numId w:val="0"/>
      </w:numPr>
      <w:tabs>
        <w:tab w:val="clear" w:pos="8296"/>
      </w:tabs>
      <w:spacing w:before="0" w:after="0" w:line="240" w:lineRule="auto"/>
      <w:jc w:val="center"/>
      <w:outlineLvl w:val="9"/>
    </w:pPr>
    <w:rPr>
      <w:rFonts w:ascii="Times New Roman" w:hAnsi="Times New Roman" w:eastAsia="华文楷体" w:cs="宋体"/>
      <w:b w:val="0"/>
      <w:kern w:val="0"/>
      <w:sz w:val="28"/>
      <w:szCs w:val="28"/>
      <w:lang w:val="zh-CN"/>
    </w:rPr>
  </w:style>
  <w:style w:type="character" w:customStyle="1" w:styleId="60">
    <w:name w:val="专栏内容 字符"/>
    <w:basedOn w:val="37"/>
    <w:link w:val="61"/>
    <w:qFormat/>
    <w:locked/>
    <w:uiPriority w:val="0"/>
    <w:rPr>
      <w:sz w:val="24"/>
      <w:szCs w:val="21"/>
    </w:rPr>
  </w:style>
  <w:style w:type="paragraph" w:customStyle="1" w:styleId="61">
    <w:name w:val="专栏内容"/>
    <w:basedOn w:val="1"/>
    <w:link w:val="60"/>
    <w:qFormat/>
    <w:uiPriority w:val="0"/>
    <w:pPr>
      <w:tabs>
        <w:tab w:val="clear" w:pos="8296"/>
      </w:tabs>
      <w:spacing w:line="400" w:lineRule="exact"/>
      <w:ind w:firstLine="480"/>
    </w:pPr>
    <w:rPr>
      <w:rFonts w:eastAsia="宋体"/>
      <w:kern w:val="0"/>
      <w:sz w:val="24"/>
      <w:szCs w:val="21"/>
    </w:rPr>
  </w:style>
  <w:style w:type="character" w:customStyle="1" w:styleId="62">
    <w:name w:val="未处理的提及1"/>
    <w:basedOn w:val="37"/>
    <w:semiHidden/>
    <w:unhideWhenUsed/>
    <w:qFormat/>
    <w:uiPriority w:val="99"/>
    <w:rPr>
      <w:color w:val="605E5C"/>
      <w:shd w:val="clear" w:color="auto" w:fill="E1DFDD"/>
    </w:rPr>
  </w:style>
  <w:style w:type="paragraph" w:customStyle="1" w:styleId="63">
    <w:name w:val="修订1"/>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64">
    <w:name w:val="批注文字 Char"/>
    <w:basedOn w:val="37"/>
    <w:link w:val="16"/>
    <w:qFormat/>
    <w:uiPriority w:val="0"/>
    <w:rPr>
      <w:rFonts w:eastAsia="仿宋_GB2312"/>
      <w:kern w:val="2"/>
      <w:sz w:val="32"/>
      <w:szCs w:val="24"/>
    </w:rPr>
  </w:style>
  <w:style w:type="character" w:customStyle="1" w:styleId="65">
    <w:name w:val="批注主题 Char"/>
    <w:basedOn w:val="64"/>
    <w:link w:val="34"/>
    <w:qFormat/>
    <w:uiPriority w:val="0"/>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13BEE-F958-4077-8930-B075626E91A5}">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7615</Words>
  <Characters>7644</Characters>
  <Lines>20</Lines>
  <Paragraphs>20</Paragraphs>
  <TotalTime>280</TotalTime>
  <ScaleCrop>false</ScaleCrop>
  <LinksUpToDate>false</LinksUpToDate>
  <CharactersWithSpaces>7824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2024-07-29T09:18:00Z</dcterms:created>
  <dc:creator>Administrator</dc:creator>
  <cp:lastModifiedBy>WPS_1678248249</cp:lastModifiedBy>
  <cp:lastPrinted>2024-07-30T09:48:00Z</cp:lastPrinted>
  <dcterms:modified xsi:type="dcterms:W3CDTF">2024-07-30T10:29:37Z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82CE875F245047EA9C1C57CB49C3790D_13</vt:lpwstr>
  </property>
</Properties>
</file>