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spacing w:line="560" w:lineRule="exact"/>
        <w:ind w:left="0" w:leftChars="0" w:firstLine="0" w:firstLineChars="0"/>
        <w:textAlignment w:val="auto"/>
        <w:rPr>
          <w:rFonts w:hint="eastAsia" w:ascii="方正黑体_GBK" w:hAnsi="方正黑体_GBK" w:eastAsia="方正黑体_GBK" w:cs="方正黑体_GBK"/>
          <w:color w:val="auto"/>
          <w:lang w:val="en-US" w:eastAsia="zh-CN"/>
        </w:rPr>
      </w:pPr>
      <w:r>
        <w:rPr>
          <w:rFonts w:hint="eastAsia" w:ascii="方正黑体_GBK" w:hAnsi="方正黑体_GBK" w:eastAsia="方正黑体_GBK" w:cs="方正黑体_GBK"/>
          <w:color w:val="auto"/>
          <w:lang w:eastAsia="zh-CN"/>
        </w:rPr>
        <w:t>附件</w:t>
      </w:r>
      <w:r>
        <w:rPr>
          <w:rFonts w:hint="eastAsia" w:ascii="方正黑体_GBK" w:hAnsi="方正黑体_GBK" w:eastAsia="方正黑体_GBK" w:cs="方正黑体_GBK"/>
          <w:color w:val="auto"/>
          <w:lang w:val="en-US" w:eastAsia="zh-CN"/>
        </w:rPr>
        <w:t>1</w:t>
      </w:r>
    </w:p>
    <w:p>
      <w:pPr>
        <w:keepNext w:val="0"/>
        <w:keepLines w:val="0"/>
        <w:pageBreakBefore w:val="0"/>
        <w:kinsoku/>
        <w:wordWrap/>
        <w:overflowPunct/>
        <w:topLinePunct w:val="0"/>
        <w:autoSpaceDE/>
        <w:autoSpaceDN/>
        <w:bidi w:val="0"/>
        <w:snapToGrid/>
        <w:spacing w:line="560" w:lineRule="exact"/>
        <w:textAlignment w:val="auto"/>
        <w:rPr>
          <w:rFonts w:hint="default"/>
          <w:color w:val="auto"/>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rPr>
          <w:rFonts w:hint="eastAsia" w:ascii="方正小标宋简体" w:hAnsi="方正小标宋简体" w:eastAsia="方正小标宋简体" w:cs="方正小标宋简体"/>
          <w:bCs/>
          <w:color w:val="auto"/>
          <w:kern w:val="0"/>
          <w:szCs w:val="44"/>
          <w:highlight w:val="none"/>
          <w:shd w:val="clear" w:color="auto" w:fill="FFFFFF"/>
          <w:lang w:bidi="ar"/>
        </w:rPr>
      </w:pPr>
      <w:r>
        <w:rPr>
          <w:rFonts w:hint="eastAsia"/>
        </w:rPr>
        <w:t>关于</w:t>
      </w:r>
      <w:r>
        <w:rPr>
          <w:rFonts w:hint="eastAsia"/>
          <w:lang w:eastAsia="zh-CN"/>
        </w:rPr>
        <w:t>修订《梅州市加快实体经济振兴发展若干措施》及其配套文件</w:t>
      </w:r>
      <w:r>
        <w:rPr>
          <w:rFonts w:hint="eastAsia"/>
        </w:rPr>
        <w:t>的通知</w:t>
      </w:r>
    </w:p>
    <w:p>
      <w:pPr>
        <w:keepNext w:val="0"/>
        <w:keepLines w:val="0"/>
        <w:pageBreakBefore w:val="0"/>
        <w:widowControl/>
        <w:suppressAutoHyphens/>
        <w:kinsoku/>
        <w:wordWrap/>
        <w:overflowPunct/>
        <w:topLinePunct w:val="0"/>
        <w:autoSpaceDE/>
        <w:autoSpaceDN/>
        <w:bidi w:val="0"/>
        <w:adjustRightInd/>
        <w:snapToGrid/>
        <w:spacing w:line="560" w:lineRule="exact"/>
        <w:ind w:firstLine="0" w:firstLineChars="0"/>
        <w:jc w:val="center"/>
        <w:textAlignment w:val="auto"/>
        <w:rPr>
          <w:rFonts w:hint="eastAsia" w:ascii="方正楷体_GBK" w:hAnsi="方正楷体_GBK" w:eastAsia="方正楷体_GBK" w:cs="方正楷体_GBK"/>
          <w:bCs/>
          <w:color w:val="auto"/>
          <w:kern w:val="0"/>
          <w:sz w:val="32"/>
          <w:szCs w:val="32"/>
          <w:highlight w:val="none"/>
          <w:shd w:val="clear" w:color="auto" w:fill="FFFFFF"/>
          <w:lang w:val="en-US" w:eastAsia="zh-CN" w:bidi="ar"/>
        </w:rPr>
      </w:pPr>
      <w:r>
        <w:rPr>
          <w:rFonts w:hint="eastAsia" w:ascii="方正楷体_GBK" w:hAnsi="方正楷体_GBK" w:eastAsia="方正楷体_GBK" w:cs="方正楷体_GBK"/>
          <w:bCs/>
          <w:color w:val="auto"/>
          <w:kern w:val="0"/>
          <w:sz w:val="32"/>
          <w:szCs w:val="32"/>
          <w:highlight w:val="none"/>
          <w:shd w:val="clear" w:color="auto" w:fill="FFFFFF"/>
          <w:lang w:val="en-US" w:eastAsia="zh-CN" w:bidi="ar"/>
        </w:rPr>
        <w:t>（征求意见稿）</w:t>
      </w:r>
    </w:p>
    <w:p>
      <w:pPr>
        <w:keepNext w:val="0"/>
        <w:keepLines w:val="0"/>
        <w:pageBreakBefore w:val="0"/>
        <w:widowControl/>
        <w:suppressAutoHyphens/>
        <w:kinsoku/>
        <w:wordWrap/>
        <w:overflowPunct/>
        <w:topLinePunct w:val="0"/>
        <w:autoSpaceDE/>
        <w:autoSpaceDN/>
        <w:bidi w:val="0"/>
        <w:adjustRightInd/>
        <w:snapToGrid/>
        <w:spacing w:line="560" w:lineRule="exact"/>
        <w:ind w:firstLine="632" w:firstLineChars="200"/>
        <w:jc w:val="center"/>
        <w:textAlignment w:val="auto"/>
        <w:rPr>
          <w:rFonts w:hint="default" w:ascii="Times New Roman" w:hAnsi="Times New Roman" w:eastAsia="方正仿宋_GBK" w:cs="Times New Roman"/>
          <w:bCs/>
          <w:color w:val="auto"/>
          <w:kern w:val="0"/>
          <w:sz w:val="32"/>
          <w:szCs w:val="32"/>
          <w:highlight w:val="none"/>
          <w:shd w:val="clear" w:color="auto" w:fill="FFFFFF"/>
          <w:lang w:eastAsia="zh-CN" w:bidi="ar"/>
        </w:rPr>
      </w:pPr>
    </w:p>
    <w:p>
      <w:pPr>
        <w:keepNext w:val="0"/>
        <w:keepLines w:val="0"/>
        <w:pageBreakBefore w:val="0"/>
        <w:kinsoku/>
        <w:wordWrap/>
        <w:overflowPunct/>
        <w:topLinePunct w:val="0"/>
        <w:autoSpaceDE/>
        <w:autoSpaceDN/>
        <w:bidi w:val="0"/>
        <w:snapToGrid/>
        <w:spacing w:line="560" w:lineRule="exact"/>
        <w:textAlignment w:val="auto"/>
        <w:rPr>
          <w:rFonts w:hint="default"/>
          <w:color w:val="auto"/>
          <w:highlight w:val="none"/>
          <w:lang w:val="en-US" w:eastAsia="zh-CN"/>
        </w:rPr>
      </w:pPr>
      <w:r>
        <w:rPr>
          <w:rFonts w:hint="eastAsia"/>
          <w:color w:val="auto"/>
          <w:highlight w:val="none"/>
          <w:lang w:val="en-US" w:eastAsia="zh-CN"/>
        </w:rPr>
        <w:t>为缩小与邻近地区政策差距，进一步优化营商环境，全面落</w:t>
      </w:r>
      <w:r>
        <w:rPr>
          <w:rFonts w:hint="default"/>
          <w:color w:val="auto"/>
          <w:highlight w:val="none"/>
          <w:lang w:val="en-US" w:eastAsia="zh-CN"/>
        </w:rPr>
        <w:t>实省委巡视</w:t>
      </w:r>
      <w:r>
        <w:rPr>
          <w:rFonts w:hint="eastAsia"/>
          <w:color w:val="auto"/>
          <w:highlight w:val="none"/>
          <w:lang w:val="en-US" w:eastAsia="zh-CN"/>
        </w:rPr>
        <w:t>及审计</w:t>
      </w:r>
      <w:r>
        <w:rPr>
          <w:rFonts w:hint="default"/>
          <w:color w:val="auto"/>
          <w:highlight w:val="none"/>
          <w:lang w:val="en-US" w:eastAsia="zh-CN"/>
        </w:rPr>
        <w:t>反馈问题整改</w:t>
      </w:r>
      <w:r>
        <w:rPr>
          <w:rFonts w:hint="eastAsia"/>
          <w:color w:val="auto"/>
          <w:highlight w:val="none"/>
          <w:lang w:val="en-US" w:eastAsia="zh-CN"/>
        </w:rPr>
        <w:t>要求</w:t>
      </w:r>
      <w:r>
        <w:rPr>
          <w:rFonts w:hint="default"/>
          <w:color w:val="auto"/>
          <w:highlight w:val="none"/>
          <w:lang w:val="en-US" w:eastAsia="zh-CN"/>
        </w:rPr>
        <w:t>，</w:t>
      </w:r>
      <w:r>
        <w:rPr>
          <w:rFonts w:hint="eastAsia"/>
          <w:color w:val="auto"/>
          <w:highlight w:val="none"/>
          <w:lang w:val="en-US" w:eastAsia="zh-CN"/>
        </w:rPr>
        <w:t>结合上级政策精神及</w:t>
      </w:r>
      <w:r>
        <w:rPr>
          <w:rFonts w:hint="default"/>
          <w:color w:val="auto"/>
          <w:highlight w:val="none"/>
          <w:lang w:val="en-US" w:eastAsia="zh-CN"/>
        </w:rPr>
        <w:t>各</w:t>
      </w:r>
      <w:r>
        <w:rPr>
          <w:rFonts w:hint="eastAsia"/>
          <w:color w:val="auto"/>
          <w:highlight w:val="none"/>
          <w:lang w:val="en-US" w:eastAsia="zh-CN"/>
        </w:rPr>
        <w:t>县（市、区）人民政府、市级有关单位提出意见</w:t>
      </w:r>
      <w:r>
        <w:rPr>
          <w:rFonts w:hint="default"/>
          <w:color w:val="auto"/>
          <w:highlight w:val="none"/>
          <w:lang w:val="en-US" w:eastAsia="zh-CN"/>
        </w:rPr>
        <w:t>建议，</w:t>
      </w:r>
      <w:r>
        <w:rPr>
          <w:rFonts w:hint="eastAsia"/>
          <w:color w:val="auto"/>
          <w:highlight w:val="none"/>
          <w:lang w:val="en-US" w:eastAsia="zh-CN"/>
        </w:rPr>
        <w:t>拟</w:t>
      </w:r>
      <w:r>
        <w:rPr>
          <w:rFonts w:hint="default"/>
          <w:color w:val="auto"/>
          <w:highlight w:val="none"/>
          <w:lang w:val="en-US" w:eastAsia="zh-CN"/>
        </w:rPr>
        <w:t>对《梅州市人民政府关于印发</w:t>
      </w:r>
      <w:r>
        <w:rPr>
          <w:rFonts w:hint="eastAsia" w:ascii="仿宋" w:hAnsi="仿宋" w:eastAsia="仿宋" w:cs="仿宋"/>
          <w:color w:val="auto"/>
          <w:highlight w:val="none"/>
          <w:lang w:val="en-US" w:eastAsia="zh-CN"/>
        </w:rPr>
        <w:t>〈</w:t>
      </w:r>
      <w:r>
        <w:rPr>
          <w:rFonts w:hint="default"/>
          <w:color w:val="auto"/>
          <w:highlight w:val="none"/>
          <w:lang w:val="en-US" w:eastAsia="zh-CN"/>
        </w:rPr>
        <w:t>梅州市加快实体经济振兴发展若干措施</w:t>
      </w:r>
      <w:r>
        <w:rPr>
          <w:rFonts w:hint="eastAsia" w:ascii="仿宋" w:hAnsi="仿宋" w:eastAsia="仿宋" w:cs="仿宋"/>
          <w:color w:val="auto"/>
          <w:highlight w:val="none"/>
          <w:lang w:val="en-US" w:eastAsia="zh-CN"/>
        </w:rPr>
        <w:t>〉</w:t>
      </w:r>
      <w:r>
        <w:rPr>
          <w:rFonts w:hint="default"/>
          <w:color w:val="auto"/>
          <w:highlight w:val="none"/>
          <w:lang w:val="en-US" w:eastAsia="zh-CN"/>
        </w:rPr>
        <w:t>及其配套文件的通知》（梅市府〔2022〕24号）进行适当修订</w:t>
      </w:r>
      <w:r>
        <w:rPr>
          <w:rFonts w:hint="eastAsia"/>
          <w:color w:val="auto"/>
          <w:highlight w:val="none"/>
          <w:lang w:val="en-US" w:eastAsia="zh-CN"/>
        </w:rPr>
        <w:t>完善</w:t>
      </w:r>
      <w:r>
        <w:rPr>
          <w:rFonts w:hint="default"/>
          <w:color w:val="auto"/>
          <w:highlight w:val="none"/>
          <w:lang w:val="en-US" w:eastAsia="zh-CN"/>
        </w:rPr>
        <w:t>，现就有关</w:t>
      </w:r>
      <w:r>
        <w:rPr>
          <w:rFonts w:hint="eastAsia"/>
          <w:color w:val="auto"/>
          <w:highlight w:val="none"/>
          <w:lang w:val="en-US" w:eastAsia="zh-CN"/>
        </w:rPr>
        <w:t>修订</w:t>
      </w:r>
      <w:r>
        <w:rPr>
          <w:rFonts w:hint="default"/>
          <w:color w:val="auto"/>
          <w:highlight w:val="none"/>
          <w:lang w:val="en-US" w:eastAsia="zh-CN"/>
        </w:rPr>
        <w:t>事项</w:t>
      </w:r>
      <w:r>
        <w:rPr>
          <w:rFonts w:hint="eastAsia"/>
          <w:color w:val="auto"/>
          <w:highlight w:val="none"/>
          <w:lang w:val="en-US" w:eastAsia="zh-CN"/>
        </w:rPr>
        <w:t>明确</w:t>
      </w:r>
      <w:r>
        <w:rPr>
          <w:rFonts w:hint="default"/>
          <w:color w:val="auto"/>
          <w:highlight w:val="none"/>
          <w:lang w:val="en-US" w:eastAsia="zh-CN"/>
        </w:rPr>
        <w:t>如下。</w:t>
      </w:r>
    </w:p>
    <w:p>
      <w:pPr>
        <w:pStyle w:val="3"/>
        <w:keepNext w:val="0"/>
        <w:keepLines w:val="0"/>
        <w:pageBreakBefore w:val="0"/>
        <w:kinsoku/>
        <w:wordWrap/>
        <w:overflowPunct/>
        <w:topLinePunct w:val="0"/>
        <w:autoSpaceDE/>
        <w:autoSpaceDN/>
        <w:bidi w:val="0"/>
        <w:snapToGrid/>
        <w:spacing w:line="560" w:lineRule="exact"/>
        <w:textAlignment w:val="auto"/>
        <w:rPr>
          <w:rFonts w:hint="eastAsia"/>
          <w:lang w:val="en-US" w:eastAsia="zh-CN"/>
        </w:rPr>
      </w:pPr>
      <w:r>
        <w:rPr>
          <w:rFonts w:hint="eastAsia"/>
          <w:lang w:val="en-US" w:eastAsia="zh-CN"/>
        </w:rPr>
        <w:t>一、《梅州市加快实体经济振兴发展若干措施》修订方面</w:t>
      </w:r>
    </w:p>
    <w:p>
      <w:pPr>
        <w:keepNext w:val="0"/>
        <w:keepLines w:val="0"/>
        <w:pageBreakBefore w:val="0"/>
        <w:kinsoku/>
        <w:wordWrap/>
        <w:overflowPunct/>
        <w:topLinePunct w:val="0"/>
        <w:autoSpaceDE/>
        <w:autoSpaceDN/>
        <w:bidi w:val="0"/>
        <w:snapToGrid/>
        <w:spacing w:line="560" w:lineRule="exact"/>
        <w:textAlignment w:val="auto"/>
        <w:rPr>
          <w:rFonts w:hint="eastAsia"/>
          <w:b w:val="0"/>
          <w:bCs/>
          <w:color w:val="auto"/>
          <w:highlight w:val="none"/>
          <w:lang w:val="en-US" w:eastAsia="zh-CN"/>
        </w:rPr>
      </w:pPr>
      <w:r>
        <w:rPr>
          <w:rStyle w:val="21"/>
          <w:rFonts w:hint="eastAsia"/>
          <w:b w:val="0"/>
          <w:bCs/>
          <w:color w:val="auto"/>
          <w:highlight w:val="none"/>
          <w:lang w:val="en-US" w:eastAsia="zh-CN"/>
        </w:rPr>
        <w:t>（一）修订第一条制造业项目奖。</w:t>
      </w:r>
      <w:r>
        <w:rPr>
          <w:rFonts w:hint="eastAsia"/>
          <w:b w:val="0"/>
          <w:bCs/>
          <w:color w:val="auto"/>
          <w:highlight w:val="none"/>
          <w:lang w:val="en-US" w:eastAsia="zh-CN"/>
        </w:rPr>
        <w:t>条款修改为“对符合条件的制造业招商引资项目给予：最高项目固定资产投资贷款利息（不包括罚息）总额</w:t>
      </w:r>
      <w:r>
        <w:rPr>
          <w:rFonts w:hint="default" w:ascii="Times New Roman" w:hAnsi="Times New Roman" w:eastAsia="方正仿宋_GBK" w:cs="Times New Roman"/>
          <w:b w:val="0"/>
          <w:bCs/>
          <w:color w:val="auto"/>
          <w:spacing w:val="0"/>
          <w:kern w:val="2"/>
          <w:sz w:val="32"/>
          <w:szCs w:val="32"/>
          <w:highlight w:val="none"/>
          <w:u w:val="none"/>
        </w:rPr>
        <w:t>×</w:t>
      </w:r>
      <w:r>
        <w:rPr>
          <w:rFonts w:hint="eastAsia"/>
          <w:b w:val="0"/>
          <w:bCs/>
          <w:color w:val="auto"/>
          <w:highlight w:val="none"/>
          <w:lang w:val="en-US" w:eastAsia="zh-CN"/>
        </w:rPr>
        <w:t>20%的贴息支持，最高落户项目投资建设面积</w:t>
      </w:r>
      <w:r>
        <w:rPr>
          <w:rFonts w:hint="default" w:ascii="Times New Roman" w:hAnsi="Times New Roman" w:eastAsia="方正仿宋_GBK" w:cs="Times New Roman"/>
          <w:b w:val="0"/>
          <w:bCs/>
          <w:color w:val="auto"/>
          <w:spacing w:val="0"/>
          <w:kern w:val="2"/>
          <w:sz w:val="32"/>
          <w:szCs w:val="32"/>
          <w:highlight w:val="none"/>
          <w:u w:val="none"/>
        </w:rPr>
        <w:t>×</w:t>
      </w:r>
      <w:r>
        <w:rPr>
          <w:rFonts w:hint="eastAsia"/>
          <w:b w:val="0"/>
          <w:bCs/>
          <w:color w:val="auto"/>
          <w:highlight w:val="none"/>
          <w:lang w:val="en-US" w:eastAsia="zh-CN"/>
        </w:rPr>
        <w:t>150元/平方米的项目落地进度奖励，最高实际固定资产投资×5%的固定资产投资奖励，‘三免两减半’的租赁厂房优惠，项目引荐奖励等5项扶持。”</w:t>
      </w:r>
    </w:p>
    <w:p>
      <w:pPr>
        <w:keepNext w:val="0"/>
        <w:keepLines w:val="0"/>
        <w:pageBreakBefore w:val="0"/>
        <w:kinsoku/>
        <w:wordWrap/>
        <w:overflowPunct/>
        <w:topLinePunct w:val="0"/>
        <w:autoSpaceDE/>
        <w:autoSpaceDN/>
        <w:bidi w:val="0"/>
        <w:snapToGrid/>
        <w:spacing w:line="560" w:lineRule="exact"/>
        <w:textAlignment w:val="auto"/>
        <w:rPr>
          <w:rFonts w:hint="eastAsia"/>
          <w:lang w:val="en-US" w:eastAsia="zh-CN"/>
        </w:rPr>
      </w:pPr>
      <w:r>
        <w:rPr>
          <w:rStyle w:val="21"/>
          <w:rFonts w:hint="eastAsia" w:ascii="Times New Roman" w:hAnsi="Times New Roman"/>
          <w:b w:val="0"/>
          <w:color w:val="auto"/>
          <w:sz w:val="32"/>
          <w:szCs w:val="22"/>
          <w:highlight w:val="none"/>
          <w:lang w:val="en-US" w:eastAsia="zh-CN" w:bidi="ar-SA"/>
        </w:rPr>
        <w:t>（二）修订第二条物流业项目奖。</w:t>
      </w:r>
      <w:r>
        <w:rPr>
          <w:rFonts w:hint="eastAsia"/>
          <w:lang w:val="en-US" w:eastAsia="zh-CN"/>
        </w:rPr>
        <w:t>条款修改为“对符合条件的物流业招商引资项目给予：连续3年营业净收入×6%的奖励，最高30万元的保税加工增值奖励，最高100万元的物流业务奖励等3项扶持。”</w:t>
      </w:r>
    </w:p>
    <w:p>
      <w:pPr>
        <w:keepNext w:val="0"/>
        <w:keepLines w:val="0"/>
        <w:pageBreakBefore w:val="0"/>
        <w:kinsoku/>
        <w:wordWrap/>
        <w:overflowPunct/>
        <w:topLinePunct w:val="0"/>
        <w:autoSpaceDE/>
        <w:autoSpaceDN/>
        <w:bidi w:val="0"/>
        <w:snapToGrid/>
        <w:spacing w:line="560" w:lineRule="exact"/>
        <w:textAlignment w:val="auto"/>
        <w:rPr>
          <w:rFonts w:hint="eastAsia"/>
          <w:b w:val="0"/>
          <w:bCs/>
          <w:color w:val="auto"/>
          <w:highlight w:val="none"/>
          <w:lang w:val="en-US" w:eastAsia="zh-CN"/>
        </w:rPr>
      </w:pPr>
      <w:r>
        <w:rPr>
          <w:rStyle w:val="21"/>
          <w:rFonts w:hint="eastAsia" w:ascii="Times New Roman" w:hAnsi="Times New Roman"/>
          <w:b w:val="0"/>
          <w:color w:val="auto"/>
          <w:sz w:val="32"/>
          <w:szCs w:val="22"/>
          <w:highlight w:val="none"/>
          <w:lang w:val="en-US" w:eastAsia="zh-CN" w:bidi="ar-SA"/>
        </w:rPr>
        <w:t>（三）修订第三条外资项目奖。</w:t>
      </w:r>
      <w:r>
        <w:rPr>
          <w:rFonts w:hint="eastAsia"/>
          <w:lang w:val="en-US" w:eastAsia="zh-CN"/>
        </w:rPr>
        <w:t>条款修改为“对符合条件的实际利用外资项目给予：当年实际外资投资金额×2%、最高300万元的奖励，对经广东省认定的注册地在梅州的外资跨国公司地区总部给予100万元叠加奖励等2项扶持。”</w:t>
      </w:r>
    </w:p>
    <w:p>
      <w:pPr>
        <w:keepNext w:val="0"/>
        <w:keepLines w:val="0"/>
        <w:pageBreakBefore w:val="0"/>
        <w:kinsoku/>
        <w:wordWrap/>
        <w:overflowPunct/>
        <w:topLinePunct w:val="0"/>
        <w:autoSpaceDE/>
        <w:autoSpaceDN/>
        <w:bidi w:val="0"/>
        <w:snapToGrid/>
        <w:spacing w:line="560" w:lineRule="exact"/>
        <w:textAlignment w:val="auto"/>
        <w:rPr>
          <w:rFonts w:hint="eastAsia"/>
          <w:b w:val="0"/>
          <w:bCs/>
          <w:color w:val="auto"/>
          <w:highlight w:val="none"/>
          <w:lang w:val="en-US" w:eastAsia="zh-CN"/>
        </w:rPr>
      </w:pPr>
      <w:r>
        <w:rPr>
          <w:rStyle w:val="21"/>
          <w:rFonts w:hint="eastAsia"/>
          <w:b w:val="0"/>
          <w:bCs/>
          <w:color w:val="auto"/>
          <w:highlight w:val="none"/>
          <w:lang w:val="en-US" w:eastAsia="zh-CN"/>
        </w:rPr>
        <w:t>（四）修订第四条总部经济项目奖。</w:t>
      </w:r>
      <w:r>
        <w:rPr>
          <w:rFonts w:hint="eastAsia" w:ascii="Times New Roman" w:hAnsi="Times New Roman" w:eastAsia="方正仿宋_GBK" w:cs="WXFS"/>
          <w:color w:val="000000"/>
          <w:kern w:val="0"/>
          <w:sz w:val="32"/>
          <w:szCs w:val="24"/>
          <w:lang w:val="en-US" w:eastAsia="zh-CN" w:bidi="ar-SA"/>
        </w:rPr>
        <w:t>条款修改为“对符合条件的总部企业最高给予其当年营业净收入×10%的奖励。”</w:t>
      </w:r>
    </w:p>
    <w:p>
      <w:pPr>
        <w:keepNext w:val="0"/>
        <w:keepLines w:val="0"/>
        <w:pageBreakBefore w:val="0"/>
        <w:kinsoku/>
        <w:wordWrap/>
        <w:overflowPunct/>
        <w:topLinePunct w:val="0"/>
        <w:autoSpaceDE/>
        <w:autoSpaceDN/>
        <w:bidi w:val="0"/>
        <w:snapToGrid/>
        <w:spacing w:line="560" w:lineRule="exact"/>
        <w:textAlignment w:val="auto"/>
        <w:rPr>
          <w:rFonts w:hint="eastAsia"/>
          <w:b w:val="0"/>
          <w:bCs/>
          <w:color w:val="auto"/>
          <w:highlight w:val="none"/>
          <w:lang w:val="en-US" w:eastAsia="zh-CN"/>
        </w:rPr>
      </w:pPr>
      <w:r>
        <w:rPr>
          <w:rStyle w:val="21"/>
          <w:rFonts w:hint="eastAsia" w:ascii="Times New Roman" w:hAnsi="Times New Roman"/>
          <w:b w:val="0"/>
          <w:color w:val="auto"/>
          <w:sz w:val="32"/>
          <w:szCs w:val="22"/>
          <w:highlight w:val="none"/>
          <w:lang w:val="en-US" w:eastAsia="zh-CN" w:bidi="ar-SA"/>
        </w:rPr>
        <w:t>（五）修订第五条数字经济奖。</w:t>
      </w:r>
      <w:r>
        <w:rPr>
          <w:rFonts w:hint="eastAsia"/>
          <w:lang w:val="en-US" w:eastAsia="zh-CN"/>
        </w:rPr>
        <w:t>条款修改为“对符合条件的数字经济相关企业前3年给予其营业净收入×6%的奖励。”</w:t>
      </w:r>
    </w:p>
    <w:p>
      <w:pPr>
        <w:keepNext w:val="0"/>
        <w:keepLines w:val="0"/>
        <w:pageBreakBefore w:val="0"/>
        <w:kinsoku/>
        <w:wordWrap/>
        <w:overflowPunct/>
        <w:topLinePunct w:val="0"/>
        <w:autoSpaceDE/>
        <w:autoSpaceDN/>
        <w:bidi w:val="0"/>
        <w:snapToGrid/>
        <w:spacing w:line="560" w:lineRule="exact"/>
        <w:textAlignment w:val="auto"/>
        <w:rPr>
          <w:rFonts w:hint="eastAsia"/>
          <w:b w:val="0"/>
          <w:bCs/>
          <w:color w:val="auto"/>
          <w:highlight w:val="none"/>
          <w:lang w:val="en-US" w:eastAsia="zh-CN"/>
        </w:rPr>
      </w:pPr>
      <w:r>
        <w:rPr>
          <w:rStyle w:val="21"/>
          <w:rFonts w:hint="eastAsia" w:ascii="Times New Roman" w:hAnsi="Times New Roman"/>
          <w:b w:val="0"/>
          <w:color w:val="auto"/>
          <w:sz w:val="32"/>
          <w:szCs w:val="22"/>
          <w:highlight w:val="none"/>
          <w:lang w:val="en-US" w:eastAsia="zh-CN" w:bidi="ar-SA"/>
        </w:rPr>
        <w:t>（六）修订第七条产业成长奖。</w:t>
      </w:r>
      <w:r>
        <w:rPr>
          <w:rFonts w:hint="eastAsia"/>
          <w:lang w:val="en-US" w:eastAsia="zh-CN"/>
        </w:rPr>
        <w:t>条款修改为“对符合条件的工业企业给予：最高当年营业净收入增量×8%的价值先锋奖励，最高10万元的‘升规’奖励，工业设计奖励等3项扶持。”</w:t>
      </w:r>
    </w:p>
    <w:p>
      <w:pPr>
        <w:keepNext w:val="0"/>
        <w:keepLines w:val="0"/>
        <w:pageBreakBefore w:val="0"/>
        <w:kinsoku/>
        <w:wordWrap/>
        <w:overflowPunct/>
        <w:topLinePunct w:val="0"/>
        <w:autoSpaceDE/>
        <w:autoSpaceDN/>
        <w:bidi w:val="0"/>
        <w:snapToGrid/>
        <w:spacing w:line="560" w:lineRule="exact"/>
        <w:textAlignment w:val="auto"/>
        <w:rPr>
          <w:rFonts w:hint="eastAsia"/>
          <w:lang w:val="en-US" w:eastAsia="zh-CN"/>
        </w:rPr>
      </w:pPr>
      <w:r>
        <w:rPr>
          <w:rStyle w:val="21"/>
          <w:rFonts w:hint="eastAsia" w:ascii="Times New Roman" w:hAnsi="Times New Roman"/>
          <w:b w:val="0"/>
          <w:color w:val="auto"/>
          <w:sz w:val="32"/>
          <w:szCs w:val="22"/>
          <w:highlight w:val="none"/>
          <w:lang w:val="en-US" w:eastAsia="zh-CN" w:bidi="ar-SA"/>
        </w:rPr>
        <w:t>（七）修订第九条领航企业奖。</w:t>
      </w:r>
      <w:r>
        <w:rPr>
          <w:rFonts w:hint="eastAsia"/>
          <w:lang w:val="en-US" w:eastAsia="zh-CN"/>
        </w:rPr>
        <w:t>条款修改为“对符合条件的工业企业给予：最高50万元的‘专精特新’奖励，最高500万元的制造业创新中心奖励，最高10万元的“绿色工厂”奖励等3项扶持。”</w:t>
      </w:r>
    </w:p>
    <w:p>
      <w:pPr>
        <w:keepNext w:val="0"/>
        <w:keepLines w:val="0"/>
        <w:pageBreakBefore w:val="0"/>
        <w:kinsoku/>
        <w:wordWrap/>
        <w:overflowPunct/>
        <w:topLinePunct w:val="0"/>
        <w:autoSpaceDE/>
        <w:autoSpaceDN/>
        <w:bidi w:val="0"/>
        <w:snapToGrid/>
        <w:spacing w:line="560" w:lineRule="exact"/>
        <w:textAlignment w:val="auto"/>
        <w:rPr>
          <w:rFonts w:hint="eastAsia"/>
          <w:lang w:val="en-US" w:eastAsia="zh-CN"/>
        </w:rPr>
      </w:pPr>
      <w:r>
        <w:rPr>
          <w:rStyle w:val="21"/>
          <w:rFonts w:hint="eastAsia" w:ascii="Times New Roman" w:hAnsi="Times New Roman"/>
          <w:b w:val="0"/>
          <w:color w:val="auto"/>
          <w:sz w:val="32"/>
          <w:szCs w:val="22"/>
          <w:highlight w:val="none"/>
          <w:lang w:val="en-US" w:eastAsia="zh-CN" w:bidi="ar-SA"/>
        </w:rPr>
        <w:t>（八）修订第十条金融业发展奖。</w:t>
      </w:r>
      <w:r>
        <w:rPr>
          <w:rFonts w:hint="eastAsia"/>
          <w:lang w:val="en-US" w:eastAsia="zh-CN"/>
        </w:rPr>
        <w:t>条款修改为“对符合条件的企业给予：商业银行业务支持，最高给予其当年营业净收入增量×8%的其他金融机构奖励，最高500万元的上市挂牌奖励等3项扶持。”</w:t>
      </w:r>
    </w:p>
    <w:p>
      <w:pPr>
        <w:keepNext w:val="0"/>
        <w:keepLines w:val="0"/>
        <w:pageBreakBefore w:val="0"/>
        <w:kinsoku/>
        <w:wordWrap/>
        <w:overflowPunct/>
        <w:topLinePunct w:val="0"/>
        <w:autoSpaceDE/>
        <w:autoSpaceDN/>
        <w:bidi w:val="0"/>
        <w:snapToGrid/>
        <w:spacing w:line="560" w:lineRule="exact"/>
        <w:textAlignment w:val="auto"/>
        <w:rPr>
          <w:rFonts w:hint="eastAsia"/>
          <w:b w:val="0"/>
          <w:bCs/>
          <w:color w:val="auto"/>
          <w:highlight w:val="none"/>
          <w:lang w:val="en-US" w:eastAsia="zh-CN"/>
        </w:rPr>
      </w:pPr>
      <w:r>
        <w:rPr>
          <w:rStyle w:val="21"/>
          <w:rFonts w:hint="eastAsia" w:ascii="Times New Roman" w:hAnsi="Times New Roman"/>
          <w:b w:val="0"/>
          <w:color w:val="auto"/>
          <w:sz w:val="32"/>
          <w:szCs w:val="22"/>
          <w:highlight w:val="none"/>
          <w:lang w:val="en-US" w:eastAsia="zh-CN" w:bidi="ar-SA"/>
        </w:rPr>
        <w:t>（九）修订第十二条体育产业发展奖。</w:t>
      </w:r>
      <w:r>
        <w:rPr>
          <w:rFonts w:hint="eastAsia"/>
          <w:lang w:val="en-US" w:eastAsia="zh-CN"/>
        </w:rPr>
        <w:t>条款修改为“对符合条件的企业给予：最高2000万元的足球职业赛事晋级奖励，当年营业净收入增量×6%的体育竞赛表演培训奖励等2项扶持。”</w:t>
      </w:r>
    </w:p>
    <w:p>
      <w:pPr>
        <w:keepNext w:val="0"/>
        <w:keepLines w:val="0"/>
        <w:pageBreakBefore w:val="0"/>
        <w:kinsoku/>
        <w:wordWrap/>
        <w:overflowPunct/>
        <w:topLinePunct w:val="0"/>
        <w:autoSpaceDE/>
        <w:autoSpaceDN/>
        <w:bidi w:val="0"/>
        <w:snapToGrid/>
        <w:spacing w:line="560" w:lineRule="exact"/>
        <w:textAlignment w:val="auto"/>
        <w:rPr>
          <w:rFonts w:hint="eastAsia"/>
          <w:lang w:val="en-US" w:eastAsia="zh-CN"/>
        </w:rPr>
      </w:pPr>
      <w:r>
        <w:rPr>
          <w:rStyle w:val="21"/>
          <w:rFonts w:hint="eastAsia" w:ascii="Times New Roman" w:hAnsi="Times New Roman"/>
          <w:b w:val="0"/>
          <w:color w:val="auto"/>
          <w:sz w:val="32"/>
          <w:szCs w:val="22"/>
          <w:highlight w:val="none"/>
          <w:lang w:val="en-US" w:eastAsia="zh-CN" w:bidi="ar-SA"/>
        </w:rPr>
        <w:t>（十）修订第十四条跨境电商发展奖。</w:t>
      </w:r>
      <w:r>
        <w:rPr>
          <w:rFonts w:hint="eastAsia"/>
          <w:lang w:val="en-US" w:eastAsia="zh-CN"/>
        </w:rPr>
        <w:t>条款修改为“对符合条件的跨境电商企业给予：最高600万元的龙头企业培育奖励，最高30万元的海外仓补助，营业净收入×4%的跨境电商园区奖励，最高20万元的物流费用补助等4项扶持。”</w:t>
      </w:r>
    </w:p>
    <w:p>
      <w:pPr>
        <w:keepNext w:val="0"/>
        <w:keepLines w:val="0"/>
        <w:pageBreakBefore w:val="0"/>
        <w:kinsoku/>
        <w:wordWrap/>
        <w:overflowPunct/>
        <w:topLinePunct w:val="0"/>
        <w:autoSpaceDE/>
        <w:autoSpaceDN/>
        <w:bidi w:val="0"/>
        <w:snapToGrid/>
        <w:spacing w:line="560" w:lineRule="exact"/>
        <w:textAlignment w:val="auto"/>
        <w:rPr>
          <w:rFonts w:hint="eastAsia"/>
          <w:lang w:val="en-US" w:eastAsia="zh-CN"/>
        </w:rPr>
      </w:pPr>
      <w:r>
        <w:rPr>
          <w:rStyle w:val="21"/>
          <w:rFonts w:hint="eastAsia" w:ascii="Times New Roman" w:hAnsi="Times New Roman"/>
          <w:b w:val="0"/>
          <w:color w:val="auto"/>
          <w:sz w:val="32"/>
          <w:szCs w:val="22"/>
          <w:highlight w:val="none"/>
          <w:lang w:val="en-US" w:eastAsia="zh-CN" w:bidi="ar-SA"/>
        </w:rPr>
        <w:t>（十一）修订第十五条外贸发展奖。</w:t>
      </w:r>
      <w:r>
        <w:rPr>
          <w:rFonts w:hint="eastAsia"/>
          <w:lang w:val="en-US" w:eastAsia="zh-CN"/>
        </w:rPr>
        <w:t>条款修改为“对符合条件的外贸企业、商（协）会给予：进出口规模奖励，最高10万元的开拓市场补助，最高10万元的AEO高级认证奖励等3项扶持。”</w:t>
      </w:r>
    </w:p>
    <w:p>
      <w:pPr>
        <w:pStyle w:val="3"/>
        <w:keepNext w:val="0"/>
        <w:keepLines w:val="0"/>
        <w:pageBreakBefore w:val="0"/>
        <w:kinsoku/>
        <w:wordWrap/>
        <w:overflowPunct/>
        <w:topLinePunct w:val="0"/>
        <w:autoSpaceDE/>
        <w:autoSpaceDN/>
        <w:bidi w:val="0"/>
        <w:snapToGrid/>
        <w:spacing w:line="560" w:lineRule="exact"/>
        <w:textAlignment w:val="auto"/>
        <w:rPr>
          <w:rFonts w:hint="eastAsia"/>
          <w:lang w:val="en-US" w:eastAsia="zh-CN"/>
        </w:rPr>
      </w:pPr>
      <w:r>
        <w:rPr>
          <w:rFonts w:hint="eastAsia"/>
          <w:lang w:val="en-US" w:eastAsia="zh-CN"/>
        </w:rPr>
        <w:t>二、配套文件修订方面</w:t>
      </w:r>
    </w:p>
    <w:p>
      <w:pPr>
        <w:pStyle w:val="4"/>
        <w:keepNext w:val="0"/>
        <w:keepLines w:val="0"/>
        <w:pageBreakBefore w:val="0"/>
        <w:kinsoku/>
        <w:wordWrap/>
        <w:overflowPunct/>
        <w:topLinePunct w:val="0"/>
        <w:autoSpaceDE/>
        <w:autoSpaceDN/>
        <w:bidi w:val="0"/>
        <w:snapToGrid/>
        <w:spacing w:line="560" w:lineRule="exact"/>
        <w:textAlignment w:val="auto"/>
        <w:rPr>
          <w:rFonts w:hint="eastAsia"/>
          <w:color w:val="auto"/>
          <w:lang w:val="en-US" w:eastAsia="zh-CN"/>
        </w:rPr>
      </w:pPr>
      <w:r>
        <w:rPr>
          <w:rStyle w:val="21"/>
          <w:rFonts w:hint="eastAsia" w:ascii="Times New Roman" w:hAnsi="Times New Roman"/>
          <w:bCs/>
          <w:color w:val="auto"/>
          <w:sz w:val="32"/>
          <w:szCs w:val="24"/>
          <w:lang w:val="en-US" w:eastAsia="zh-CN" w:bidi="ar-SA"/>
        </w:rPr>
        <w:t>（一）《梅州市促进招商引资实施细则》修订方面</w:t>
      </w:r>
    </w:p>
    <w:p>
      <w:pPr>
        <w:pStyle w:val="5"/>
        <w:keepNext w:val="0"/>
        <w:keepLines w:val="0"/>
        <w:pageBreakBefore w:val="0"/>
        <w:kinsoku/>
        <w:wordWrap/>
        <w:overflowPunct/>
        <w:topLinePunct w:val="0"/>
        <w:autoSpaceDE/>
        <w:autoSpaceDN/>
        <w:bidi w:val="0"/>
        <w:snapToGrid/>
        <w:spacing w:line="560" w:lineRule="exact"/>
        <w:textAlignment w:val="auto"/>
        <w:rPr>
          <w:rStyle w:val="28"/>
          <w:rFonts w:hint="eastAsia"/>
          <w:b/>
          <w:bCs/>
          <w:color w:val="auto"/>
          <w:lang w:val="en-US" w:eastAsia="zh-CN"/>
        </w:rPr>
      </w:pPr>
      <w:r>
        <w:rPr>
          <w:rStyle w:val="28"/>
          <w:rFonts w:hint="eastAsia"/>
          <w:b/>
          <w:bCs/>
          <w:color w:val="auto"/>
          <w:lang w:val="en-US" w:eastAsia="zh-CN"/>
        </w:rPr>
        <w:t>1.修订制造业项目奖。</w:t>
      </w:r>
    </w:p>
    <w:p>
      <w:pPr>
        <w:keepNext w:val="0"/>
        <w:keepLines w:val="0"/>
        <w:pageBreakBefore w:val="0"/>
        <w:kinsoku/>
        <w:wordWrap/>
        <w:overflowPunct/>
        <w:topLinePunct w:val="0"/>
        <w:autoSpaceDE/>
        <w:autoSpaceDN/>
        <w:bidi w:val="0"/>
        <w:snapToGrid/>
        <w:spacing w:line="560" w:lineRule="exact"/>
        <w:textAlignment w:val="auto"/>
        <w:rPr>
          <w:rFonts w:hint="eastAsia"/>
          <w:color w:val="auto"/>
          <w:lang w:val="en-US" w:eastAsia="zh-CN"/>
        </w:rPr>
      </w:pPr>
      <w:r>
        <w:rPr>
          <w:rStyle w:val="27"/>
          <w:rFonts w:hint="eastAsia"/>
          <w:lang w:val="en-US" w:eastAsia="zh-CN"/>
        </w:rPr>
        <w:t>一是</w:t>
      </w:r>
      <w:r>
        <w:rPr>
          <w:rFonts w:hint="eastAsia"/>
          <w:color w:val="auto"/>
          <w:lang w:val="en-US" w:eastAsia="zh-CN"/>
        </w:rPr>
        <w:t>将“制造业项目奖”下的“项目落地进度奖励”相关条款修改为“给予落户项目投资建设面积</w:t>
      </w:r>
      <w:r>
        <w:rPr>
          <w:rFonts w:hint="default" w:ascii="Times New Roman" w:hAnsi="Times New Roman" w:eastAsia="方正仿宋_GBK" w:cs="Times New Roman"/>
          <w:color w:val="auto"/>
          <w:spacing w:val="0"/>
          <w:kern w:val="2"/>
          <w:sz w:val="32"/>
          <w:szCs w:val="32"/>
          <w:highlight w:val="none"/>
          <w:u w:val="none"/>
        </w:rPr>
        <w:t>×</w:t>
      </w:r>
      <w:r>
        <w:rPr>
          <w:rFonts w:hint="eastAsia"/>
          <w:color w:val="auto"/>
          <w:lang w:val="en-US" w:eastAsia="zh-CN"/>
        </w:rPr>
        <w:t>150元/平方米的项目落地进度奖励，项目最高奖励上限为容积率1.5，低于容积率1.5的按实际容积率奖励。”</w:t>
      </w:r>
    </w:p>
    <w:p>
      <w:pPr>
        <w:keepNext w:val="0"/>
        <w:keepLines w:val="0"/>
        <w:pageBreakBefore w:val="0"/>
        <w:kinsoku/>
        <w:wordWrap/>
        <w:overflowPunct/>
        <w:topLinePunct w:val="0"/>
        <w:autoSpaceDE/>
        <w:autoSpaceDN/>
        <w:bidi w:val="0"/>
        <w:snapToGrid/>
        <w:spacing w:line="560" w:lineRule="exact"/>
        <w:textAlignment w:val="auto"/>
        <w:rPr>
          <w:rFonts w:hint="default"/>
          <w:color w:val="auto"/>
          <w:highlight w:val="none"/>
          <w:lang w:val="en-US" w:eastAsia="zh-CN"/>
        </w:rPr>
      </w:pPr>
      <w:r>
        <w:rPr>
          <w:rStyle w:val="27"/>
          <w:rFonts w:hint="eastAsia"/>
          <w:lang w:val="en-US" w:eastAsia="zh-CN"/>
        </w:rPr>
        <w:t>二是</w:t>
      </w:r>
      <w:r>
        <w:rPr>
          <w:rStyle w:val="21"/>
          <w:rFonts w:hint="eastAsia" w:ascii="方正仿宋_GBK" w:hAnsi="方正仿宋_GBK" w:eastAsia="方正仿宋_GBK" w:cs="方正仿宋_GBK"/>
          <w:color w:val="auto"/>
          <w:highlight w:val="none"/>
          <w:lang w:val="en-US" w:eastAsia="zh-CN"/>
        </w:rPr>
        <w:t>在</w:t>
      </w:r>
      <w:r>
        <w:rPr>
          <w:rStyle w:val="21"/>
          <w:rFonts w:hint="eastAsia"/>
          <w:color w:val="auto"/>
          <w:highlight w:val="none"/>
          <w:lang w:val="en-US" w:eastAsia="zh-CN"/>
        </w:rPr>
        <w:t>“</w:t>
      </w:r>
      <w:r>
        <w:rPr>
          <w:rFonts w:hint="eastAsia" w:ascii="Times New Roman" w:eastAsia="方正仿宋_GBK"/>
          <w:color w:val="auto"/>
          <w:highlight w:val="none"/>
          <w:lang w:val="en-US" w:eastAsia="zh-CN"/>
        </w:rPr>
        <w:t>制造业项目奖</w:t>
      </w:r>
      <w:r>
        <w:rPr>
          <w:rStyle w:val="21"/>
          <w:rFonts w:hint="eastAsia"/>
          <w:color w:val="auto"/>
          <w:highlight w:val="none"/>
          <w:lang w:val="en-US" w:eastAsia="zh-CN"/>
        </w:rPr>
        <w:t>”</w:t>
      </w:r>
      <w:r>
        <w:rPr>
          <w:rFonts w:hint="eastAsia" w:ascii="Times New Roman" w:eastAsia="方正仿宋_GBK"/>
          <w:color w:val="auto"/>
          <w:highlight w:val="none"/>
          <w:lang w:val="en-US" w:eastAsia="zh-CN"/>
        </w:rPr>
        <w:t>下</w:t>
      </w:r>
      <w:r>
        <w:rPr>
          <w:rFonts w:hint="default"/>
          <w:color w:val="auto"/>
          <w:highlight w:val="none"/>
          <w:lang w:val="en-US" w:eastAsia="zh-CN"/>
        </w:rPr>
        <w:t>增设“贷款贴息奖励”</w:t>
      </w:r>
      <w:r>
        <w:rPr>
          <w:rFonts w:hint="eastAsia" w:ascii="Times New Roman" w:eastAsia="方正仿宋_GBK"/>
          <w:color w:val="auto"/>
          <w:highlight w:val="none"/>
          <w:lang w:val="en-US" w:eastAsia="zh-CN"/>
        </w:rPr>
        <w:t>：</w:t>
      </w:r>
      <w:r>
        <w:rPr>
          <w:rFonts w:hint="default"/>
          <w:color w:val="auto"/>
          <w:highlight w:val="none"/>
          <w:lang w:val="en-US" w:eastAsia="zh-CN"/>
        </w:rPr>
        <w:t>在项目签订投资协议之日起3年内，从本市范围内银行获得项目贷款的，给予项目固定资产投资贷款利息（不包括罚息）总额×20%的贴息支持，每家企业贴息金额累计最高不超过200万元。</w:t>
      </w:r>
    </w:p>
    <w:p>
      <w:pPr>
        <w:pStyle w:val="5"/>
        <w:keepNext w:val="0"/>
        <w:keepLines w:val="0"/>
        <w:pageBreakBefore w:val="0"/>
        <w:kinsoku/>
        <w:wordWrap/>
        <w:overflowPunct/>
        <w:topLinePunct w:val="0"/>
        <w:autoSpaceDE/>
        <w:autoSpaceDN/>
        <w:bidi w:val="0"/>
        <w:snapToGrid/>
        <w:spacing w:line="560" w:lineRule="exact"/>
        <w:textAlignment w:val="auto"/>
        <w:rPr>
          <w:rStyle w:val="28"/>
          <w:rFonts w:hint="eastAsia" w:ascii="Times New Roman" w:hAnsi="Times New Roman"/>
          <w:b/>
          <w:bCs/>
          <w:color w:val="auto"/>
          <w:lang w:val="en-US" w:eastAsia="zh-CN"/>
        </w:rPr>
      </w:pPr>
      <w:r>
        <w:rPr>
          <w:rStyle w:val="28"/>
          <w:rFonts w:hint="eastAsia" w:ascii="Times New Roman" w:hAnsi="Times New Roman"/>
          <w:b/>
          <w:bCs/>
          <w:color w:val="auto"/>
          <w:lang w:val="en-US" w:eastAsia="zh-CN"/>
        </w:rPr>
        <w:t>2.修订物流业项目奖。</w:t>
      </w:r>
    </w:p>
    <w:p>
      <w:pPr>
        <w:keepNext w:val="0"/>
        <w:keepLines w:val="0"/>
        <w:pageBreakBefore w:val="0"/>
        <w:numPr>
          <w:ilvl w:val="0"/>
          <w:numId w:val="0"/>
        </w:numPr>
        <w:kinsoku/>
        <w:wordWrap/>
        <w:overflowPunct/>
        <w:topLinePunct w:val="0"/>
        <w:autoSpaceDE/>
        <w:autoSpaceDN/>
        <w:bidi w:val="0"/>
        <w:snapToGrid/>
        <w:spacing w:line="560" w:lineRule="exact"/>
        <w:ind w:firstLine="632" w:firstLineChars="200"/>
        <w:textAlignment w:val="auto"/>
        <w:rPr>
          <w:rFonts w:hint="eastAsia"/>
          <w:color w:val="auto"/>
          <w:lang w:val="en-US" w:eastAsia="zh-CN"/>
        </w:rPr>
      </w:pPr>
      <w:r>
        <w:rPr>
          <w:rStyle w:val="27"/>
          <w:rFonts w:hint="eastAsia"/>
          <w:lang w:val="en-US" w:eastAsia="zh-CN"/>
        </w:rPr>
        <w:t>一是</w:t>
      </w:r>
      <w:r>
        <w:rPr>
          <w:rFonts w:hint="eastAsia"/>
          <w:lang w:val="en-US" w:eastAsia="zh-CN"/>
        </w:rPr>
        <w:t>将“物流业项目奖”下的“发展贡献奖励”的相关条款修改为“对新引进固定资产投资1亿元以上的物流项目，从项目投产当年起3年内，给予其营业净收入×6%的奖励，且以不超过其对本市经济社会贡献的60%为限。”</w:t>
      </w:r>
    </w:p>
    <w:p>
      <w:pPr>
        <w:keepNext w:val="0"/>
        <w:keepLines w:val="0"/>
        <w:pageBreakBefore w:val="0"/>
        <w:numPr>
          <w:ilvl w:val="0"/>
          <w:numId w:val="0"/>
        </w:numPr>
        <w:kinsoku/>
        <w:wordWrap/>
        <w:overflowPunct/>
        <w:topLinePunct w:val="0"/>
        <w:autoSpaceDE/>
        <w:autoSpaceDN/>
        <w:bidi w:val="0"/>
        <w:snapToGrid/>
        <w:spacing w:line="560" w:lineRule="exact"/>
        <w:ind w:firstLine="632" w:firstLineChars="200"/>
        <w:textAlignment w:val="auto"/>
        <w:rPr>
          <w:rFonts w:hint="eastAsia" w:ascii="Times New Roman" w:eastAsia="文星仿宋"/>
          <w:b w:val="0"/>
          <w:bCs w:val="0"/>
          <w:color w:val="auto"/>
          <w:lang w:val="en-US" w:eastAsia="zh-CN"/>
        </w:rPr>
      </w:pPr>
      <w:r>
        <w:rPr>
          <w:rStyle w:val="27"/>
          <w:rFonts w:hint="eastAsia"/>
          <w:lang w:val="en-US" w:eastAsia="zh-CN"/>
        </w:rPr>
        <w:t>二是</w:t>
      </w:r>
      <w:r>
        <w:rPr>
          <w:rFonts w:hint="eastAsia" w:ascii="Times New Roman" w:eastAsia="文星仿宋"/>
          <w:b w:val="0"/>
          <w:bCs w:val="0"/>
          <w:color w:val="auto"/>
          <w:lang w:val="en-US" w:eastAsia="zh-CN"/>
        </w:rPr>
        <w:t>将“物流业项目奖”下的“保税加工增值奖励”的相关条款修改为</w:t>
      </w:r>
      <w:r>
        <w:rPr>
          <w:rFonts w:hint="eastAsia" w:eastAsia="文星仿宋"/>
          <w:b w:val="0"/>
          <w:bCs w:val="0"/>
          <w:color w:val="auto"/>
          <w:lang w:val="en-US" w:eastAsia="zh-CN"/>
        </w:rPr>
        <w:t>“区内物流企业在梅州综保区开展仓储简单加工增值业务、进口冷链业务的，按每标箱200元的标准给予奖励。每家企业每年此项奖励累计不超过30万元。”</w:t>
      </w:r>
    </w:p>
    <w:p>
      <w:pPr>
        <w:keepNext w:val="0"/>
        <w:keepLines w:val="0"/>
        <w:pageBreakBefore w:val="0"/>
        <w:kinsoku/>
        <w:wordWrap/>
        <w:overflowPunct/>
        <w:topLinePunct w:val="0"/>
        <w:autoSpaceDE/>
        <w:autoSpaceDN/>
        <w:bidi w:val="0"/>
        <w:snapToGrid/>
        <w:spacing w:line="560" w:lineRule="exact"/>
        <w:textAlignment w:val="auto"/>
        <w:rPr>
          <w:rFonts w:hint="eastAsia"/>
          <w:color w:val="auto"/>
          <w:lang w:val="en-US" w:eastAsia="zh-CN"/>
        </w:rPr>
      </w:pPr>
      <w:r>
        <w:rPr>
          <w:rStyle w:val="28"/>
          <w:rFonts w:hint="eastAsia" w:ascii="Times New Roman" w:hAnsi="Times New Roman"/>
          <w:color w:val="auto"/>
          <w:sz w:val="32"/>
          <w:lang w:val="en-US" w:eastAsia="zh-CN" w:bidi="ar-SA"/>
        </w:rPr>
        <w:t>3.修订外资项目奖。</w:t>
      </w:r>
      <w:r>
        <w:rPr>
          <w:rFonts w:hint="eastAsia"/>
          <w:color w:val="auto"/>
          <w:lang w:val="en-US" w:eastAsia="zh-CN"/>
        </w:rPr>
        <w:t>将相关条款修改为“1.对在梅州设立的外资企业（房地产业，金融业及类金融业除外，不含外方股东贷款），年新增实际外资金额合计达500万美元及以上的，分别按不高于高技术制造业3%，其他制造业、高技术服务业2%，其他行业1%的新增实际金额奖励，最高奖励300万元。2.对经广东省认定的外资跨国公司地区总部，注册地在梅州且新增实际外资金额合计达500万美元及以上的，给予一次性100万元的叠加奖励，单个企业在实施期内仅可申报一次总部奖励。”</w:t>
      </w:r>
    </w:p>
    <w:p>
      <w:pPr>
        <w:keepNext w:val="0"/>
        <w:keepLines w:val="0"/>
        <w:pageBreakBefore w:val="0"/>
        <w:kinsoku/>
        <w:wordWrap/>
        <w:overflowPunct/>
        <w:topLinePunct w:val="0"/>
        <w:autoSpaceDE/>
        <w:autoSpaceDN/>
        <w:bidi w:val="0"/>
        <w:snapToGrid/>
        <w:spacing w:line="560" w:lineRule="exact"/>
        <w:textAlignment w:val="auto"/>
        <w:rPr>
          <w:rFonts w:hint="eastAsia"/>
          <w:color w:val="auto"/>
          <w:lang w:val="en-US" w:eastAsia="zh-CN"/>
        </w:rPr>
      </w:pPr>
      <w:r>
        <w:rPr>
          <w:rStyle w:val="28"/>
          <w:rFonts w:hint="eastAsia" w:ascii="Times New Roman" w:hAnsi="Times New Roman"/>
          <w:color w:val="auto"/>
          <w:sz w:val="32"/>
          <w:lang w:val="en-US" w:eastAsia="zh-CN" w:bidi="ar-SA"/>
        </w:rPr>
        <w:t>4.修订总部经济项目奖。</w:t>
      </w:r>
      <w:r>
        <w:rPr>
          <w:rFonts w:hint="eastAsia"/>
          <w:color w:val="auto"/>
          <w:lang w:val="en-US" w:eastAsia="zh-CN"/>
        </w:rPr>
        <w:t>将相关条款修改为“在本细则有效期内，在我市范围内有健全财务制度、具有独立法人资格、实行独立核算，且截至上一年度全资或绝对控股公司、分公司3家以上的总部企业，经市级行业主管部门认定后，对年主营业务收入首次达到5亿元以上、且年度对本市经济社会贡献首次达到2000万元以上的，给予其当年营业净收入×10%的奖励，且以不超过其当年对本市经济社会贡献为限；第2、3年主营业务收入同比增长10%以上的，给予其当年营业净收入增量×8%的奖励，且以不超过其当年对本市经济社会贡献增量的80%为限。本奖励不受就业人数限制。”</w:t>
      </w:r>
    </w:p>
    <w:p>
      <w:pPr>
        <w:keepNext w:val="0"/>
        <w:keepLines w:val="0"/>
        <w:pageBreakBefore w:val="0"/>
        <w:kinsoku/>
        <w:wordWrap/>
        <w:overflowPunct/>
        <w:topLinePunct w:val="0"/>
        <w:autoSpaceDE/>
        <w:autoSpaceDN/>
        <w:bidi w:val="0"/>
        <w:snapToGrid/>
        <w:spacing w:line="560" w:lineRule="exact"/>
        <w:textAlignment w:val="auto"/>
        <w:rPr>
          <w:rFonts w:hint="eastAsia"/>
          <w:color w:val="auto"/>
          <w:lang w:val="en-US" w:eastAsia="zh-CN"/>
        </w:rPr>
      </w:pPr>
      <w:r>
        <w:rPr>
          <w:rStyle w:val="28"/>
          <w:rFonts w:hint="eastAsia" w:ascii="Times New Roman" w:hAnsi="Times New Roman"/>
          <w:color w:val="auto"/>
          <w:sz w:val="32"/>
          <w:lang w:val="en-US" w:eastAsia="zh-CN" w:bidi="ar-SA"/>
        </w:rPr>
        <w:t>5.修订数字经济奖。</w:t>
      </w:r>
      <w:r>
        <w:rPr>
          <w:rFonts w:hint="eastAsia"/>
          <w:color w:val="auto"/>
          <w:lang w:val="en-US" w:eastAsia="zh-CN"/>
        </w:rPr>
        <w:t>将相关条款修改为“对新落户的软件开发（基础软件开发、支撑软件开发等）、互联网相关服务（互联网接入及相关服务、互联网搜索服务等）、信息技术服务（集成电路设计、物联网技术服务、信息处理和存储、动漫游戏等）、互联网平台（互联网生产服务、生活服务、科技创新、公共服务等平台）以及信息基础设施建设（人工智能、云计算、数据中心、区块链、物联网等）企业，实缴注册资本达2000万元以上、有20名以上全职员工的企业，前3年给予其营业净收入×6%的奖励，且以不超过其对本市经济社会贡献的60%为限。本奖励同时符合总部经济条件的，按与总部经济项目奖就高不重复执行。”</w:t>
      </w:r>
    </w:p>
    <w:p>
      <w:pPr>
        <w:pStyle w:val="4"/>
        <w:keepNext w:val="0"/>
        <w:keepLines w:val="0"/>
        <w:pageBreakBefore w:val="0"/>
        <w:kinsoku/>
        <w:wordWrap/>
        <w:overflowPunct/>
        <w:topLinePunct w:val="0"/>
        <w:autoSpaceDE/>
        <w:autoSpaceDN/>
        <w:bidi w:val="0"/>
        <w:snapToGrid/>
        <w:spacing w:line="560" w:lineRule="exact"/>
        <w:textAlignment w:val="auto"/>
        <w:rPr>
          <w:rFonts w:hint="eastAsia"/>
          <w:color w:val="auto"/>
          <w:lang w:val="en-US" w:eastAsia="zh-CN"/>
        </w:rPr>
      </w:pPr>
      <w:r>
        <w:rPr>
          <w:rFonts w:hint="eastAsia"/>
          <w:color w:val="auto"/>
          <w:lang w:val="en-US" w:eastAsia="zh-CN"/>
        </w:rPr>
        <w:t>（二）《梅州市加快工业发展实施细则》修订方面</w:t>
      </w:r>
    </w:p>
    <w:p>
      <w:pPr>
        <w:pStyle w:val="5"/>
        <w:keepNext w:val="0"/>
        <w:keepLines w:val="0"/>
        <w:pageBreakBefore w:val="0"/>
        <w:kinsoku/>
        <w:wordWrap/>
        <w:overflowPunct/>
        <w:topLinePunct w:val="0"/>
        <w:autoSpaceDE/>
        <w:autoSpaceDN/>
        <w:bidi w:val="0"/>
        <w:snapToGrid/>
        <w:spacing w:line="560" w:lineRule="exact"/>
        <w:textAlignment w:val="auto"/>
        <w:rPr>
          <w:rStyle w:val="28"/>
          <w:rFonts w:hint="eastAsia" w:eastAsia="文星仿宋"/>
          <w:b/>
          <w:bCs/>
          <w:color w:val="auto"/>
          <w:sz w:val="32"/>
          <w:lang w:val="en-US" w:eastAsia="zh-CN" w:bidi="ar-SA"/>
        </w:rPr>
      </w:pPr>
      <w:r>
        <w:rPr>
          <w:rStyle w:val="28"/>
          <w:rFonts w:hint="eastAsia" w:ascii="Times New Roman" w:hAnsi="Times New Roman"/>
          <w:b/>
          <w:bCs/>
          <w:color w:val="auto"/>
          <w:lang w:val="en-US" w:eastAsia="zh-CN"/>
        </w:rPr>
        <w:t>1.修订产业成长奖。</w:t>
      </w:r>
    </w:p>
    <w:p>
      <w:pPr>
        <w:keepNext w:val="0"/>
        <w:keepLines w:val="0"/>
        <w:pageBreakBefore w:val="0"/>
        <w:kinsoku/>
        <w:wordWrap/>
        <w:overflowPunct/>
        <w:topLinePunct w:val="0"/>
        <w:autoSpaceDE/>
        <w:autoSpaceDN/>
        <w:bidi w:val="0"/>
        <w:snapToGrid/>
        <w:spacing w:line="560" w:lineRule="exact"/>
        <w:textAlignment w:val="auto"/>
        <w:rPr>
          <w:rFonts w:hint="eastAsia"/>
          <w:color w:val="auto"/>
          <w:lang w:val="en-US" w:eastAsia="zh-CN"/>
        </w:rPr>
      </w:pPr>
      <w:r>
        <w:rPr>
          <w:rStyle w:val="27"/>
          <w:rFonts w:hint="eastAsia"/>
          <w:lang w:val="en-US" w:eastAsia="zh-CN"/>
        </w:rPr>
        <w:t>一是</w:t>
      </w:r>
      <w:r>
        <w:rPr>
          <w:rFonts w:hint="eastAsia"/>
          <w:color w:val="auto"/>
          <w:lang w:val="en-US" w:eastAsia="zh-CN"/>
        </w:rPr>
        <w:t>将“产业成长奖”下的“价值先锋奖励”相关条款修改为“对符合梅州产业发展方向，且对本市经济社会贡献600万元以上的规上战略性支柱产业企业，以及对本市经济社会贡献400万元以上的规上战略性新兴产业企业，年主营业务收入同比增长20%以上但不足50%的，给予其当年营业净收入增量×6%的奖励，且不超过其当年对本市经济社会贡献增量的60%为限；年主营业务收入同比增长50%以上的，给予其当年营业净收入增量×8%的奖励，且以不超过其当年对本市经济社会贡献增量的80%为限。”</w:t>
      </w:r>
    </w:p>
    <w:p>
      <w:pPr>
        <w:keepNext w:val="0"/>
        <w:keepLines w:val="0"/>
        <w:pageBreakBefore w:val="0"/>
        <w:kinsoku/>
        <w:wordWrap/>
        <w:overflowPunct/>
        <w:topLinePunct w:val="0"/>
        <w:autoSpaceDE/>
        <w:autoSpaceDN/>
        <w:bidi w:val="0"/>
        <w:snapToGrid/>
        <w:spacing w:line="560" w:lineRule="exact"/>
        <w:textAlignment w:val="auto"/>
        <w:rPr>
          <w:rFonts w:hint="eastAsia"/>
          <w:color w:val="auto"/>
          <w:lang w:val="en-US" w:eastAsia="zh-CN"/>
        </w:rPr>
      </w:pPr>
      <w:r>
        <w:rPr>
          <w:rStyle w:val="27"/>
          <w:rFonts w:hint="eastAsia"/>
          <w:lang w:val="en-US" w:eastAsia="zh-CN"/>
        </w:rPr>
        <w:t>二是</w:t>
      </w:r>
      <w:r>
        <w:rPr>
          <w:rFonts w:hint="eastAsia"/>
          <w:color w:val="auto"/>
          <w:lang w:val="en-US" w:eastAsia="zh-CN"/>
        </w:rPr>
        <w:t>将“产业成长奖”下的“</w:t>
      </w:r>
      <w:r>
        <w:rPr>
          <w:rFonts w:hint="eastAsia" w:ascii="方正仿宋_GBK" w:hAnsi="方正仿宋_GBK" w:eastAsia="方正仿宋_GBK" w:cs="方正仿宋_GBK"/>
          <w:color w:val="auto"/>
          <w:lang w:val="en-US" w:eastAsia="zh-CN"/>
        </w:rPr>
        <w:t>‘</w:t>
      </w:r>
      <w:r>
        <w:rPr>
          <w:rFonts w:hint="eastAsia"/>
          <w:color w:val="auto"/>
          <w:lang w:val="en-US" w:eastAsia="zh-CN"/>
        </w:rPr>
        <w:t>小升规</w:t>
      </w:r>
      <w:r>
        <w:rPr>
          <w:rFonts w:hint="eastAsia" w:ascii="方正仿宋_GBK" w:hAnsi="方正仿宋_GBK" w:eastAsia="方正仿宋_GBK" w:cs="方正仿宋_GBK"/>
          <w:color w:val="auto"/>
          <w:lang w:val="en-US" w:eastAsia="zh-CN"/>
        </w:rPr>
        <w:t>’</w:t>
      </w:r>
      <w:r>
        <w:rPr>
          <w:rFonts w:hint="eastAsia"/>
          <w:color w:val="auto"/>
          <w:lang w:val="en-US" w:eastAsia="zh-CN"/>
        </w:rPr>
        <w:t>奖励”更名为“‘升规’奖励”，同时将相关条款修改为“对年度主营业务收入达到规模以上企业标准并首次纳入统计部门规上企业名录库的企业，每家奖励10万元；在本奖补办法有效期内首次上规的企业，通过统计部门认定为当年投产当年上规的，且未能享受省级‘小升规’等奖励的，上规当年奖励其10万元。本奖励不受获奖对象对本市经济社会贡献总额及就业人数限制。以上奖励企业，可同时享受省级小升规等相关奖励政策”。</w:t>
      </w:r>
    </w:p>
    <w:p>
      <w:pPr>
        <w:keepNext w:val="0"/>
        <w:keepLines w:val="0"/>
        <w:pageBreakBefore w:val="0"/>
        <w:kinsoku/>
        <w:wordWrap/>
        <w:overflowPunct/>
        <w:topLinePunct w:val="0"/>
        <w:autoSpaceDE/>
        <w:autoSpaceDN/>
        <w:bidi w:val="0"/>
        <w:snapToGrid/>
        <w:spacing w:line="560" w:lineRule="exact"/>
        <w:textAlignment w:val="auto"/>
        <w:rPr>
          <w:rFonts w:hint="eastAsia"/>
          <w:color w:val="auto"/>
          <w:lang w:val="en-US" w:eastAsia="zh-CN"/>
        </w:rPr>
      </w:pPr>
      <w:r>
        <w:rPr>
          <w:rStyle w:val="27"/>
          <w:rFonts w:hint="eastAsia"/>
          <w:lang w:val="en-US" w:eastAsia="zh-CN"/>
        </w:rPr>
        <w:t>三是</w:t>
      </w:r>
      <w:r>
        <w:rPr>
          <w:rFonts w:hint="eastAsia"/>
          <w:color w:val="auto"/>
          <w:lang w:val="en-US" w:eastAsia="zh-CN"/>
        </w:rPr>
        <w:t>将“产业成长奖”下的“工业设计奖励”相关条款修改为“1.本政策印发实施后，对首次获得国家级、省级工业设计中心认定的企业，分别给予50万元、20万元奖励。2.对本市经济社会贡献100万元以上，且年度主营业务收入同比增长10%以上的省级工业设计企业、工业设计基地，给予其当年营业净收入增量×6%的奖励，且以不超过其当年对本市经济社会贡献增量的60%为限。”</w:t>
      </w:r>
    </w:p>
    <w:p>
      <w:pPr>
        <w:keepNext w:val="0"/>
        <w:keepLines w:val="0"/>
        <w:pageBreakBefore w:val="0"/>
        <w:kinsoku/>
        <w:wordWrap/>
        <w:overflowPunct/>
        <w:topLinePunct w:val="0"/>
        <w:autoSpaceDE/>
        <w:autoSpaceDN/>
        <w:bidi w:val="0"/>
        <w:snapToGrid/>
        <w:spacing w:line="560" w:lineRule="exact"/>
        <w:textAlignment w:val="auto"/>
        <w:rPr>
          <w:rFonts w:hint="eastAsia"/>
          <w:color w:val="auto"/>
          <w:lang w:val="en-US" w:eastAsia="zh-CN"/>
        </w:rPr>
      </w:pPr>
      <w:r>
        <w:rPr>
          <w:rStyle w:val="28"/>
          <w:rFonts w:hint="eastAsia" w:ascii="Times New Roman" w:hAnsi="Times New Roman"/>
          <w:color w:val="auto"/>
          <w:sz w:val="32"/>
          <w:lang w:val="en-US" w:eastAsia="zh-CN" w:bidi="ar-SA"/>
        </w:rPr>
        <w:t>2.修订领航企业奖。</w:t>
      </w:r>
      <w:r>
        <w:rPr>
          <w:rFonts w:hint="eastAsia"/>
          <w:color w:val="auto"/>
          <w:lang w:val="en-US" w:eastAsia="zh-CN"/>
        </w:rPr>
        <w:t>在“领航企业奖”下增设“绿色工厂奖励”：对辖区内申报国家级绿色工厂成功案例企业实施事后资金奖励，其中赋码A+企业奖励10万元，赋码A企业奖励5万元，赋码B企业奖励3万元。</w:t>
      </w:r>
    </w:p>
    <w:p>
      <w:pPr>
        <w:pStyle w:val="4"/>
        <w:keepNext w:val="0"/>
        <w:keepLines w:val="0"/>
        <w:pageBreakBefore w:val="0"/>
        <w:kinsoku/>
        <w:wordWrap/>
        <w:overflowPunct/>
        <w:topLinePunct w:val="0"/>
        <w:autoSpaceDE/>
        <w:autoSpaceDN/>
        <w:bidi w:val="0"/>
        <w:snapToGrid/>
        <w:spacing w:line="560" w:lineRule="exact"/>
        <w:textAlignment w:val="auto"/>
        <w:rPr>
          <w:rFonts w:hint="eastAsia"/>
          <w:color w:val="auto"/>
          <w:lang w:val="en-US" w:eastAsia="zh-CN"/>
        </w:rPr>
      </w:pPr>
      <w:r>
        <w:rPr>
          <w:rFonts w:hint="eastAsia"/>
          <w:color w:val="auto"/>
          <w:lang w:val="en-US" w:eastAsia="zh-CN"/>
        </w:rPr>
        <w:t>（三）《梅州市加快服务业发展实施细则》修订方面</w:t>
      </w:r>
    </w:p>
    <w:p>
      <w:pPr>
        <w:keepNext w:val="0"/>
        <w:keepLines w:val="0"/>
        <w:pageBreakBefore w:val="0"/>
        <w:kinsoku/>
        <w:wordWrap/>
        <w:overflowPunct/>
        <w:topLinePunct w:val="0"/>
        <w:autoSpaceDE/>
        <w:autoSpaceDN/>
        <w:bidi w:val="0"/>
        <w:snapToGrid/>
        <w:spacing w:line="560" w:lineRule="exact"/>
        <w:textAlignment w:val="auto"/>
        <w:rPr>
          <w:rFonts w:hint="eastAsia"/>
          <w:color w:val="auto"/>
          <w:lang w:val="en-US" w:eastAsia="zh-CN"/>
        </w:rPr>
      </w:pPr>
      <w:r>
        <w:rPr>
          <w:rStyle w:val="28"/>
          <w:rFonts w:hint="eastAsia" w:ascii="Times New Roman" w:hAnsi="Times New Roman"/>
          <w:color w:val="auto"/>
          <w:sz w:val="32"/>
          <w:lang w:val="en-US" w:eastAsia="zh-CN" w:bidi="ar-SA"/>
        </w:rPr>
        <w:t>1.修订金融业发展奖。</w:t>
      </w:r>
      <w:r>
        <w:rPr>
          <w:rFonts w:hint="eastAsia"/>
          <w:color w:val="auto"/>
          <w:lang w:val="en-US" w:eastAsia="zh-CN"/>
        </w:rPr>
        <w:t>将“金融业发展奖”下的“其他金融机构奖励”相关条款修改为“对证券、保险、期货、资产管理、信托、企业集团财务、控股公司（集团）、保险经纪、保险公估、保险代理、征信、资信评级、第三方支付、互联网保险以及小额贷款、融资性担保、融资租赁、典当、商业保理等经金融监管部门批准设立的法人金融机构，新落户我市并开展金融服务业务3年内，每年度主营业务收入达到1亿元以上（含1亿元），给予其当年营业净收入增量×5%的奖励，且以不超过其当年对本市经济社会贡献增量的50%为限；年度主营业务收入每增加1亿元，奖励标准提高0.5%，最高奖励以不超过其当年对本市经济社会贡献增量的80%为限。”</w:t>
      </w:r>
    </w:p>
    <w:p>
      <w:pPr>
        <w:keepNext w:val="0"/>
        <w:keepLines w:val="0"/>
        <w:pageBreakBefore w:val="0"/>
        <w:kinsoku/>
        <w:wordWrap/>
        <w:overflowPunct/>
        <w:topLinePunct w:val="0"/>
        <w:autoSpaceDE/>
        <w:autoSpaceDN/>
        <w:bidi w:val="0"/>
        <w:snapToGrid/>
        <w:spacing w:line="560" w:lineRule="exact"/>
        <w:textAlignment w:val="auto"/>
        <w:rPr>
          <w:rFonts w:hint="eastAsia"/>
          <w:color w:val="auto"/>
          <w:lang w:val="en-US" w:eastAsia="zh-CN"/>
        </w:rPr>
      </w:pPr>
      <w:r>
        <w:rPr>
          <w:rStyle w:val="28"/>
          <w:rFonts w:hint="eastAsia" w:ascii="Times New Roman" w:hAnsi="Times New Roman"/>
          <w:color w:val="auto"/>
          <w:sz w:val="32"/>
          <w:lang w:val="en-US" w:eastAsia="zh-CN" w:bidi="ar-SA"/>
        </w:rPr>
        <w:t>2.修订体育产业发展奖。</w:t>
      </w:r>
      <w:r>
        <w:rPr>
          <w:rFonts w:hint="eastAsia"/>
          <w:color w:val="auto"/>
          <w:lang w:val="en-US" w:eastAsia="zh-CN"/>
        </w:rPr>
        <w:t>将“体育产业发展奖”下的“体育竞赛表演培训奖励”相关条款修改为“对开展足球、马拉松、徒步等体育类赛事、培训业务，且当年经济社会贡献100万元以上的社会运营机构，给予其当年营业净收入增量×6%的奖励，且以不超过其当年对本市经济社会贡献增量的60%为限。”</w:t>
      </w:r>
    </w:p>
    <w:p>
      <w:pPr>
        <w:pStyle w:val="5"/>
        <w:keepNext w:val="0"/>
        <w:keepLines w:val="0"/>
        <w:pageBreakBefore w:val="0"/>
        <w:kinsoku/>
        <w:wordWrap/>
        <w:overflowPunct/>
        <w:topLinePunct w:val="0"/>
        <w:autoSpaceDE/>
        <w:autoSpaceDN/>
        <w:bidi w:val="0"/>
        <w:snapToGrid/>
        <w:spacing w:line="560" w:lineRule="exact"/>
        <w:textAlignment w:val="auto"/>
        <w:rPr>
          <w:rStyle w:val="28"/>
          <w:rFonts w:hint="eastAsia" w:eastAsia="文星仿宋"/>
          <w:b/>
          <w:bCs/>
          <w:color w:val="auto"/>
          <w:lang w:val="en-US" w:eastAsia="zh-CN"/>
        </w:rPr>
      </w:pPr>
      <w:r>
        <w:rPr>
          <w:rStyle w:val="28"/>
          <w:rFonts w:hint="eastAsia" w:ascii="Times New Roman" w:hAnsi="Times New Roman"/>
          <w:b/>
          <w:bCs/>
          <w:color w:val="auto"/>
          <w:lang w:val="en-US" w:eastAsia="zh-CN"/>
        </w:rPr>
        <w:t>3.修订跨境电商发展奖。</w:t>
      </w:r>
    </w:p>
    <w:p>
      <w:pPr>
        <w:keepNext w:val="0"/>
        <w:keepLines w:val="0"/>
        <w:pageBreakBefore w:val="0"/>
        <w:kinsoku/>
        <w:wordWrap/>
        <w:overflowPunct/>
        <w:topLinePunct w:val="0"/>
        <w:autoSpaceDE/>
        <w:autoSpaceDN/>
        <w:bidi w:val="0"/>
        <w:snapToGrid/>
        <w:spacing w:line="560" w:lineRule="exact"/>
        <w:textAlignment w:val="auto"/>
        <w:rPr>
          <w:rFonts w:hint="eastAsia"/>
          <w:color w:val="auto"/>
          <w:lang w:val="en-US" w:eastAsia="zh-CN"/>
        </w:rPr>
      </w:pPr>
      <w:r>
        <w:rPr>
          <w:rStyle w:val="27"/>
          <w:rFonts w:hint="eastAsia"/>
          <w:lang w:val="en-US" w:eastAsia="zh-CN"/>
        </w:rPr>
        <w:t>一是</w:t>
      </w:r>
      <w:r>
        <w:rPr>
          <w:rFonts w:hint="eastAsia"/>
          <w:lang w:val="en-US" w:eastAsia="zh-CN"/>
        </w:rPr>
        <w:t>将“跨境电商发展奖”下的“龙头企业培育奖励”相关条款修改为“对进驻中国（梅州）跨境电子商务综合试验区（以下简称梅州综试区）公共服务平台，开展跨境电商进出口业务，相关数据纳入我市跨境电商进出口统计，且对我市跨境电商行业有带动作用的，市场潜力和影响力较强的成长性企业，给予最高100万元的资金奖励；对进出口商品在梅州综保区清关，经营跨境电商1210进口业务、跨境电商1210出口业务的企业，分别给予最高600万元、200万元的补助。（具体分档标准由年度申报通知明确）”</w:t>
      </w:r>
    </w:p>
    <w:p>
      <w:pPr>
        <w:keepNext w:val="0"/>
        <w:keepLines w:val="0"/>
        <w:pageBreakBefore w:val="0"/>
        <w:kinsoku/>
        <w:wordWrap/>
        <w:overflowPunct/>
        <w:topLinePunct w:val="0"/>
        <w:autoSpaceDE/>
        <w:autoSpaceDN/>
        <w:bidi w:val="0"/>
        <w:snapToGrid/>
        <w:spacing w:line="560" w:lineRule="exact"/>
        <w:textAlignment w:val="auto"/>
        <w:rPr>
          <w:rFonts w:hint="eastAsia"/>
          <w:color w:val="auto"/>
          <w:lang w:val="en-US" w:eastAsia="zh-CN"/>
        </w:rPr>
      </w:pPr>
      <w:r>
        <w:rPr>
          <w:rStyle w:val="27"/>
          <w:rFonts w:hint="eastAsia"/>
          <w:lang w:val="en-US" w:eastAsia="zh-CN"/>
        </w:rPr>
        <w:t>二是</w:t>
      </w:r>
      <w:r>
        <w:rPr>
          <w:rFonts w:hint="eastAsia"/>
          <w:color w:val="auto"/>
          <w:lang w:val="en-US" w:eastAsia="zh-CN"/>
        </w:rPr>
        <w:t>将“跨境电商发展奖”下的“跨境电商园区奖励”相关条款修改为</w:t>
      </w:r>
      <w:r>
        <w:rPr>
          <w:rFonts w:hint="eastAsia"/>
          <w:color w:val="auto"/>
          <w:highlight w:val="none"/>
          <w:lang w:val="en-US" w:eastAsia="zh-CN"/>
        </w:rPr>
        <w:t>“</w:t>
      </w:r>
      <w:r>
        <w:rPr>
          <w:rFonts w:hint="eastAsia"/>
          <w:color w:val="auto"/>
          <w:lang w:val="en-US" w:eastAsia="zh-CN"/>
        </w:rPr>
        <w:t>对年交易总额1亿元以上的跨境电商园区（楼宇），按园区运营方及入驻跨境电商企业的营业净收入×4%给予运营方奖励，且以不超过其对本市经济社会贡献的40%为限。”</w:t>
      </w:r>
    </w:p>
    <w:p>
      <w:pPr>
        <w:keepNext w:val="0"/>
        <w:keepLines w:val="0"/>
        <w:pageBreakBefore w:val="0"/>
        <w:kinsoku/>
        <w:wordWrap/>
        <w:overflowPunct/>
        <w:topLinePunct w:val="0"/>
        <w:autoSpaceDE/>
        <w:autoSpaceDN/>
        <w:bidi w:val="0"/>
        <w:snapToGrid/>
        <w:spacing w:line="560" w:lineRule="exact"/>
        <w:textAlignment w:val="auto"/>
        <w:rPr>
          <w:rFonts w:hint="eastAsia"/>
          <w:b w:val="0"/>
          <w:bCs w:val="0"/>
          <w:color w:val="auto"/>
          <w:lang w:val="en-US" w:eastAsia="zh-CN"/>
        </w:rPr>
      </w:pPr>
      <w:r>
        <w:rPr>
          <w:rStyle w:val="27"/>
          <w:rFonts w:hint="eastAsia"/>
          <w:lang w:val="en-US" w:eastAsia="zh-CN"/>
        </w:rPr>
        <w:t>三是</w:t>
      </w:r>
      <w:r>
        <w:rPr>
          <w:rFonts w:hint="eastAsia"/>
          <w:b w:val="0"/>
          <w:bCs w:val="0"/>
          <w:color w:val="auto"/>
          <w:lang w:val="en-US" w:eastAsia="zh-CN"/>
        </w:rPr>
        <w:t>取消“跨境电商发展奖”下的“展示交易（体验）中心补助”条款。</w:t>
      </w:r>
      <w:bookmarkStart w:id="0" w:name="_GoBack"/>
      <w:bookmarkEnd w:id="0"/>
    </w:p>
    <w:p>
      <w:pPr>
        <w:keepNext w:val="0"/>
        <w:keepLines w:val="0"/>
        <w:pageBreakBefore w:val="0"/>
        <w:kinsoku/>
        <w:wordWrap/>
        <w:overflowPunct/>
        <w:topLinePunct w:val="0"/>
        <w:autoSpaceDE/>
        <w:autoSpaceDN/>
        <w:bidi w:val="0"/>
        <w:snapToGrid/>
        <w:spacing w:line="560" w:lineRule="exact"/>
        <w:textAlignment w:val="auto"/>
        <w:rPr>
          <w:rFonts w:hint="eastAsia"/>
          <w:b w:val="0"/>
          <w:bCs w:val="0"/>
          <w:color w:val="auto"/>
          <w:lang w:val="en-US" w:eastAsia="zh-CN"/>
        </w:rPr>
      </w:pPr>
      <w:r>
        <w:rPr>
          <w:rStyle w:val="28"/>
          <w:rFonts w:hint="eastAsia" w:ascii="Times New Roman" w:hAnsi="Times New Roman"/>
          <w:color w:val="auto"/>
          <w:sz w:val="32"/>
          <w:lang w:val="en-US" w:eastAsia="zh-CN" w:bidi="ar-SA"/>
        </w:rPr>
        <w:t>4.修订跨境电商发展奖。</w:t>
      </w:r>
      <w:r>
        <w:rPr>
          <w:rFonts w:hint="eastAsia"/>
          <w:b w:val="0"/>
          <w:bCs w:val="0"/>
          <w:color w:val="auto"/>
          <w:lang w:val="en-US" w:eastAsia="zh-CN"/>
        </w:rPr>
        <w:t>取消“跨境电商发展奖”下的“出口信用保险补助”条款。</w:t>
      </w:r>
    </w:p>
    <w:p>
      <w:pPr>
        <w:pStyle w:val="4"/>
        <w:keepNext w:val="0"/>
        <w:keepLines w:val="0"/>
        <w:pageBreakBefore w:val="0"/>
        <w:kinsoku/>
        <w:wordWrap/>
        <w:overflowPunct/>
        <w:topLinePunct w:val="0"/>
        <w:autoSpaceDE/>
        <w:autoSpaceDN/>
        <w:bidi w:val="0"/>
        <w:snapToGrid/>
        <w:spacing w:line="560" w:lineRule="exact"/>
        <w:textAlignment w:val="auto"/>
        <w:rPr>
          <w:rFonts w:hint="eastAsia"/>
          <w:color w:val="auto"/>
          <w:lang w:val="en-US" w:eastAsia="zh-CN"/>
        </w:rPr>
      </w:pPr>
      <w:r>
        <w:rPr>
          <w:rFonts w:hint="eastAsia"/>
          <w:color w:val="auto"/>
          <w:lang w:val="en-US" w:eastAsia="zh-CN"/>
        </w:rPr>
        <w:t>（四）《梅州市强化科技创新实施细则》修订方面</w:t>
      </w:r>
    </w:p>
    <w:p>
      <w:pPr>
        <w:keepNext w:val="0"/>
        <w:keepLines w:val="0"/>
        <w:pageBreakBefore w:val="0"/>
        <w:kinsoku/>
        <w:wordWrap/>
        <w:overflowPunct/>
        <w:topLinePunct w:val="0"/>
        <w:autoSpaceDE/>
        <w:autoSpaceDN/>
        <w:bidi w:val="0"/>
        <w:snapToGrid/>
        <w:spacing w:line="560" w:lineRule="exact"/>
        <w:textAlignment w:val="auto"/>
        <w:rPr>
          <w:rFonts w:hint="default"/>
          <w:lang w:val="en-US" w:eastAsia="zh-CN"/>
        </w:rPr>
      </w:pPr>
      <w:r>
        <w:rPr>
          <w:rFonts w:hint="eastAsia"/>
          <w:lang w:val="en-US" w:eastAsia="zh-CN"/>
        </w:rPr>
        <w:t>取消“质量品牌奖”下的</w:t>
      </w:r>
      <w:r>
        <w:rPr>
          <w:rFonts w:hint="default"/>
          <w:lang w:val="en-US" w:eastAsia="zh-CN"/>
        </w:rPr>
        <w:t>“知识产权奖励-商标资助”</w:t>
      </w:r>
      <w:r>
        <w:rPr>
          <w:rFonts w:hint="eastAsia"/>
          <w:lang w:val="en-US" w:eastAsia="zh-CN"/>
        </w:rPr>
        <w:t>奖励条款。</w:t>
      </w:r>
    </w:p>
    <w:p>
      <w:pPr>
        <w:pStyle w:val="4"/>
        <w:keepNext w:val="0"/>
        <w:keepLines w:val="0"/>
        <w:pageBreakBefore w:val="0"/>
        <w:kinsoku/>
        <w:wordWrap/>
        <w:overflowPunct/>
        <w:topLinePunct w:val="0"/>
        <w:autoSpaceDE/>
        <w:autoSpaceDN/>
        <w:bidi w:val="0"/>
        <w:snapToGrid/>
        <w:spacing w:line="560" w:lineRule="exact"/>
        <w:textAlignment w:val="auto"/>
        <w:rPr>
          <w:rFonts w:hint="eastAsia"/>
          <w:color w:val="auto"/>
          <w:lang w:val="en-US" w:eastAsia="zh-CN"/>
        </w:rPr>
      </w:pPr>
      <w:r>
        <w:rPr>
          <w:rFonts w:hint="eastAsia"/>
          <w:color w:val="auto"/>
          <w:lang w:val="en-US" w:eastAsia="zh-CN"/>
        </w:rPr>
        <w:t>（五）《梅州市加快实体经济振兴发展专项资金管理办法》修订方面</w:t>
      </w:r>
    </w:p>
    <w:p>
      <w:pPr>
        <w:keepNext w:val="0"/>
        <w:keepLines w:val="0"/>
        <w:pageBreakBefore w:val="0"/>
        <w:kinsoku/>
        <w:wordWrap/>
        <w:overflowPunct/>
        <w:topLinePunct w:val="0"/>
        <w:autoSpaceDE/>
        <w:autoSpaceDN/>
        <w:bidi w:val="0"/>
        <w:snapToGrid/>
        <w:spacing w:line="560" w:lineRule="exact"/>
        <w:textAlignment w:val="auto"/>
        <w:rPr>
          <w:rStyle w:val="28"/>
          <w:rFonts w:hint="default"/>
          <w:color w:val="auto"/>
          <w:lang w:val="en-US" w:eastAsia="zh-CN"/>
        </w:rPr>
      </w:pPr>
      <w:r>
        <w:rPr>
          <w:rStyle w:val="28"/>
          <w:rFonts w:hint="eastAsia" w:ascii="Times New Roman" w:hAnsi="Times New Roman"/>
          <w:color w:val="auto"/>
          <w:sz w:val="32"/>
          <w:lang w:val="en-US" w:eastAsia="zh-CN" w:bidi="ar-SA"/>
        </w:rPr>
        <w:t>1.修订第十条部分表述。</w:t>
      </w:r>
      <w:r>
        <w:rPr>
          <w:rFonts w:hint="eastAsia"/>
          <w:lang w:val="en-US" w:eastAsia="zh-CN"/>
        </w:rPr>
        <w:t>将原表述中的“与经济社会贡献挂钩的奖励资金由企业税收管辖关系受益财政部门负责兑现”修改为“与营业净收入或其增量挂钩的奖励资金由企业税收管辖关系受益财政部门负责兑现”，本条款其他内容不变。</w:t>
      </w:r>
    </w:p>
    <w:p>
      <w:pPr>
        <w:keepNext w:val="0"/>
        <w:keepLines w:val="0"/>
        <w:pageBreakBefore w:val="0"/>
        <w:kinsoku/>
        <w:wordWrap/>
        <w:overflowPunct/>
        <w:topLinePunct w:val="0"/>
        <w:autoSpaceDE/>
        <w:autoSpaceDN/>
        <w:bidi w:val="0"/>
        <w:snapToGrid/>
        <w:spacing w:line="560" w:lineRule="exact"/>
        <w:textAlignment w:val="auto"/>
        <w:rPr>
          <w:rFonts w:hint="default" w:ascii="Times New Roman" w:hAnsi="Times New Roman" w:eastAsia="方正仿宋_GBK" w:cs="Times New Roman"/>
          <w:b w:val="0"/>
          <w:bCs w:val="0"/>
          <w:color w:val="auto"/>
          <w:sz w:val="32"/>
          <w:szCs w:val="32"/>
          <w:highlight w:val="none"/>
          <w:lang w:val="en-US" w:eastAsia="zh-CN"/>
        </w:rPr>
      </w:pPr>
      <w:r>
        <w:rPr>
          <w:rStyle w:val="28"/>
          <w:rFonts w:hint="eastAsia" w:ascii="Times New Roman" w:hAnsi="Times New Roman"/>
          <w:color w:val="auto"/>
          <w:sz w:val="32"/>
          <w:lang w:val="en-US" w:eastAsia="zh-CN" w:bidi="ar-SA"/>
        </w:rPr>
        <w:t>2.修订</w:t>
      </w:r>
      <w:r>
        <w:rPr>
          <w:rStyle w:val="28"/>
          <w:rFonts w:hint="default" w:ascii="Times New Roman" w:hAnsi="Times New Roman"/>
          <w:color w:val="auto"/>
          <w:sz w:val="32"/>
          <w:lang w:val="en-US" w:eastAsia="zh-CN" w:bidi="ar-SA"/>
        </w:rPr>
        <w:t>扶持对象限制条件。</w:t>
      </w:r>
      <w:r>
        <w:rPr>
          <w:rFonts w:hint="default" w:ascii="Times New Roman" w:hAnsi="Times New Roman" w:eastAsia="方正仿宋_GBK" w:cs="Times New Roman"/>
          <w:b w:val="0"/>
          <w:bCs w:val="0"/>
          <w:color w:val="auto"/>
          <w:sz w:val="32"/>
          <w:szCs w:val="32"/>
          <w:highlight w:val="none"/>
          <w:lang w:val="en-US" w:eastAsia="zh-CN"/>
        </w:rPr>
        <w:t>将第十一条限制条件中的“对被列入经营异常名录，严重违法失信名单或受到行政处罚的市场主体，依法予以限制”</w:t>
      </w:r>
      <w:r>
        <w:rPr>
          <w:rFonts w:hint="eastAsia" w:cs="Times New Roman"/>
          <w:b w:val="0"/>
          <w:bCs w:val="0"/>
          <w:color w:val="auto"/>
          <w:sz w:val="32"/>
          <w:szCs w:val="32"/>
          <w:highlight w:val="none"/>
          <w:lang w:val="en-US" w:eastAsia="zh-CN"/>
        </w:rPr>
        <w:t>修改为</w:t>
      </w:r>
      <w:r>
        <w:rPr>
          <w:rFonts w:hint="default" w:ascii="Times New Roman" w:hAnsi="Times New Roman" w:eastAsia="方正仿宋_GBK" w:cs="Times New Roman"/>
          <w:b w:val="0"/>
          <w:bCs w:val="0"/>
          <w:color w:val="auto"/>
          <w:sz w:val="32"/>
          <w:szCs w:val="32"/>
          <w:highlight w:val="none"/>
          <w:lang w:val="en-US" w:eastAsia="zh-CN"/>
        </w:rPr>
        <w:t>“对近3年内发生重大安全、环保、质量事故，以及被列入经营异常名录，严重违法失信名单的市场主体，不得纳入扶持对象”。</w:t>
      </w:r>
      <w:r>
        <w:rPr>
          <w:rFonts w:hint="eastAsia" w:cs="Times New Roman"/>
          <w:b w:val="0"/>
          <w:bCs w:val="0"/>
          <w:color w:val="auto"/>
          <w:sz w:val="32"/>
          <w:szCs w:val="32"/>
          <w:highlight w:val="none"/>
          <w:lang w:val="en-US" w:eastAsia="zh-CN"/>
        </w:rPr>
        <w:t>并在该</w:t>
      </w:r>
      <w:r>
        <w:rPr>
          <w:rFonts w:hint="default" w:ascii="Times New Roman" w:hAnsi="Times New Roman" w:eastAsia="方正仿宋_GBK" w:cs="Times New Roman"/>
          <w:b w:val="0"/>
          <w:bCs w:val="0"/>
          <w:color w:val="auto"/>
          <w:sz w:val="32"/>
          <w:szCs w:val="32"/>
          <w:highlight w:val="none"/>
          <w:lang w:val="en-US" w:eastAsia="zh-CN"/>
        </w:rPr>
        <w:t>条</w:t>
      </w:r>
      <w:r>
        <w:rPr>
          <w:rFonts w:hint="eastAsia" w:cs="Times New Roman"/>
          <w:b w:val="0"/>
          <w:bCs w:val="0"/>
          <w:color w:val="auto"/>
          <w:sz w:val="32"/>
          <w:szCs w:val="32"/>
          <w:highlight w:val="none"/>
          <w:lang w:val="en-US" w:eastAsia="zh-CN"/>
        </w:rPr>
        <w:t>款</w:t>
      </w:r>
      <w:r>
        <w:rPr>
          <w:rFonts w:hint="default" w:ascii="Times New Roman" w:hAnsi="Times New Roman" w:eastAsia="方正仿宋_GBK" w:cs="Times New Roman"/>
          <w:b w:val="0"/>
          <w:bCs w:val="0"/>
          <w:color w:val="auto"/>
          <w:sz w:val="32"/>
          <w:szCs w:val="32"/>
          <w:highlight w:val="none"/>
          <w:lang w:val="en-US" w:eastAsia="zh-CN"/>
        </w:rPr>
        <w:t>限制条件中补充“对经营主体所获各项奖励合计金额不足0.3万元的，不予计付。”</w:t>
      </w:r>
    </w:p>
    <w:p>
      <w:pPr>
        <w:keepNext w:val="0"/>
        <w:keepLines w:val="0"/>
        <w:pageBreakBefore w:val="0"/>
        <w:kinsoku/>
        <w:wordWrap/>
        <w:overflowPunct/>
        <w:topLinePunct w:val="0"/>
        <w:autoSpaceDE/>
        <w:autoSpaceDN/>
        <w:bidi w:val="0"/>
        <w:snapToGrid/>
        <w:spacing w:line="560" w:lineRule="exact"/>
        <w:textAlignment w:val="auto"/>
        <w:rPr>
          <w:rFonts w:hint="eastAsia" w:cs="Times New Roman"/>
          <w:b w:val="0"/>
          <w:bCs w:val="0"/>
          <w:color w:val="auto"/>
          <w:sz w:val="32"/>
          <w:szCs w:val="32"/>
          <w:highlight w:val="none"/>
          <w:lang w:val="en-US" w:eastAsia="zh-CN"/>
        </w:rPr>
      </w:pPr>
      <w:r>
        <w:rPr>
          <w:rFonts w:hint="default" w:cs="Times New Roman"/>
          <w:b w:val="0"/>
          <w:bCs w:val="0"/>
          <w:color w:val="auto"/>
          <w:sz w:val="32"/>
          <w:szCs w:val="32"/>
          <w:highlight w:val="none"/>
          <w:lang w:val="en-US" w:eastAsia="zh-CN"/>
        </w:rPr>
        <w:t>涉及梅州综保区的企业，相关数据均为“保税数据”。</w:t>
      </w:r>
      <w:r>
        <w:rPr>
          <w:rFonts w:hint="eastAsia" w:cs="Times New Roman"/>
          <w:b w:val="0"/>
          <w:bCs w:val="0"/>
          <w:color w:val="auto"/>
          <w:sz w:val="32"/>
          <w:szCs w:val="32"/>
          <w:highlight w:val="none"/>
          <w:lang w:val="en-US" w:eastAsia="zh-CN"/>
        </w:rPr>
        <w:t>本通知中的营业净收入计算公式为：营业净收入=营业收入-营业成本，数据按企业报送税务机关报表数值为准。</w:t>
      </w:r>
    </w:p>
    <w:p>
      <w:pPr>
        <w:keepNext w:val="0"/>
        <w:keepLines w:val="0"/>
        <w:pageBreakBefore w:val="0"/>
        <w:kinsoku/>
        <w:wordWrap/>
        <w:overflowPunct/>
        <w:topLinePunct w:val="0"/>
        <w:autoSpaceDE/>
        <w:autoSpaceDN/>
        <w:bidi w:val="0"/>
        <w:snapToGrid/>
        <w:spacing w:line="560" w:lineRule="exact"/>
        <w:textAlignment w:val="auto"/>
        <w:rPr>
          <w:rFonts w:hint="default" w:cs="Times New Roman"/>
          <w:b w:val="0"/>
          <w:bCs w:val="0"/>
          <w:color w:val="auto"/>
          <w:sz w:val="32"/>
          <w:szCs w:val="32"/>
          <w:highlight w:val="none"/>
          <w:lang w:val="en-US" w:eastAsia="zh-CN"/>
        </w:rPr>
      </w:pPr>
      <w:r>
        <w:rPr>
          <w:rFonts w:hint="default" w:cs="Times New Roman"/>
          <w:b w:val="0"/>
          <w:bCs w:val="0"/>
          <w:color w:val="auto"/>
          <w:sz w:val="32"/>
          <w:szCs w:val="32"/>
          <w:highlight w:val="none"/>
          <w:lang w:val="en-US" w:eastAsia="zh-CN"/>
        </w:rPr>
        <w:t>其余规定不变。执行中遇到问题，请径向市级各业务主管部门反映。</w:t>
      </w:r>
    </w:p>
    <w:p>
      <w:pPr>
        <w:keepNext w:val="0"/>
        <w:keepLines w:val="0"/>
        <w:pageBreakBefore w:val="0"/>
        <w:kinsoku/>
        <w:wordWrap/>
        <w:overflowPunct/>
        <w:topLinePunct w:val="0"/>
        <w:autoSpaceDE/>
        <w:autoSpaceDN/>
        <w:bidi w:val="0"/>
        <w:snapToGrid/>
        <w:spacing w:line="560" w:lineRule="exact"/>
        <w:textAlignment w:val="auto"/>
        <w:rPr>
          <w:rFonts w:hint="default" w:cs="Times New Roman"/>
          <w:b w:val="0"/>
          <w:bCs w:val="0"/>
          <w:color w:val="auto"/>
          <w:sz w:val="32"/>
          <w:szCs w:val="32"/>
          <w:highlight w:val="none"/>
          <w:lang w:val="en-US" w:eastAsia="zh-CN"/>
        </w:rPr>
      </w:pPr>
    </w:p>
    <w:p>
      <w:pPr>
        <w:keepNext w:val="0"/>
        <w:keepLines w:val="0"/>
        <w:pageBreakBefore w:val="0"/>
        <w:kinsoku/>
        <w:wordWrap/>
        <w:overflowPunct/>
        <w:topLinePunct w:val="0"/>
        <w:autoSpaceDE/>
        <w:autoSpaceDN/>
        <w:bidi w:val="0"/>
        <w:snapToGrid/>
        <w:spacing w:line="560" w:lineRule="exact"/>
        <w:ind w:firstLine="5688" w:firstLineChars="1800"/>
        <w:textAlignment w:val="auto"/>
        <w:rPr>
          <w:rFonts w:hint="default" w:cs="Times New Roman"/>
          <w:b w:val="0"/>
          <w:bCs w:val="0"/>
          <w:color w:val="auto"/>
          <w:sz w:val="32"/>
          <w:szCs w:val="32"/>
          <w:highlight w:val="none"/>
          <w:lang w:val="en-US" w:eastAsia="zh-CN"/>
        </w:rPr>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1418" w:gutter="0"/>
      <w:cols w:space="425"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文星仿宋">
    <w:panose1 w:val="0201060900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XFS">
    <w:panose1 w:val="02010609000101010101"/>
    <w:charset w:val="86"/>
    <w:family w:val="swiss"/>
    <w:pitch w:val="default"/>
    <w:sig w:usb0="00000001" w:usb1="080E0000" w:usb2="00000000" w:usb3="00000000" w:csb0="00040000" w:csb1="00000000"/>
  </w:font>
  <w:font w:name="文星书宋">
    <w:panose1 w:val="02010609000101010101"/>
    <w:charset w:val="86"/>
    <w:family w:val="auto"/>
    <w:pitch w:val="default"/>
    <w:sig w:usb0="00000001" w:usb1="080E0000" w:usb2="00000000" w:usb3="00000000" w:csb0="00040000" w:csb1="00000000"/>
  </w:font>
  <w:font w:name="Microsoft YaHei">
    <w:altName w:val="黑体"/>
    <w:panose1 w:val="00000000000000000000"/>
    <w:charset w:val="00"/>
    <w:family w:val="auto"/>
    <w:pitch w:val="default"/>
    <w:sig w:usb0="00000000" w:usb1="00000000" w:usb2="00000000" w:usb3="00000000" w:csb0="00000000" w:csb1="00000000"/>
  </w:font>
  <w:font w:name="Tahoma">
    <w:altName w:val="Droid Sans"/>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Droid Sans">
    <w:panose1 w:val="020B0606030804020204"/>
    <w:charset w:val="00"/>
    <w:family w:val="auto"/>
    <w:pitch w:val="default"/>
    <w:sig w:usb0="E00002EF" w:usb1="4000205B"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2263386"/>
      <w:docPartObj>
        <w:docPartGallery w:val="autotext"/>
      </w:docPartObj>
    </w:sdtPr>
    <w:sdtEndPr>
      <w:rPr>
        <w:sz w:val="28"/>
      </w:rPr>
    </w:sdtEndPr>
    <w:sdtContent>
      <w:p>
        <w:pPr>
          <w:pStyle w:val="10"/>
          <w:ind w:left="2" w:hanging="1" w:hangingChars="1"/>
          <w:jc w:val="center"/>
          <w:rPr>
            <w:sz w:val="28"/>
          </w:rPr>
        </w:pPr>
        <w:r>
          <w:rPr>
            <w:sz w:val="28"/>
          </w:rPr>
          <w:fldChar w:fldCharType="begin"/>
        </w:r>
        <w:r>
          <w:rPr>
            <w:sz w:val="28"/>
          </w:rPr>
          <w:instrText xml:space="preserve">PAGE   \* MERGEFORMAT</w:instrText>
        </w:r>
        <w:r>
          <w:rPr>
            <w:sz w:val="28"/>
          </w:rPr>
          <w:fldChar w:fldCharType="separate"/>
        </w:r>
        <w:r>
          <w:rPr>
            <w:sz w:val="28"/>
            <w:lang w:val="zh-CN"/>
          </w:rPr>
          <w:t>1</w:t>
        </w:r>
        <w:r>
          <w:rPr>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19549783"/>
      <w:docPartObj>
        <w:docPartGallery w:val="autotext"/>
      </w:docPartObj>
    </w:sdtPr>
    <w:sdtEndPr>
      <w:rPr>
        <w:rFonts w:ascii="宋体" w:hAnsi="宋体" w:eastAsia="宋体"/>
        <w:sz w:val="28"/>
      </w:rPr>
    </w:sdtEndPr>
    <w:sdtContent>
      <w:p>
        <w:pPr>
          <w:pStyle w:val="10"/>
          <w:numPr>
            <w:ilvl w:val="0"/>
            <w:numId w:val="1"/>
          </w:numPr>
          <w:ind w:firstLineChars="0"/>
          <w:rPr>
            <w:rFonts w:ascii="宋体" w:hAnsi="宋体" w:eastAsia="宋体"/>
            <w:sz w:val="28"/>
          </w:rPr>
        </w:pPr>
        <w:r>
          <w:rPr>
            <w:rFonts w:ascii="宋体" w:hAnsi="宋体" w:eastAsia="宋体"/>
            <w:sz w:val="28"/>
          </w:rPr>
          <w:fldChar w:fldCharType="begin"/>
        </w:r>
        <w:r>
          <w:rPr>
            <w:rFonts w:ascii="宋体" w:hAnsi="宋体" w:eastAsia="宋体"/>
            <w:sz w:val="28"/>
          </w:rPr>
          <w:instrText xml:space="preserve">PAGE   \* MERGEFORMAT</w:instrText>
        </w:r>
        <w:r>
          <w:rPr>
            <w:rFonts w:ascii="宋体" w:hAnsi="宋体" w:eastAsia="宋体"/>
            <w:sz w:val="28"/>
          </w:rPr>
          <w:fldChar w:fldCharType="separate"/>
        </w:r>
        <w:r>
          <w:rPr>
            <w:rFonts w:ascii="宋体" w:hAnsi="宋体" w:eastAsia="宋体"/>
            <w:sz w:val="28"/>
            <w:lang w:val="zh-CN"/>
          </w:rPr>
          <w:t>2</w:t>
        </w:r>
        <w:r>
          <w:rPr>
            <w:rFonts w:ascii="宋体" w:hAnsi="宋体" w:eastAsia="宋体"/>
            <w:sz w:val="28"/>
          </w:rPr>
          <w:fldChar w:fldCharType="end"/>
        </w:r>
        <w:r>
          <w:rPr>
            <w:rFonts w:hint="eastAsia" w:ascii="宋体" w:hAnsi="宋体" w:eastAsia="宋体"/>
            <w:sz w:val="28"/>
          </w:rPr>
          <w:t>—</w:t>
        </w:r>
      </w:p>
    </w:sdtContent>
  </w:sdt>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0668B3"/>
    <w:multiLevelType w:val="multilevel"/>
    <w:tmpl w:val="400668B3"/>
    <w:lvl w:ilvl="0" w:tentative="0">
      <w:start w:val="2"/>
      <w:numFmt w:val="bullet"/>
      <w:lvlText w:val="—"/>
      <w:lvlJc w:val="left"/>
      <w:pPr>
        <w:ind w:left="720" w:hanging="360"/>
      </w:pPr>
      <w:rPr>
        <w:rFonts w:hint="eastAsia" w:ascii="宋体" w:hAnsi="宋体" w:eastAsia="宋体" w:cstheme="minorBidi"/>
        <w:sz w:val="28"/>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58"/>
  <w:drawingGridVerticalSpacing w:val="579"/>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3NjQxYmZmN2ZkODIxYWNiNTEzMzQyMTZmNzQ1MmMifQ=="/>
  </w:docVars>
  <w:rsids>
    <w:rsidRoot w:val="00534908"/>
    <w:rsid w:val="00004F65"/>
    <w:rsid w:val="00050B21"/>
    <w:rsid w:val="000839D0"/>
    <w:rsid w:val="00084A9B"/>
    <w:rsid w:val="000A0C18"/>
    <w:rsid w:val="000A0F3D"/>
    <w:rsid w:val="000A6C78"/>
    <w:rsid w:val="000E627A"/>
    <w:rsid w:val="001436DC"/>
    <w:rsid w:val="00162D5E"/>
    <w:rsid w:val="001B579C"/>
    <w:rsid w:val="001F26F1"/>
    <w:rsid w:val="002077A7"/>
    <w:rsid w:val="00210BBD"/>
    <w:rsid w:val="00237508"/>
    <w:rsid w:val="00261638"/>
    <w:rsid w:val="00273FB7"/>
    <w:rsid w:val="00296E85"/>
    <w:rsid w:val="002B2320"/>
    <w:rsid w:val="002B4B42"/>
    <w:rsid w:val="002B774C"/>
    <w:rsid w:val="002C68B1"/>
    <w:rsid w:val="002E08D4"/>
    <w:rsid w:val="00312278"/>
    <w:rsid w:val="00346506"/>
    <w:rsid w:val="00353D7A"/>
    <w:rsid w:val="003A7CF3"/>
    <w:rsid w:val="003B3887"/>
    <w:rsid w:val="003C059D"/>
    <w:rsid w:val="003C12CB"/>
    <w:rsid w:val="003F000B"/>
    <w:rsid w:val="003F164E"/>
    <w:rsid w:val="00402BB2"/>
    <w:rsid w:val="00436CCC"/>
    <w:rsid w:val="00444E91"/>
    <w:rsid w:val="00445013"/>
    <w:rsid w:val="00474C9F"/>
    <w:rsid w:val="004B0F04"/>
    <w:rsid w:val="004E0582"/>
    <w:rsid w:val="004F6BC2"/>
    <w:rsid w:val="00507F78"/>
    <w:rsid w:val="00526CDA"/>
    <w:rsid w:val="00534908"/>
    <w:rsid w:val="005619EC"/>
    <w:rsid w:val="00587075"/>
    <w:rsid w:val="005E16A8"/>
    <w:rsid w:val="005F0808"/>
    <w:rsid w:val="006170EB"/>
    <w:rsid w:val="00655242"/>
    <w:rsid w:val="00660AC8"/>
    <w:rsid w:val="006A59F5"/>
    <w:rsid w:val="006B3D61"/>
    <w:rsid w:val="00725A91"/>
    <w:rsid w:val="00730E64"/>
    <w:rsid w:val="00734EC1"/>
    <w:rsid w:val="007814D8"/>
    <w:rsid w:val="00792F0B"/>
    <w:rsid w:val="007B4856"/>
    <w:rsid w:val="0083177E"/>
    <w:rsid w:val="00845B11"/>
    <w:rsid w:val="0085612E"/>
    <w:rsid w:val="008573EB"/>
    <w:rsid w:val="00870822"/>
    <w:rsid w:val="008717AF"/>
    <w:rsid w:val="00887426"/>
    <w:rsid w:val="008C0714"/>
    <w:rsid w:val="008C3AAD"/>
    <w:rsid w:val="008E0978"/>
    <w:rsid w:val="008E14A7"/>
    <w:rsid w:val="00903BF4"/>
    <w:rsid w:val="0091279A"/>
    <w:rsid w:val="00923AB9"/>
    <w:rsid w:val="00945256"/>
    <w:rsid w:val="00950FF1"/>
    <w:rsid w:val="00953B39"/>
    <w:rsid w:val="009A2920"/>
    <w:rsid w:val="009B239B"/>
    <w:rsid w:val="009C595B"/>
    <w:rsid w:val="009D00E3"/>
    <w:rsid w:val="009E2F57"/>
    <w:rsid w:val="00A050D9"/>
    <w:rsid w:val="00A64AB1"/>
    <w:rsid w:val="00A9670B"/>
    <w:rsid w:val="00AC5024"/>
    <w:rsid w:val="00AE7849"/>
    <w:rsid w:val="00B65E53"/>
    <w:rsid w:val="00B76643"/>
    <w:rsid w:val="00B805C8"/>
    <w:rsid w:val="00BA44CF"/>
    <w:rsid w:val="00BA46FC"/>
    <w:rsid w:val="00BB1F11"/>
    <w:rsid w:val="00BB635D"/>
    <w:rsid w:val="00BB70DD"/>
    <w:rsid w:val="00BD6B23"/>
    <w:rsid w:val="00BE4095"/>
    <w:rsid w:val="00C71CC9"/>
    <w:rsid w:val="00C72136"/>
    <w:rsid w:val="00C86575"/>
    <w:rsid w:val="00C92339"/>
    <w:rsid w:val="00CB67DE"/>
    <w:rsid w:val="00CC1206"/>
    <w:rsid w:val="00D042B4"/>
    <w:rsid w:val="00D15857"/>
    <w:rsid w:val="00D3424D"/>
    <w:rsid w:val="00D60E91"/>
    <w:rsid w:val="00D84802"/>
    <w:rsid w:val="00D93C46"/>
    <w:rsid w:val="00DB0CEE"/>
    <w:rsid w:val="00DD597C"/>
    <w:rsid w:val="00DE43B8"/>
    <w:rsid w:val="00E11EAD"/>
    <w:rsid w:val="00E25D62"/>
    <w:rsid w:val="00E4242E"/>
    <w:rsid w:val="00E71388"/>
    <w:rsid w:val="00E85CF0"/>
    <w:rsid w:val="00E8680E"/>
    <w:rsid w:val="00EC6432"/>
    <w:rsid w:val="00EF3610"/>
    <w:rsid w:val="00EF6994"/>
    <w:rsid w:val="00F13443"/>
    <w:rsid w:val="00F1521C"/>
    <w:rsid w:val="00F22827"/>
    <w:rsid w:val="00F43F4C"/>
    <w:rsid w:val="00F45B47"/>
    <w:rsid w:val="00F7581A"/>
    <w:rsid w:val="00F84DE0"/>
    <w:rsid w:val="00F9102A"/>
    <w:rsid w:val="05FD7081"/>
    <w:rsid w:val="06AD62E4"/>
    <w:rsid w:val="0AB9F7EB"/>
    <w:rsid w:val="0C3D7D90"/>
    <w:rsid w:val="0DE9D34A"/>
    <w:rsid w:val="0FDF7B16"/>
    <w:rsid w:val="16BF8BBC"/>
    <w:rsid w:val="16FFBEC2"/>
    <w:rsid w:val="176F4315"/>
    <w:rsid w:val="17D25B40"/>
    <w:rsid w:val="17DC8FB3"/>
    <w:rsid w:val="1D7B63DC"/>
    <w:rsid w:val="1DDECA66"/>
    <w:rsid w:val="1DDF05FF"/>
    <w:rsid w:val="1F66FE5D"/>
    <w:rsid w:val="1FBECD75"/>
    <w:rsid w:val="22963C78"/>
    <w:rsid w:val="25553977"/>
    <w:rsid w:val="26DFAD01"/>
    <w:rsid w:val="27DF1A95"/>
    <w:rsid w:val="2A7F54E4"/>
    <w:rsid w:val="2AFDF50B"/>
    <w:rsid w:val="2C161986"/>
    <w:rsid w:val="2FAFBC38"/>
    <w:rsid w:val="2FEFC81F"/>
    <w:rsid w:val="2FF7C6AE"/>
    <w:rsid w:val="30185CCC"/>
    <w:rsid w:val="32427031"/>
    <w:rsid w:val="33ED3DC7"/>
    <w:rsid w:val="34CA24FA"/>
    <w:rsid w:val="355FA13A"/>
    <w:rsid w:val="36BFB238"/>
    <w:rsid w:val="39501A09"/>
    <w:rsid w:val="3BAB1B59"/>
    <w:rsid w:val="3BF77014"/>
    <w:rsid w:val="3E9F361E"/>
    <w:rsid w:val="3F3ED8E7"/>
    <w:rsid w:val="3F5F3CE9"/>
    <w:rsid w:val="3F755F12"/>
    <w:rsid w:val="3FCD142A"/>
    <w:rsid w:val="3FDF6FA2"/>
    <w:rsid w:val="3FFFDB32"/>
    <w:rsid w:val="41F5D3D5"/>
    <w:rsid w:val="451D4C01"/>
    <w:rsid w:val="4B7ADCB9"/>
    <w:rsid w:val="4B7BA151"/>
    <w:rsid w:val="4BFED229"/>
    <w:rsid w:val="4D76D75C"/>
    <w:rsid w:val="51577BAC"/>
    <w:rsid w:val="54DF19BF"/>
    <w:rsid w:val="55BDEDB7"/>
    <w:rsid w:val="56FF129A"/>
    <w:rsid w:val="5737A8C0"/>
    <w:rsid w:val="57DDA55F"/>
    <w:rsid w:val="57E56825"/>
    <w:rsid w:val="57F5E85B"/>
    <w:rsid w:val="5BF72EC0"/>
    <w:rsid w:val="5DEFA567"/>
    <w:rsid w:val="5EFB0F74"/>
    <w:rsid w:val="5F92D4CD"/>
    <w:rsid w:val="5F9F5FEC"/>
    <w:rsid w:val="5FB7744A"/>
    <w:rsid w:val="5FF87F66"/>
    <w:rsid w:val="5FFBD3FA"/>
    <w:rsid w:val="5FFDCC30"/>
    <w:rsid w:val="5FFE917D"/>
    <w:rsid w:val="64FB5F47"/>
    <w:rsid w:val="663F1541"/>
    <w:rsid w:val="665FF877"/>
    <w:rsid w:val="66DF9E54"/>
    <w:rsid w:val="673D5997"/>
    <w:rsid w:val="67B93642"/>
    <w:rsid w:val="67FF1703"/>
    <w:rsid w:val="692A57EB"/>
    <w:rsid w:val="6DCF5501"/>
    <w:rsid w:val="6DFFAB3F"/>
    <w:rsid w:val="6E5E5704"/>
    <w:rsid w:val="6E73C1BA"/>
    <w:rsid w:val="6FBDB7A6"/>
    <w:rsid w:val="6FE1E0C5"/>
    <w:rsid w:val="6FFD78A0"/>
    <w:rsid w:val="6FFF42E9"/>
    <w:rsid w:val="71BB25E4"/>
    <w:rsid w:val="731084F9"/>
    <w:rsid w:val="73FEEE2C"/>
    <w:rsid w:val="7567DC1E"/>
    <w:rsid w:val="76F7926F"/>
    <w:rsid w:val="775FC017"/>
    <w:rsid w:val="77FD355F"/>
    <w:rsid w:val="77FF46A9"/>
    <w:rsid w:val="77FFB4C4"/>
    <w:rsid w:val="7BABD34B"/>
    <w:rsid w:val="7BD59DE5"/>
    <w:rsid w:val="7BDAA0D7"/>
    <w:rsid w:val="7BF3282F"/>
    <w:rsid w:val="7BF90AC8"/>
    <w:rsid w:val="7BFF7D64"/>
    <w:rsid w:val="7DA2967F"/>
    <w:rsid w:val="7DB3F024"/>
    <w:rsid w:val="7DBFDA9F"/>
    <w:rsid w:val="7DCFD2DD"/>
    <w:rsid w:val="7DF74383"/>
    <w:rsid w:val="7DFD46AA"/>
    <w:rsid w:val="7E7D3E28"/>
    <w:rsid w:val="7EDFDBE0"/>
    <w:rsid w:val="7EF918A3"/>
    <w:rsid w:val="7EFA7C1F"/>
    <w:rsid w:val="7F3BCD68"/>
    <w:rsid w:val="7F3F150B"/>
    <w:rsid w:val="7F4FE464"/>
    <w:rsid w:val="7F6B4D27"/>
    <w:rsid w:val="7F6F48C7"/>
    <w:rsid w:val="7F6F687A"/>
    <w:rsid w:val="7F7FB872"/>
    <w:rsid w:val="7F8B89BE"/>
    <w:rsid w:val="7FBD4ACC"/>
    <w:rsid w:val="7FBF3ECE"/>
    <w:rsid w:val="7FDDD67E"/>
    <w:rsid w:val="7FE5BE41"/>
    <w:rsid w:val="7FEC7749"/>
    <w:rsid w:val="7FF65D8D"/>
    <w:rsid w:val="7FF665D7"/>
    <w:rsid w:val="7FF66C9D"/>
    <w:rsid w:val="7FFD8C1C"/>
    <w:rsid w:val="8DDB50AB"/>
    <w:rsid w:val="996F44A1"/>
    <w:rsid w:val="A34DA9F3"/>
    <w:rsid w:val="AB5F6961"/>
    <w:rsid w:val="AEBF7147"/>
    <w:rsid w:val="B08A30DE"/>
    <w:rsid w:val="B5D58FF7"/>
    <w:rsid w:val="B9FE4005"/>
    <w:rsid w:val="BBBD17D4"/>
    <w:rsid w:val="BBD794F8"/>
    <w:rsid w:val="BBF7F70F"/>
    <w:rsid w:val="BCFF9D5F"/>
    <w:rsid w:val="BD724D59"/>
    <w:rsid w:val="BE5EBCD8"/>
    <w:rsid w:val="BEF3F05A"/>
    <w:rsid w:val="BF9F517A"/>
    <w:rsid w:val="BFBDE8C2"/>
    <w:rsid w:val="BFFEB27E"/>
    <w:rsid w:val="C7DB67BB"/>
    <w:rsid w:val="CEFAB192"/>
    <w:rsid w:val="CF7FBA7C"/>
    <w:rsid w:val="CFFA8C5C"/>
    <w:rsid w:val="D07F1F05"/>
    <w:rsid w:val="D3BC2F3D"/>
    <w:rsid w:val="D73F5369"/>
    <w:rsid w:val="D7CF9EAC"/>
    <w:rsid w:val="DA774BF4"/>
    <w:rsid w:val="DAF7A0D9"/>
    <w:rsid w:val="DB7DEF3C"/>
    <w:rsid w:val="DBF7F6B6"/>
    <w:rsid w:val="DD6FEC5C"/>
    <w:rsid w:val="DDEE9A60"/>
    <w:rsid w:val="DEFB7306"/>
    <w:rsid w:val="DF2F74AA"/>
    <w:rsid w:val="DF7F12D2"/>
    <w:rsid w:val="DF7FDB4D"/>
    <w:rsid w:val="DFEFC9B2"/>
    <w:rsid w:val="DFF50BB5"/>
    <w:rsid w:val="DFF797F0"/>
    <w:rsid w:val="DFFF3E37"/>
    <w:rsid w:val="E33FE31C"/>
    <w:rsid w:val="E35DE682"/>
    <w:rsid w:val="E4FFCDF2"/>
    <w:rsid w:val="E6B34506"/>
    <w:rsid w:val="E6F3CA40"/>
    <w:rsid w:val="E7D3DE6F"/>
    <w:rsid w:val="E7F381A5"/>
    <w:rsid w:val="EAFA4D69"/>
    <w:rsid w:val="EBFE30AF"/>
    <w:rsid w:val="ED749023"/>
    <w:rsid w:val="ED795918"/>
    <w:rsid w:val="EDD584F5"/>
    <w:rsid w:val="EEDDF58F"/>
    <w:rsid w:val="EEEF938A"/>
    <w:rsid w:val="EF9EE46D"/>
    <w:rsid w:val="EFE969DE"/>
    <w:rsid w:val="EFF34705"/>
    <w:rsid w:val="EFF6D905"/>
    <w:rsid w:val="F1DF46EB"/>
    <w:rsid w:val="F25D4A3E"/>
    <w:rsid w:val="F35F91A7"/>
    <w:rsid w:val="F3FB71AE"/>
    <w:rsid w:val="F4EEA5F3"/>
    <w:rsid w:val="F5FF736E"/>
    <w:rsid w:val="F6B775D3"/>
    <w:rsid w:val="F7D50B90"/>
    <w:rsid w:val="F7EF62F8"/>
    <w:rsid w:val="F7FB9050"/>
    <w:rsid w:val="F7FFE5D5"/>
    <w:rsid w:val="F9D7B9BC"/>
    <w:rsid w:val="F9F10F3C"/>
    <w:rsid w:val="FA70D4C3"/>
    <w:rsid w:val="FB57C48C"/>
    <w:rsid w:val="FB7EB3C1"/>
    <w:rsid w:val="FBB7A3CF"/>
    <w:rsid w:val="FBFB370C"/>
    <w:rsid w:val="FCFBAE19"/>
    <w:rsid w:val="FCFF6A30"/>
    <w:rsid w:val="FD52D9C4"/>
    <w:rsid w:val="FD6FEAE8"/>
    <w:rsid w:val="FD7D9EEC"/>
    <w:rsid w:val="FD7E97EE"/>
    <w:rsid w:val="FDB6BC2C"/>
    <w:rsid w:val="FDCF39B8"/>
    <w:rsid w:val="FE9EB701"/>
    <w:rsid w:val="FEED04A3"/>
    <w:rsid w:val="FEED5ADF"/>
    <w:rsid w:val="FF3F0B9B"/>
    <w:rsid w:val="FF7FF3C7"/>
    <w:rsid w:val="FFBABA05"/>
    <w:rsid w:val="FFCA3EC9"/>
    <w:rsid w:val="FFDDAAAC"/>
    <w:rsid w:val="FFDEEBA4"/>
    <w:rsid w:val="FFE7C806"/>
    <w:rsid w:val="FFF00D3B"/>
    <w:rsid w:val="FFFD8043"/>
    <w:rsid w:val="FFFF34C3"/>
    <w:rsid w:val="FFFFBD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文星仿宋"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560" w:lineRule="exact"/>
      <w:ind w:firstLine="200" w:firstLineChars="200"/>
      <w:jc w:val="both"/>
    </w:pPr>
    <w:rPr>
      <w:rFonts w:ascii="Times New Roman" w:hAnsi="Times New Roman" w:eastAsia="方正仿宋_GBK" w:cstheme="minorBidi"/>
      <w:kern w:val="0"/>
      <w:sz w:val="32"/>
      <w:szCs w:val="22"/>
      <w:lang w:val="en-US" w:eastAsia="zh-CN" w:bidi="ar-SA"/>
    </w:rPr>
  </w:style>
  <w:style w:type="paragraph" w:styleId="2">
    <w:name w:val="heading 1"/>
    <w:basedOn w:val="1"/>
    <w:next w:val="1"/>
    <w:link w:val="17"/>
    <w:qFormat/>
    <w:uiPriority w:val="9"/>
    <w:pPr>
      <w:ind w:firstLine="0" w:firstLineChars="0"/>
      <w:jc w:val="center"/>
      <w:outlineLvl w:val="0"/>
    </w:pPr>
    <w:rPr>
      <w:rFonts w:eastAsia="方正小标宋_GBK"/>
      <w:bCs/>
      <w:sz w:val="44"/>
      <w:szCs w:val="44"/>
    </w:rPr>
  </w:style>
  <w:style w:type="paragraph" w:styleId="3">
    <w:name w:val="heading 2"/>
    <w:basedOn w:val="1"/>
    <w:next w:val="1"/>
    <w:link w:val="18"/>
    <w:unhideWhenUsed/>
    <w:qFormat/>
    <w:uiPriority w:val="9"/>
    <w:pPr>
      <w:ind w:firstLine="640"/>
      <w:outlineLvl w:val="1"/>
    </w:pPr>
    <w:rPr>
      <w:rFonts w:eastAsia="方正黑体_GBK" w:cstheme="majorBidi"/>
      <w:bCs/>
      <w:szCs w:val="32"/>
    </w:rPr>
  </w:style>
  <w:style w:type="paragraph" w:styleId="4">
    <w:name w:val="heading 3"/>
    <w:basedOn w:val="1"/>
    <w:next w:val="1"/>
    <w:link w:val="21"/>
    <w:unhideWhenUsed/>
    <w:qFormat/>
    <w:uiPriority w:val="9"/>
    <w:pPr>
      <w:ind w:firstLine="640"/>
      <w:outlineLvl w:val="2"/>
    </w:pPr>
    <w:rPr>
      <w:rFonts w:eastAsia="方正楷体_GBK"/>
      <w:bCs/>
      <w:szCs w:val="32"/>
    </w:rPr>
  </w:style>
  <w:style w:type="paragraph" w:styleId="5">
    <w:name w:val="heading 4"/>
    <w:basedOn w:val="1"/>
    <w:next w:val="1"/>
    <w:link w:val="28"/>
    <w:unhideWhenUsed/>
    <w:qFormat/>
    <w:uiPriority w:val="9"/>
    <w:pPr>
      <w:outlineLvl w:val="3"/>
    </w:pPr>
    <w:rPr>
      <w:rFonts w:ascii="Times New Roman" w:hAnsi="Times New Roman" w:cstheme="majorBidi"/>
      <w:b/>
      <w:bCs/>
      <w:szCs w:val="28"/>
    </w:rPr>
  </w:style>
  <w:style w:type="paragraph" w:styleId="6">
    <w:name w:val="heading 5"/>
    <w:basedOn w:val="1"/>
    <w:next w:val="1"/>
    <w:link w:val="27"/>
    <w:unhideWhenUsed/>
    <w:qFormat/>
    <w:uiPriority w:val="9"/>
    <w:pPr>
      <w:outlineLvl w:val="4"/>
    </w:pPr>
    <w:rPr>
      <w:b/>
      <w:bCs/>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7">
    <w:name w:val="Document Map"/>
    <w:basedOn w:val="1"/>
    <w:link w:val="26"/>
    <w:semiHidden/>
    <w:unhideWhenUsed/>
    <w:qFormat/>
    <w:uiPriority w:val="99"/>
    <w:rPr>
      <w:rFonts w:ascii="宋体" w:eastAsia="宋体"/>
      <w:sz w:val="18"/>
      <w:szCs w:val="18"/>
    </w:rPr>
  </w:style>
  <w:style w:type="paragraph" w:styleId="8">
    <w:name w:val="annotation text"/>
    <w:basedOn w:val="1"/>
    <w:semiHidden/>
    <w:unhideWhenUsed/>
    <w:qFormat/>
    <w:uiPriority w:val="99"/>
    <w:pPr>
      <w:jc w:val="left"/>
    </w:pPr>
  </w:style>
  <w:style w:type="paragraph" w:styleId="9">
    <w:name w:val="Balloon Text"/>
    <w:basedOn w:val="1"/>
    <w:link w:val="24"/>
    <w:semiHidden/>
    <w:unhideWhenUsed/>
    <w:qFormat/>
    <w:uiPriority w:val="99"/>
    <w:pPr>
      <w:spacing w:line="240" w:lineRule="auto"/>
    </w:pPr>
    <w:rPr>
      <w:sz w:val="18"/>
      <w:szCs w:val="18"/>
    </w:rPr>
  </w:style>
  <w:style w:type="paragraph" w:styleId="10">
    <w:name w:val="footer"/>
    <w:basedOn w:val="1"/>
    <w:link w:val="23"/>
    <w:unhideWhenUsed/>
    <w:qFormat/>
    <w:uiPriority w:val="99"/>
    <w:pPr>
      <w:tabs>
        <w:tab w:val="center" w:pos="4153"/>
        <w:tab w:val="right" w:pos="8306"/>
      </w:tabs>
      <w:snapToGrid w:val="0"/>
      <w:spacing w:line="240" w:lineRule="atLeast"/>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2">
    <w:name w:val="Title"/>
    <w:basedOn w:val="1"/>
    <w:next w:val="1"/>
    <w:link w:val="19"/>
    <w:qFormat/>
    <w:uiPriority w:val="10"/>
    <w:pPr>
      <w:spacing w:before="240" w:after="60"/>
      <w:jc w:val="center"/>
      <w:outlineLvl w:val="0"/>
    </w:pPr>
    <w:rPr>
      <w:rFonts w:eastAsia="宋体" w:asciiTheme="majorHAnsi" w:hAnsiTheme="majorHAnsi" w:cstheme="majorBidi"/>
      <w:b/>
      <w:bCs/>
      <w:szCs w:val="32"/>
    </w:rPr>
  </w:style>
  <w:style w:type="table" w:styleId="14">
    <w:name w:val="Table Grid"/>
    <w:basedOn w:val="13"/>
    <w:qFormat/>
    <w:uiPriority w:val="59"/>
    <w:pPr>
      <w:spacing w:line="240" w:lineRule="auto"/>
      <w:jc w:val="left"/>
    </w:pPr>
    <w:rPr>
      <w:kern w:val="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标题 4 Char"/>
    <w:basedOn w:val="15"/>
    <w:link w:val="5"/>
    <w:qFormat/>
    <w:uiPriority w:val="9"/>
    <w:rPr>
      <w:rFonts w:ascii="文星仿宋" w:cstheme="majorBidi"/>
      <w:b/>
      <w:bCs/>
      <w:kern w:val="0"/>
      <w:szCs w:val="28"/>
    </w:rPr>
  </w:style>
  <w:style w:type="character" w:customStyle="1" w:styleId="17">
    <w:name w:val="标题 1 Char"/>
    <w:basedOn w:val="15"/>
    <w:link w:val="2"/>
    <w:qFormat/>
    <w:uiPriority w:val="9"/>
    <w:rPr>
      <w:rFonts w:eastAsia="方正小标宋_GBK" w:cstheme="minorBidi"/>
      <w:bCs/>
      <w:kern w:val="0"/>
      <w:sz w:val="44"/>
      <w:szCs w:val="44"/>
    </w:rPr>
  </w:style>
  <w:style w:type="character" w:customStyle="1" w:styleId="18">
    <w:name w:val="标题 2 Char"/>
    <w:basedOn w:val="15"/>
    <w:link w:val="3"/>
    <w:qFormat/>
    <w:uiPriority w:val="9"/>
    <w:rPr>
      <w:rFonts w:eastAsia="方正黑体_GBK" w:cstheme="majorBidi"/>
      <w:bCs/>
      <w:kern w:val="0"/>
    </w:rPr>
  </w:style>
  <w:style w:type="character" w:customStyle="1" w:styleId="19">
    <w:name w:val="标题 Char"/>
    <w:basedOn w:val="15"/>
    <w:link w:val="12"/>
    <w:qFormat/>
    <w:uiPriority w:val="10"/>
    <w:rPr>
      <w:rFonts w:asciiTheme="majorHAnsi" w:hAnsiTheme="majorHAnsi" w:cstheme="majorBidi"/>
      <w:b/>
      <w:bCs/>
      <w:sz w:val="32"/>
      <w:szCs w:val="32"/>
    </w:rPr>
  </w:style>
  <w:style w:type="paragraph" w:customStyle="1" w:styleId="20">
    <w:name w:val="正文1"/>
    <w:basedOn w:val="1"/>
    <w:next w:val="1"/>
    <w:qFormat/>
    <w:uiPriority w:val="0"/>
  </w:style>
  <w:style w:type="character" w:customStyle="1" w:styleId="21">
    <w:name w:val="标题 3 Char"/>
    <w:basedOn w:val="15"/>
    <w:link w:val="4"/>
    <w:qFormat/>
    <w:uiPriority w:val="9"/>
    <w:rPr>
      <w:rFonts w:eastAsia="方正楷体_GBK" w:cstheme="minorBidi"/>
      <w:bCs/>
      <w:kern w:val="0"/>
    </w:rPr>
  </w:style>
  <w:style w:type="character" w:customStyle="1" w:styleId="22">
    <w:name w:val="页眉 Char"/>
    <w:basedOn w:val="15"/>
    <w:link w:val="11"/>
    <w:qFormat/>
    <w:uiPriority w:val="99"/>
    <w:rPr>
      <w:rFonts w:ascii="文星仿宋" w:hAnsi="文星仿宋" w:eastAsia="文星仿宋" w:cstheme="minorBidi"/>
      <w:sz w:val="18"/>
      <w:szCs w:val="18"/>
    </w:rPr>
  </w:style>
  <w:style w:type="character" w:customStyle="1" w:styleId="23">
    <w:name w:val="页脚 Char"/>
    <w:basedOn w:val="15"/>
    <w:link w:val="10"/>
    <w:qFormat/>
    <w:uiPriority w:val="99"/>
    <w:rPr>
      <w:rFonts w:ascii="文星仿宋" w:hAnsi="文星仿宋" w:eastAsia="文星仿宋" w:cstheme="minorBidi"/>
      <w:sz w:val="18"/>
      <w:szCs w:val="18"/>
    </w:rPr>
  </w:style>
  <w:style w:type="character" w:customStyle="1" w:styleId="24">
    <w:name w:val="批注框文本 Char"/>
    <w:basedOn w:val="15"/>
    <w:link w:val="9"/>
    <w:semiHidden/>
    <w:qFormat/>
    <w:uiPriority w:val="99"/>
    <w:rPr>
      <w:rFonts w:ascii="文星仿宋" w:hAnsi="文星仿宋" w:eastAsia="文星仿宋" w:cstheme="minorBidi"/>
      <w:sz w:val="18"/>
      <w:szCs w:val="18"/>
    </w:rPr>
  </w:style>
  <w:style w:type="paragraph" w:styleId="25">
    <w:name w:val="List Paragraph"/>
    <w:basedOn w:val="1"/>
    <w:unhideWhenUsed/>
    <w:qFormat/>
    <w:uiPriority w:val="99"/>
    <w:pPr>
      <w:ind w:firstLine="420"/>
    </w:pPr>
  </w:style>
  <w:style w:type="character" w:customStyle="1" w:styleId="26">
    <w:name w:val="文档结构图 Char"/>
    <w:basedOn w:val="15"/>
    <w:link w:val="7"/>
    <w:semiHidden/>
    <w:qFormat/>
    <w:uiPriority w:val="99"/>
    <w:rPr>
      <w:rFonts w:ascii="宋体" w:eastAsia="宋体" w:cstheme="minorBidi"/>
      <w:kern w:val="0"/>
      <w:sz w:val="18"/>
      <w:szCs w:val="18"/>
    </w:rPr>
  </w:style>
  <w:style w:type="character" w:customStyle="1" w:styleId="27">
    <w:name w:val="标题 5 Char"/>
    <w:basedOn w:val="15"/>
    <w:link w:val="6"/>
    <w:qFormat/>
    <w:uiPriority w:val="9"/>
    <w:rPr>
      <w:rFonts w:cstheme="minorBidi"/>
      <w:b/>
      <w:bCs/>
      <w:kern w:val="0"/>
      <w:szCs w:val="28"/>
    </w:rPr>
  </w:style>
  <w:style w:type="character" w:customStyle="1" w:styleId="28">
    <w:name w:val="标题 4 Char1"/>
    <w:link w:val="5"/>
    <w:qFormat/>
    <w:uiPriority w:val="0"/>
    <w:rPr>
      <w:rFonts w:ascii="Times New Roman" w:hAnsi="Times New Roman" w:eastAsia="方正仿宋_GBK" w:cstheme="majorBidi"/>
      <w:b/>
      <w:bCs/>
      <w:kern w:val="0"/>
      <w:szCs w:val="28"/>
    </w:rPr>
  </w:style>
  <w:style w:type="paragraph" w:customStyle="1" w:styleId="29">
    <w:name w:val="BodyText1I2"/>
    <w:qFormat/>
    <w:uiPriority w:val="0"/>
    <w:pPr>
      <w:widowControl w:val="0"/>
      <w:suppressAutoHyphens/>
      <w:bidi w:val="0"/>
      <w:ind w:firstLine="420" w:firstLineChars="200"/>
      <w:jc w:val="both"/>
    </w:pPr>
    <w:rPr>
      <w:rFonts w:ascii="Calibri" w:hAnsi="Calibri" w:eastAsia="宋体" w:cs="Times New Roman"/>
      <w:color w:val="auto"/>
      <w:kern w:val="2"/>
      <w:sz w:val="24"/>
      <w:szCs w:val="24"/>
      <w:lang w:val="en-US" w:eastAsia="zh-CN" w:bidi="ar-SA"/>
    </w:rPr>
  </w:style>
  <w:style w:type="paragraph" w:customStyle="1" w:styleId="30">
    <w:name w:val="BodyTextIndent"/>
    <w:qFormat/>
    <w:uiPriority w:val="0"/>
    <w:pPr>
      <w:widowControl w:val="0"/>
      <w:suppressAutoHyphens/>
      <w:bidi w:val="0"/>
      <w:ind w:firstLine="200" w:firstLineChars="200"/>
      <w:jc w:val="both"/>
    </w:pPr>
    <w:rPr>
      <w:rFonts w:ascii="Calibri" w:hAnsi="Calibri" w:eastAsia="宋体" w:cs="Times New Roman"/>
      <w:color w:val="auto"/>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4319</Words>
  <Characters>4490</Characters>
  <Lines>1</Lines>
  <Paragraphs>1</Paragraphs>
  <TotalTime>0</TotalTime>
  <ScaleCrop>false</ScaleCrop>
  <LinksUpToDate>false</LinksUpToDate>
  <CharactersWithSpaces>4495</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2020-04-26T10:39:00Z</dcterms:created>
  <dc:creator>ASX</dc:creator>
  <cp:lastModifiedBy>黄秋荻</cp:lastModifiedBy>
  <cp:lastPrinted>2024-08-20T17:42:00Z</cp:lastPrinted>
  <dcterms:modified xsi:type="dcterms:W3CDTF">2024-08-20T11:26:27Z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5DDDDD85C0334AB2A0D0B7DB1BBB0CED_12</vt:lpwstr>
  </property>
</Properties>
</file>