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lef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附件2：</w:t>
      </w:r>
    </w:p>
    <w:p>
      <w:pPr>
        <w:autoSpaceDE w:val="0"/>
        <w:autoSpaceDN w:val="0"/>
        <w:adjustRightInd w:val="0"/>
        <w:spacing w:line="560" w:lineRule="exact"/>
        <w:jc w:val="left"/>
        <w:rPr>
          <w:rFonts w:ascii="仿宋" w:hAnsi="仿宋" w:eastAsia="仿宋" w:cs="仿宋"/>
          <w:color w:val="000000"/>
          <w:kern w:val="0"/>
          <w:sz w:val="32"/>
          <w:szCs w:val="32"/>
          <w:lang w:val="zh-CN"/>
        </w:rPr>
      </w:pPr>
    </w:p>
    <w:p>
      <w:pPr>
        <w:autoSpaceDE w:val="0"/>
        <w:autoSpaceDN w:val="0"/>
        <w:adjustRightInd w:val="0"/>
        <w:spacing w:line="560" w:lineRule="exact"/>
        <w:jc w:val="center"/>
        <w:rPr>
          <w:rFonts w:ascii="文星标宋" w:eastAsia="文星标宋" w:cs="ERGUHD+FZXBSJW--GB1-0"/>
          <w:color w:val="000000"/>
          <w:kern w:val="0"/>
          <w:sz w:val="44"/>
          <w:szCs w:val="44"/>
          <w:lang w:val="zh-CN"/>
        </w:rPr>
      </w:pPr>
      <w:r>
        <w:rPr>
          <w:rFonts w:hint="eastAsia" w:ascii="文星标宋" w:eastAsia="文星标宋" w:cs="ERGUHD+FZXBSJW--GB1-0"/>
          <w:color w:val="000000"/>
          <w:kern w:val="0"/>
          <w:sz w:val="44"/>
          <w:szCs w:val="44"/>
          <w:lang w:val="zh-CN"/>
        </w:rPr>
        <w:t>梅州市绿色工厂梯度培育管理实施细则</w:t>
      </w:r>
    </w:p>
    <w:p>
      <w:pPr>
        <w:autoSpaceDE w:val="0"/>
        <w:autoSpaceDN w:val="0"/>
        <w:adjustRightInd w:val="0"/>
        <w:spacing w:line="560" w:lineRule="exact"/>
        <w:jc w:val="center"/>
        <w:rPr>
          <w:rFonts w:ascii="文星标宋" w:eastAsia="文星标宋" w:cs="ERGUHD+FZXBSJW--GB1-0"/>
          <w:color w:val="000000"/>
          <w:kern w:val="0"/>
          <w:sz w:val="44"/>
          <w:szCs w:val="44"/>
          <w:lang w:val="zh-CN"/>
        </w:rPr>
      </w:pPr>
      <w:r>
        <w:rPr>
          <w:rFonts w:hint="eastAsia" w:ascii="文星标宋" w:eastAsia="文星标宋" w:cs="ERGUHD+FZXBSJW--GB1-0"/>
          <w:color w:val="000000"/>
          <w:kern w:val="0"/>
          <w:sz w:val="44"/>
          <w:szCs w:val="44"/>
          <w:lang w:val="zh-CN"/>
        </w:rPr>
        <w:t>编制说明</w:t>
      </w:r>
    </w:p>
    <w:p>
      <w:pPr>
        <w:autoSpaceDE w:val="0"/>
        <w:autoSpaceDN w:val="0"/>
        <w:adjustRightInd w:val="0"/>
        <w:spacing w:line="560" w:lineRule="exact"/>
        <w:jc w:val="left"/>
        <w:rPr>
          <w:rFonts w:ascii="黑体" w:eastAsia="黑体" w:cs="黑体"/>
          <w:color w:val="000000"/>
          <w:kern w:val="0"/>
          <w:sz w:val="31"/>
          <w:szCs w:val="31"/>
          <w:lang w:val="zh-CN"/>
        </w:rPr>
      </w:pPr>
    </w:p>
    <w:p>
      <w:pPr>
        <w:autoSpaceDE w:val="0"/>
        <w:autoSpaceDN w:val="0"/>
        <w:adjustRightInd w:val="0"/>
        <w:spacing w:line="560" w:lineRule="exact"/>
        <w:ind w:firstLine="640" w:firstLineChars="200"/>
        <w:jc w:val="left"/>
        <w:rPr>
          <w:rFonts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一、编制背景</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党的二十大报告指出，必须牢固树立和践行绿水青山就是金山银山的理念，站在人与自然和谐共生的高度谋划发展。要求把推进新型工业化作为建设现代化产业体系的重要内容，推动制造业高端化、智能化、绿色化发展。绿色制造作为一种现代化制造模式，是推进新型工业化的内在要求和重要抓手。《中国制造</w:t>
      </w:r>
      <w:r>
        <w:rPr>
          <w:rFonts w:ascii="仿宋" w:hAnsi="仿宋" w:eastAsia="仿宋" w:cs="仿宋"/>
          <w:color w:val="000000"/>
          <w:kern w:val="0"/>
          <w:sz w:val="32"/>
          <w:szCs w:val="32"/>
          <w:lang w:val="zh-CN"/>
        </w:rPr>
        <w:t>2025</w:t>
      </w:r>
      <w:r>
        <w:rPr>
          <w:rFonts w:hint="eastAsia" w:ascii="仿宋" w:hAnsi="仿宋" w:eastAsia="仿宋" w:cs="仿宋"/>
          <w:color w:val="000000"/>
          <w:kern w:val="0"/>
          <w:sz w:val="32"/>
          <w:szCs w:val="32"/>
          <w:lang w:val="zh-CN"/>
        </w:rPr>
        <w:t>》（国发〔</w:t>
      </w:r>
      <w:r>
        <w:rPr>
          <w:rFonts w:ascii="仿宋" w:hAnsi="仿宋" w:eastAsia="仿宋" w:cs="仿宋"/>
          <w:color w:val="000000"/>
          <w:kern w:val="0"/>
          <w:sz w:val="32"/>
          <w:szCs w:val="32"/>
          <w:lang w:val="zh-CN"/>
        </w:rPr>
        <w:t>2015</w:t>
      </w:r>
      <w:r>
        <w:rPr>
          <w:rFonts w:hint="eastAsia" w:ascii="仿宋" w:hAnsi="仿宋" w:eastAsia="仿宋" w:cs="仿宋"/>
          <w:color w:val="000000"/>
          <w:kern w:val="0"/>
          <w:sz w:val="32"/>
          <w:szCs w:val="32"/>
          <w:lang w:val="zh-CN"/>
        </w:rPr>
        <w:t>〕</w:t>
      </w:r>
      <w:r>
        <w:rPr>
          <w:rFonts w:ascii="仿宋" w:hAnsi="仿宋" w:eastAsia="仿宋" w:cs="仿宋"/>
          <w:color w:val="000000"/>
          <w:kern w:val="0"/>
          <w:sz w:val="32"/>
          <w:szCs w:val="32"/>
          <w:lang w:val="zh-CN"/>
        </w:rPr>
        <w:t>28</w:t>
      </w:r>
      <w:r>
        <w:rPr>
          <w:rFonts w:hint="eastAsia" w:ascii="仿宋" w:hAnsi="仿宋" w:eastAsia="仿宋" w:cs="仿宋"/>
          <w:color w:val="000000"/>
          <w:kern w:val="0"/>
          <w:sz w:val="32"/>
          <w:szCs w:val="32"/>
          <w:lang w:val="zh-CN"/>
        </w:rPr>
        <w:t>号）将绿色制造列为五大工程之一。</w:t>
      </w:r>
      <w:r>
        <w:rPr>
          <w:rFonts w:ascii="仿宋" w:hAnsi="仿宋" w:eastAsia="仿宋" w:cs="仿宋"/>
          <w:color w:val="000000"/>
          <w:kern w:val="0"/>
          <w:sz w:val="32"/>
          <w:szCs w:val="32"/>
          <w:lang w:val="zh-CN"/>
        </w:rPr>
        <w:t>2016</w:t>
      </w:r>
      <w:r>
        <w:rPr>
          <w:rFonts w:hint="eastAsia" w:ascii="仿宋" w:hAnsi="仿宋" w:eastAsia="仿宋" w:cs="仿宋"/>
          <w:color w:val="000000"/>
          <w:kern w:val="0"/>
          <w:sz w:val="32"/>
          <w:szCs w:val="32"/>
          <w:lang w:val="zh-CN"/>
        </w:rPr>
        <w:t>年工业和信息化部发布《绿色制造工程实施指南（</w:t>
      </w:r>
      <w:r>
        <w:rPr>
          <w:rFonts w:ascii="仿宋" w:hAnsi="仿宋" w:eastAsia="仿宋" w:cs="仿宋"/>
          <w:color w:val="000000"/>
          <w:kern w:val="0"/>
          <w:sz w:val="32"/>
          <w:szCs w:val="32"/>
          <w:lang w:val="zh-CN"/>
        </w:rPr>
        <w:t>2016-2020</w:t>
      </w:r>
      <w:r>
        <w:rPr>
          <w:rFonts w:hint="eastAsia" w:ascii="仿宋" w:hAnsi="仿宋" w:eastAsia="仿宋" w:cs="仿宋"/>
          <w:color w:val="000000"/>
          <w:kern w:val="0"/>
          <w:sz w:val="32"/>
          <w:szCs w:val="32"/>
          <w:lang w:val="zh-CN"/>
        </w:rPr>
        <w:t>年）》，决定开展绿色制造体系建设。</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党的二十大以来，广东省坚持实体经济为本、制造业当家，</w:t>
      </w:r>
      <w:r>
        <w:rPr>
          <w:rFonts w:hint="eastAsia" w:ascii="仿宋_GB2312" w:eastAsia="仿宋_GB2312"/>
          <w:color w:val="000000"/>
          <w:sz w:val="31"/>
          <w:szCs w:val="31"/>
        </w:rPr>
        <w:t>深入实施制造业</w:t>
      </w:r>
      <w:r>
        <w:rPr>
          <w:rFonts w:ascii="TimesNewRomanPSMT" w:hAnsi="TimesNewRomanPSMT"/>
          <w:color w:val="000000"/>
          <w:sz w:val="31"/>
          <w:szCs w:val="31"/>
        </w:rPr>
        <w:t>“</w:t>
      </w:r>
      <w:r>
        <w:rPr>
          <w:rFonts w:hint="eastAsia" w:ascii="仿宋_GB2312" w:eastAsia="仿宋_GB2312"/>
          <w:color w:val="000000"/>
          <w:sz w:val="31"/>
          <w:szCs w:val="31"/>
        </w:rPr>
        <w:t>五大提升行动</w:t>
      </w:r>
      <w:r>
        <w:rPr>
          <w:rFonts w:ascii="TimesNewRomanPSMT" w:hAnsi="TimesNewRomanPSMT"/>
          <w:color w:val="000000"/>
          <w:sz w:val="31"/>
          <w:szCs w:val="31"/>
        </w:rPr>
        <w:t>”</w:t>
      </w:r>
      <w:r>
        <w:rPr>
          <w:rFonts w:hint="eastAsia" w:ascii="仿宋_GB2312" w:eastAsia="仿宋_GB2312"/>
          <w:color w:val="000000"/>
          <w:sz w:val="31"/>
          <w:szCs w:val="31"/>
        </w:rPr>
        <w:t>，</w:t>
      </w:r>
      <w:r>
        <w:rPr>
          <w:rFonts w:hint="eastAsia" w:ascii="仿宋" w:hAnsi="仿宋" w:eastAsia="仿宋" w:cs="仿宋"/>
          <w:color w:val="000000"/>
          <w:kern w:val="0"/>
          <w:sz w:val="32"/>
          <w:szCs w:val="32"/>
          <w:lang w:val="zh-CN"/>
        </w:rPr>
        <w:t>推进产业智能化绿色化，推动全市工业发展展现新气象。特别是省委十三届四次全会暨省委经济工作会议作出“五个统筹推进”的重要部署，强调“推动粤东粤西两翼海陆并进，加快粤北地区绿色崛起”。</w:t>
      </w:r>
      <w:r>
        <w:rPr>
          <w:rFonts w:ascii="仿宋" w:hAnsi="仿宋" w:eastAsia="仿宋" w:cs="仿宋"/>
          <w:color w:val="000000"/>
          <w:kern w:val="0"/>
          <w:sz w:val="32"/>
          <w:szCs w:val="32"/>
          <w:lang w:val="zh-CN"/>
        </w:rPr>
        <w:t>凭借</w:t>
      </w:r>
      <w:r>
        <w:rPr>
          <w:rFonts w:hint="eastAsia" w:ascii="仿宋" w:hAnsi="仿宋" w:eastAsia="仿宋" w:cs="仿宋"/>
          <w:color w:val="000000"/>
          <w:kern w:val="0"/>
          <w:sz w:val="32"/>
          <w:szCs w:val="32"/>
          <w:lang w:val="zh-CN"/>
        </w:rPr>
        <w:t>此</w:t>
      </w:r>
      <w:r>
        <w:rPr>
          <w:rFonts w:ascii="仿宋" w:hAnsi="仿宋" w:eastAsia="仿宋" w:cs="仿宋"/>
          <w:color w:val="000000"/>
          <w:kern w:val="0"/>
          <w:sz w:val="32"/>
          <w:szCs w:val="32"/>
          <w:lang w:val="zh-CN"/>
        </w:rPr>
        <w:t>发展机遇，</w:t>
      </w:r>
      <w:r>
        <w:rPr>
          <w:rFonts w:hint="eastAsia" w:ascii="仿宋" w:hAnsi="仿宋" w:eastAsia="仿宋" w:cs="仿宋"/>
          <w:color w:val="000000"/>
          <w:kern w:val="0"/>
          <w:sz w:val="32"/>
          <w:szCs w:val="32"/>
          <w:lang w:val="zh-CN"/>
        </w:rPr>
        <w:t>市委八届八次全会暨市委经济工作会议强调按照“</w:t>
      </w:r>
      <w:r>
        <w:rPr>
          <w:rFonts w:ascii="仿宋" w:hAnsi="仿宋" w:eastAsia="仿宋" w:cs="仿宋"/>
          <w:color w:val="000000"/>
          <w:kern w:val="0"/>
          <w:sz w:val="32"/>
          <w:szCs w:val="32"/>
          <w:lang w:val="zh-CN"/>
        </w:rPr>
        <w:t>四大工程</w:t>
      </w:r>
      <w:r>
        <w:rPr>
          <w:rFonts w:hint="eastAsia" w:ascii="仿宋" w:hAnsi="仿宋" w:eastAsia="仿宋" w:cs="仿宋"/>
          <w:color w:val="000000"/>
          <w:kern w:val="0"/>
          <w:sz w:val="32"/>
          <w:szCs w:val="32"/>
          <w:lang w:val="zh-CN"/>
        </w:rPr>
        <w:t>”工作部署</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大力推进新型工业发展”，全市加快优化产业形态，以数字化赋能推进产业智能化发展，以绿色制造和循环经济为抓手推进产业绿色化发展，不断提高梅州市制造业的</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含智量</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含绿量</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w:t>
      </w:r>
      <w:r>
        <w:rPr>
          <w:rFonts w:ascii="仿宋" w:hAnsi="仿宋" w:eastAsia="仿宋" w:cs="仿宋"/>
          <w:color w:val="000000"/>
          <w:kern w:val="0"/>
          <w:sz w:val="32"/>
          <w:szCs w:val="32"/>
          <w:lang w:val="zh-CN"/>
        </w:rPr>
        <w:t>助力</w:t>
      </w:r>
      <w:r>
        <w:rPr>
          <w:rFonts w:hint="eastAsia" w:ascii="仿宋" w:hAnsi="仿宋" w:eastAsia="仿宋" w:cs="仿宋"/>
          <w:color w:val="000000"/>
          <w:kern w:val="0"/>
          <w:sz w:val="32"/>
          <w:szCs w:val="32"/>
          <w:lang w:val="zh-CN"/>
        </w:rPr>
        <w:t>我市“百千万工程”再</w:t>
      </w:r>
      <w:r>
        <w:rPr>
          <w:rFonts w:ascii="仿宋" w:hAnsi="仿宋" w:eastAsia="仿宋" w:cs="仿宋"/>
          <w:color w:val="000000"/>
          <w:kern w:val="0"/>
          <w:sz w:val="32"/>
          <w:szCs w:val="32"/>
          <w:lang w:val="zh-CN"/>
        </w:rPr>
        <w:t>上台阶</w:t>
      </w:r>
      <w:r>
        <w:rPr>
          <w:rFonts w:hint="eastAsia" w:ascii="仿宋" w:hAnsi="仿宋" w:eastAsia="仿宋" w:cs="仿宋"/>
          <w:color w:val="000000"/>
          <w:kern w:val="0"/>
          <w:sz w:val="32"/>
          <w:szCs w:val="32"/>
          <w:lang w:val="zh-CN"/>
        </w:rPr>
        <w:t>。</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为全面落实党的二十大、二十届三中全会关于推动绿色发展新要求，进一步完善我市绿色制造和服务体系建设，发挥绿色工厂作为绿色制造实施主体的作用，凝聚形成推动绿色制造的合力，全面推动工业绿色发展，筑牢新型工业化的生态底色。市工信</w:t>
      </w:r>
      <w:r>
        <w:rPr>
          <w:rFonts w:ascii="仿宋" w:hAnsi="仿宋" w:eastAsia="仿宋" w:cs="仿宋"/>
          <w:color w:val="000000"/>
          <w:kern w:val="0"/>
          <w:sz w:val="32"/>
          <w:szCs w:val="32"/>
          <w:lang w:val="zh-CN"/>
        </w:rPr>
        <w:t>局</w:t>
      </w:r>
      <w:r>
        <w:rPr>
          <w:rFonts w:hint="eastAsia" w:ascii="仿宋" w:hAnsi="仿宋" w:eastAsia="仿宋" w:cs="仿宋"/>
          <w:color w:val="000000"/>
          <w:kern w:val="0"/>
          <w:sz w:val="32"/>
          <w:szCs w:val="32"/>
          <w:lang w:val="zh-CN"/>
        </w:rPr>
        <w:t>研究起草了《梅州市绿色工厂梯度培育管理实施细则（征求意见稿）》（以下简称《实施细则》）。</w:t>
      </w:r>
    </w:p>
    <w:p>
      <w:pPr>
        <w:autoSpaceDE w:val="0"/>
        <w:autoSpaceDN w:val="0"/>
        <w:adjustRightInd w:val="0"/>
        <w:spacing w:line="560" w:lineRule="exact"/>
        <w:ind w:firstLine="640" w:firstLineChars="200"/>
        <w:jc w:val="left"/>
        <w:rPr>
          <w:rFonts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二、编制依据</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lang w:val="zh-CN"/>
        </w:rPr>
        <w:t>一是</w:t>
      </w:r>
      <w:r>
        <w:rPr>
          <w:rFonts w:hint="eastAsia" w:ascii="仿宋" w:hAnsi="仿宋" w:eastAsia="仿宋" w:cs="仿宋"/>
          <w:color w:val="000000"/>
          <w:kern w:val="0"/>
          <w:sz w:val="32"/>
          <w:szCs w:val="32"/>
          <w:lang w:val="zh-CN"/>
        </w:rPr>
        <w:t>《</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十四五</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工业绿色发展规划》提出</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完善绿色制造支撑体系，强化绿色制造标杆引领</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w:t>
      </w:r>
      <w:r>
        <w:rPr>
          <w:rFonts w:hint="eastAsia" w:ascii="仿宋" w:hAnsi="仿宋" w:eastAsia="仿宋" w:cs="仿宋"/>
          <w:b/>
          <w:bCs/>
          <w:color w:val="000000"/>
          <w:kern w:val="0"/>
          <w:sz w:val="32"/>
          <w:szCs w:val="32"/>
          <w:lang w:val="zh-CN"/>
        </w:rPr>
        <w:t>二是</w:t>
      </w:r>
      <w:r>
        <w:rPr>
          <w:rFonts w:hint="eastAsia" w:ascii="仿宋" w:hAnsi="仿宋" w:eastAsia="仿宋" w:cs="仿宋"/>
          <w:color w:val="000000"/>
          <w:kern w:val="0"/>
          <w:sz w:val="32"/>
          <w:szCs w:val="32"/>
          <w:lang w:val="zh-CN"/>
        </w:rPr>
        <w:t>《工业领域碳达峰实施方案》提出</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积极推行绿色制造，完善绿色制造体系</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w:t>
      </w:r>
      <w:r>
        <w:rPr>
          <w:rFonts w:hint="eastAsia" w:ascii="仿宋" w:hAnsi="仿宋" w:eastAsia="仿宋" w:cs="仿宋"/>
          <w:b/>
          <w:bCs/>
          <w:color w:val="000000"/>
          <w:kern w:val="0"/>
          <w:sz w:val="32"/>
          <w:szCs w:val="32"/>
          <w:lang w:val="zh-CN"/>
        </w:rPr>
        <w:t>三是</w:t>
      </w:r>
      <w:r>
        <w:rPr>
          <w:rFonts w:hint="eastAsia" w:ascii="仿宋" w:hAnsi="仿宋" w:eastAsia="仿宋" w:cs="仿宋"/>
          <w:color w:val="000000"/>
          <w:kern w:val="0"/>
          <w:sz w:val="32"/>
          <w:szCs w:val="32"/>
          <w:lang w:val="zh-CN"/>
        </w:rPr>
        <w:t>《绿色工厂梯度培育及管理暂行办法》提出</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纵向形成国家、省、市三级联动的绿色工厂培育机制；横向形成绿色工业园区、绿色</w:t>
      </w:r>
      <w:bookmarkStart w:id="0" w:name="_GoBack"/>
      <w:bookmarkEnd w:id="0"/>
      <w:r>
        <w:rPr>
          <w:rFonts w:hint="eastAsia" w:ascii="仿宋" w:hAnsi="仿宋" w:eastAsia="仿宋" w:cs="仿宋"/>
          <w:color w:val="000000"/>
          <w:kern w:val="0"/>
          <w:sz w:val="32"/>
          <w:szCs w:val="32"/>
          <w:lang w:val="zh-CN"/>
        </w:rPr>
        <w:t>供应链管理企业带动园区内、供应链上企业创建绿色工厂的培育机制</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w:t>
      </w:r>
      <w:r>
        <w:rPr>
          <w:rFonts w:hint="eastAsia" w:ascii="仿宋" w:hAnsi="仿宋" w:eastAsia="仿宋" w:cs="仿宋"/>
          <w:b/>
          <w:color w:val="000000"/>
          <w:kern w:val="0"/>
          <w:sz w:val="32"/>
          <w:szCs w:val="32"/>
          <w:lang w:val="zh-CN"/>
        </w:rPr>
        <w:t>四是</w:t>
      </w:r>
      <w:r>
        <w:rPr>
          <w:rFonts w:hint="eastAsia" w:ascii="仿宋" w:hAnsi="仿宋" w:eastAsia="仿宋" w:cs="仿宋"/>
          <w:color w:val="000000"/>
          <w:kern w:val="0"/>
          <w:sz w:val="32"/>
          <w:szCs w:val="32"/>
          <w:lang w:val="zh-CN"/>
        </w:rPr>
        <w:t>《广东省绿色工厂梯度培育管理实施细则》提出</w:t>
      </w:r>
      <w:r>
        <w:rPr>
          <w:rFonts w:ascii="仿宋" w:hAnsi="仿宋" w:eastAsia="仿宋" w:cs="仿宋"/>
          <w:color w:val="000000"/>
          <w:kern w:val="0"/>
          <w:sz w:val="32"/>
          <w:szCs w:val="32"/>
          <w:lang w:val="zh-CN"/>
        </w:rPr>
        <w:t>“</w:t>
      </w:r>
      <w:r>
        <w:rPr>
          <w:rFonts w:hint="eastAsia" w:ascii="仿宋_GB2312" w:eastAsia="仿宋_GB2312"/>
          <w:color w:val="000000"/>
          <w:sz w:val="32"/>
          <w:szCs w:val="32"/>
        </w:rPr>
        <w:t>纵向形成省、市联动的绿色工厂培育机制；横向形成绿色工业园区、绿色供应链管理企业带动园区内、供应链上下游企业创建绿色工厂的培育机制</w:t>
      </w:r>
      <w:r>
        <w:rPr>
          <w:rFonts w:ascii="仿宋" w:hAnsi="仿宋" w:eastAsia="仿宋" w:cs="仿宋"/>
          <w:color w:val="000000"/>
          <w:kern w:val="0"/>
          <w:sz w:val="32"/>
          <w:szCs w:val="32"/>
          <w:lang w:val="zh-CN"/>
        </w:rPr>
        <w:t>”</w:t>
      </w:r>
      <w:r>
        <w:rPr>
          <w:rFonts w:hint="eastAsia" w:ascii="仿宋_GB2312" w:eastAsia="仿宋_GB2312"/>
          <w:color w:val="000000"/>
          <w:sz w:val="32"/>
          <w:szCs w:val="32"/>
        </w:rPr>
        <w:t>。</w:t>
      </w:r>
    </w:p>
    <w:p>
      <w:pPr>
        <w:autoSpaceDE w:val="0"/>
        <w:autoSpaceDN w:val="0"/>
        <w:adjustRightInd w:val="0"/>
        <w:spacing w:line="560" w:lineRule="exact"/>
        <w:ind w:firstLine="640" w:firstLineChars="200"/>
        <w:jc w:val="left"/>
        <w:rPr>
          <w:rFonts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三、主要内容</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《实施细则》共分为</w:t>
      </w:r>
      <w:r>
        <w:rPr>
          <w:rFonts w:hint="eastAsia" w:ascii="仿宋" w:hAnsi="仿宋" w:eastAsia="仿宋" w:cs="楷体"/>
          <w:b/>
          <w:color w:val="000000"/>
          <w:kern w:val="0"/>
          <w:sz w:val="32"/>
          <w:szCs w:val="32"/>
          <w:lang w:val="zh-CN"/>
        </w:rPr>
        <w:t>六部分</w:t>
      </w:r>
      <w:r>
        <w:rPr>
          <w:rFonts w:ascii="仿宋" w:hAnsi="仿宋" w:eastAsia="仿宋" w:cs="楷体"/>
          <w:b/>
          <w:color w:val="000000"/>
          <w:kern w:val="0"/>
          <w:sz w:val="32"/>
          <w:szCs w:val="32"/>
          <w:lang w:val="zh-CN"/>
        </w:rPr>
        <w:t>28</w:t>
      </w:r>
      <w:r>
        <w:rPr>
          <w:rFonts w:hint="eastAsia" w:ascii="仿宋" w:hAnsi="仿宋" w:eastAsia="仿宋" w:cs="楷体"/>
          <w:b/>
          <w:color w:val="000000"/>
          <w:kern w:val="0"/>
          <w:sz w:val="32"/>
          <w:szCs w:val="32"/>
          <w:lang w:val="zh-CN"/>
        </w:rPr>
        <w:t>条</w:t>
      </w:r>
      <w:r>
        <w:rPr>
          <w:rFonts w:hint="eastAsia" w:ascii="仿宋" w:hAnsi="仿宋" w:eastAsia="仿宋" w:cs="仿宋"/>
          <w:color w:val="000000"/>
          <w:kern w:val="0"/>
          <w:sz w:val="32"/>
          <w:szCs w:val="32"/>
          <w:lang w:val="zh-CN"/>
        </w:rPr>
        <w:t>政策。</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第一章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总则</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明确《实施细则》目的、使用范围，梯度培育的定义、工作原则、工作分工以及管理平台。</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第二章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培育要求</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明确各县</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市</w:t>
      </w:r>
      <w:r>
        <w:rPr>
          <w:rFonts w:ascii="仿宋" w:hAnsi="仿宋" w:eastAsia="仿宋" w:cs="仿宋"/>
          <w:color w:val="000000"/>
          <w:kern w:val="0"/>
          <w:sz w:val="32"/>
          <w:szCs w:val="32"/>
          <w:lang w:val="zh-CN"/>
        </w:rPr>
        <w:t>、区）</w:t>
      </w:r>
      <w:r>
        <w:rPr>
          <w:rFonts w:hint="eastAsia" w:ascii="仿宋" w:hAnsi="仿宋" w:eastAsia="仿宋" w:cs="仿宋"/>
          <w:color w:val="000000"/>
          <w:kern w:val="0"/>
          <w:sz w:val="32"/>
          <w:szCs w:val="32"/>
          <w:lang w:val="zh-CN"/>
        </w:rPr>
        <w:t>科工</w:t>
      </w:r>
      <w:r>
        <w:rPr>
          <w:rFonts w:ascii="仿宋" w:hAnsi="仿宋" w:eastAsia="仿宋" w:cs="仿宋"/>
          <w:color w:val="000000"/>
          <w:kern w:val="0"/>
          <w:sz w:val="32"/>
          <w:szCs w:val="32"/>
          <w:lang w:val="zh-CN"/>
        </w:rPr>
        <w:t>商务局和高新区管委会</w:t>
      </w:r>
      <w:r>
        <w:rPr>
          <w:rFonts w:hint="eastAsia" w:ascii="仿宋" w:hAnsi="仿宋" w:eastAsia="仿宋" w:cs="仿宋"/>
          <w:color w:val="000000"/>
          <w:kern w:val="0"/>
          <w:sz w:val="32"/>
          <w:szCs w:val="32"/>
          <w:lang w:val="zh-CN"/>
        </w:rPr>
        <w:t>培育工作要求，绿色工厂、绿色工业园区和绿色供应链管理企业培育对象的基本条件。</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第三章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创建程序</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明确了培育对象按照绿色工厂、绿色工业园区和绿色供应链管理企业开展绿色化改造升级以及提交申报材料，各县</w:t>
      </w:r>
      <w:r>
        <w:rPr>
          <w:rFonts w:ascii="仿宋" w:hAnsi="仿宋" w:eastAsia="仿宋" w:cs="仿宋"/>
          <w:color w:val="000000"/>
          <w:kern w:val="0"/>
          <w:sz w:val="32"/>
          <w:szCs w:val="32"/>
          <w:lang w:val="zh-CN"/>
        </w:rPr>
        <w:t>（</w:t>
      </w:r>
      <w:r>
        <w:rPr>
          <w:rFonts w:hint="eastAsia" w:ascii="仿宋" w:hAnsi="仿宋" w:eastAsia="仿宋" w:cs="仿宋"/>
          <w:color w:val="000000"/>
          <w:kern w:val="0"/>
          <w:sz w:val="32"/>
          <w:szCs w:val="32"/>
          <w:lang w:val="zh-CN"/>
        </w:rPr>
        <w:t>市</w:t>
      </w:r>
      <w:r>
        <w:rPr>
          <w:rFonts w:ascii="仿宋" w:hAnsi="仿宋" w:eastAsia="仿宋" w:cs="仿宋"/>
          <w:color w:val="000000"/>
          <w:kern w:val="0"/>
          <w:sz w:val="32"/>
          <w:szCs w:val="32"/>
          <w:lang w:val="zh-CN"/>
        </w:rPr>
        <w:t>、区）</w:t>
      </w:r>
      <w:r>
        <w:rPr>
          <w:rFonts w:hint="eastAsia" w:ascii="仿宋" w:hAnsi="仿宋" w:eastAsia="仿宋" w:cs="仿宋"/>
          <w:color w:val="000000"/>
          <w:kern w:val="0"/>
          <w:sz w:val="32"/>
          <w:szCs w:val="32"/>
          <w:lang w:val="zh-CN"/>
        </w:rPr>
        <w:t>科工</w:t>
      </w:r>
      <w:r>
        <w:rPr>
          <w:rFonts w:ascii="仿宋" w:hAnsi="仿宋" w:eastAsia="仿宋" w:cs="仿宋"/>
          <w:color w:val="000000"/>
          <w:kern w:val="0"/>
          <w:sz w:val="32"/>
          <w:szCs w:val="32"/>
          <w:lang w:val="zh-CN"/>
        </w:rPr>
        <w:t>商务局和高新区管委会</w:t>
      </w:r>
      <w:r>
        <w:rPr>
          <w:rFonts w:hint="eastAsia" w:ascii="仿宋" w:hAnsi="仿宋" w:eastAsia="仿宋" w:cs="仿宋"/>
          <w:color w:val="000000"/>
          <w:kern w:val="0"/>
          <w:sz w:val="32"/>
          <w:szCs w:val="32"/>
          <w:lang w:val="zh-CN"/>
        </w:rPr>
        <w:t>组织审核和推荐形成实际绿色制造名单，市工信局开展市级绿色制造的培育、创建、管理以及择优推荐创建省级绿色制造名单，已公布的国家级、</w:t>
      </w:r>
      <w:r>
        <w:rPr>
          <w:rFonts w:ascii="仿宋" w:hAnsi="仿宋" w:eastAsia="仿宋" w:cs="仿宋"/>
          <w:color w:val="000000"/>
          <w:kern w:val="0"/>
          <w:sz w:val="32"/>
          <w:szCs w:val="32"/>
          <w:lang w:val="zh-CN"/>
        </w:rPr>
        <w:t>省级</w:t>
      </w:r>
      <w:r>
        <w:rPr>
          <w:rFonts w:hint="eastAsia" w:ascii="仿宋" w:hAnsi="仿宋" w:eastAsia="仿宋" w:cs="仿宋"/>
          <w:color w:val="000000"/>
          <w:kern w:val="0"/>
          <w:sz w:val="32"/>
          <w:szCs w:val="32"/>
          <w:lang w:val="zh-CN"/>
        </w:rPr>
        <w:t>绿色制造名单同时列为省级绿色制造名单。</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第四章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动态管理</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对绿色制造名单单位实施动态管理，定期在管理平台填报绿色低碳发展情况，明确报告</w:t>
      </w:r>
      <w:r>
        <w:rPr>
          <w:rFonts w:ascii="仿宋" w:hAnsi="仿宋" w:eastAsia="仿宋" w:cs="仿宋"/>
          <w:color w:val="000000"/>
          <w:kern w:val="0"/>
          <w:sz w:val="32"/>
          <w:szCs w:val="32"/>
          <w:lang w:val="zh-CN"/>
        </w:rPr>
        <w:t>事项，以及</w:t>
      </w:r>
      <w:r>
        <w:rPr>
          <w:rFonts w:hint="eastAsia" w:ascii="仿宋" w:hAnsi="仿宋" w:eastAsia="仿宋" w:cs="仿宋"/>
          <w:color w:val="000000"/>
          <w:kern w:val="0"/>
          <w:sz w:val="32"/>
          <w:szCs w:val="32"/>
          <w:lang w:val="zh-CN"/>
        </w:rPr>
        <w:t>移出</w:t>
      </w:r>
      <w:r>
        <w:rPr>
          <w:rFonts w:ascii="仿宋" w:hAnsi="仿宋" w:eastAsia="仿宋" w:cs="仿宋"/>
          <w:color w:val="000000"/>
          <w:kern w:val="0"/>
          <w:sz w:val="32"/>
          <w:szCs w:val="32"/>
          <w:lang w:val="zh-CN"/>
        </w:rPr>
        <w:t>名单情形</w:t>
      </w:r>
      <w:r>
        <w:rPr>
          <w:rFonts w:hint="eastAsia" w:ascii="仿宋" w:hAnsi="仿宋" w:eastAsia="仿宋" w:cs="仿宋"/>
          <w:color w:val="000000"/>
          <w:kern w:val="0"/>
          <w:sz w:val="32"/>
          <w:szCs w:val="32"/>
          <w:lang w:val="zh-CN"/>
        </w:rPr>
        <w:t>。</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第五章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配套机制</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鼓励各县（市</w:t>
      </w:r>
      <w:r>
        <w:rPr>
          <w:rFonts w:ascii="仿宋" w:hAnsi="仿宋" w:eastAsia="仿宋" w:cs="仿宋"/>
          <w:color w:val="000000"/>
          <w:kern w:val="0"/>
          <w:sz w:val="32"/>
          <w:szCs w:val="32"/>
          <w:lang w:val="zh-CN"/>
        </w:rPr>
        <w:t>、区</w:t>
      </w:r>
      <w:r>
        <w:rPr>
          <w:rFonts w:hint="eastAsia" w:ascii="仿宋" w:hAnsi="仿宋" w:eastAsia="仿宋" w:cs="仿宋"/>
          <w:color w:val="000000"/>
          <w:kern w:val="0"/>
          <w:sz w:val="32"/>
          <w:szCs w:val="32"/>
          <w:lang w:val="zh-CN"/>
        </w:rPr>
        <w:t>）和</w:t>
      </w:r>
      <w:r>
        <w:rPr>
          <w:rFonts w:ascii="仿宋" w:hAnsi="仿宋" w:eastAsia="仿宋" w:cs="仿宋"/>
          <w:color w:val="000000"/>
          <w:kern w:val="0"/>
          <w:sz w:val="32"/>
          <w:szCs w:val="32"/>
          <w:lang w:val="zh-CN"/>
        </w:rPr>
        <w:t>高新区管委会</w:t>
      </w:r>
      <w:r>
        <w:rPr>
          <w:rFonts w:hint="eastAsia" w:ascii="仿宋" w:hAnsi="仿宋" w:eastAsia="仿宋" w:cs="仿宋"/>
          <w:color w:val="000000"/>
          <w:kern w:val="0"/>
          <w:sz w:val="32"/>
          <w:szCs w:val="32"/>
          <w:lang w:val="zh-CN"/>
        </w:rPr>
        <w:t>制定对绿色制造的扶持和指导政策，推动各类要素支持绿色制造名单单位持续提升，全市对入选绿色制造名单的企业、工业园区在规划布局、技术改造、专项资金、政府采购、试点示范、绿色金融、品牌宣传等方面给予支持，在绿色创建过程中实施的节能降碳项目优先纳入省级财政专项资金支持。</w:t>
      </w:r>
    </w:p>
    <w:p>
      <w:pPr>
        <w:autoSpaceDE w:val="0"/>
        <w:autoSpaceDN w:val="0"/>
        <w:adjustRightInd w:val="0"/>
        <w:spacing w:line="560" w:lineRule="exact"/>
        <w:ind w:firstLine="643" w:firstLineChars="200"/>
        <w:jc w:val="left"/>
        <w:rPr>
          <w:rFonts w:ascii="仿宋" w:hAnsi="仿宋" w:eastAsia="仿宋" w:cs="仿宋"/>
          <w:color w:val="000000"/>
          <w:kern w:val="0"/>
          <w:sz w:val="32"/>
          <w:szCs w:val="32"/>
          <w:lang w:val="zh-CN"/>
        </w:rPr>
      </w:pPr>
      <w:r>
        <w:rPr>
          <w:rFonts w:hint="eastAsia" w:ascii="仿宋" w:hAnsi="仿宋" w:eastAsia="仿宋" w:cs="楷体"/>
          <w:b/>
          <w:color w:val="000000"/>
          <w:kern w:val="0"/>
          <w:sz w:val="32"/>
          <w:szCs w:val="32"/>
          <w:lang w:val="zh-CN"/>
        </w:rPr>
        <w:t>第六章</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附则</w:t>
      </w:r>
      <w:r>
        <w:rPr>
          <w:rFonts w:ascii="仿宋" w:hAnsi="仿宋" w:eastAsia="仿宋" w:cs="楷体"/>
          <w:b/>
          <w:color w:val="000000"/>
          <w:kern w:val="0"/>
          <w:sz w:val="32"/>
          <w:szCs w:val="32"/>
          <w:lang w:val="zh-CN"/>
        </w:rPr>
        <w:t>”</w:t>
      </w:r>
      <w:r>
        <w:rPr>
          <w:rFonts w:hint="eastAsia" w:ascii="仿宋" w:hAnsi="仿宋" w:eastAsia="仿宋" w:cs="楷体"/>
          <w:b/>
          <w:color w:val="000000"/>
          <w:kern w:val="0"/>
          <w:sz w:val="32"/>
          <w:szCs w:val="32"/>
          <w:lang w:val="zh-CN"/>
        </w:rPr>
        <w:t>。</w:t>
      </w:r>
      <w:r>
        <w:rPr>
          <w:rFonts w:hint="eastAsia" w:ascii="仿宋" w:hAnsi="仿宋" w:eastAsia="仿宋" w:cs="仿宋"/>
          <w:color w:val="000000"/>
          <w:kern w:val="0"/>
          <w:sz w:val="32"/>
          <w:szCs w:val="32"/>
          <w:lang w:val="zh-CN"/>
        </w:rPr>
        <w:t>明确《实施细则》的解释权和实施期。</w:t>
      </w:r>
    </w:p>
    <w:p>
      <w:pPr>
        <w:spacing w:line="560" w:lineRule="exact"/>
        <w:rPr>
          <w:rFonts w:ascii="仿宋" w:hAnsi="仿宋" w:eastAsia="仿宋"/>
          <w:sz w:val="32"/>
          <w:szCs w:val="32"/>
        </w:rPr>
      </w:pPr>
    </w:p>
    <w:sectPr>
      <w:pgSz w:w="12240" w:h="15840"/>
      <w:pgMar w:top="2098" w:right="1474" w:bottom="1418"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ERGUHD+FZXBSJW--GB1-0">
    <w:altName w:val="hakuyoxingshu7000"/>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56"/>
    <w:rsid w:val="00147F97"/>
    <w:rsid w:val="001A22CD"/>
    <w:rsid w:val="00245156"/>
    <w:rsid w:val="00271D3A"/>
    <w:rsid w:val="00314B02"/>
    <w:rsid w:val="00355887"/>
    <w:rsid w:val="004241D8"/>
    <w:rsid w:val="0054293F"/>
    <w:rsid w:val="00610AFE"/>
    <w:rsid w:val="008D26B2"/>
    <w:rsid w:val="00B77F2A"/>
    <w:rsid w:val="00C47CEA"/>
    <w:rsid w:val="00CC5575"/>
    <w:rsid w:val="00CF3F32"/>
    <w:rsid w:val="00D034FC"/>
    <w:rsid w:val="00F42B14"/>
    <w:rsid w:val="505C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225</Words>
  <Characters>1288</Characters>
  <Lines>10</Lines>
  <Paragraphs>3</Paragraphs>
  <TotalTime>86</TotalTime>
  <ScaleCrop>false</ScaleCrop>
  <LinksUpToDate>false</LinksUpToDate>
  <CharactersWithSpaces>1510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2024-07-24T01:45:00Z</dcterms:created>
  <dc:creator>Administrator</dc:creator>
  <cp:lastModifiedBy>Administrator</cp:lastModifiedBy>
  <dcterms:modified xsi:type="dcterms:W3CDTF">2024-09-12T03:01:50Z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