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48A2FA">
      <w:pPr>
        <w:spacing w:line="560" w:lineRule="exact"/>
        <w:ind w:left="880" w:hanging="880" w:hangingChars="200"/>
        <w:rPr>
          <w:rFonts w:eastAsia="文星标宋"/>
          <w:sz w:val="44"/>
          <w:szCs w:val="44"/>
        </w:rPr>
      </w:pPr>
      <w:r>
        <w:rPr>
          <w:rFonts w:hint="eastAsia" w:eastAsia="文星标宋"/>
          <w:sz w:val="44"/>
          <w:szCs w:val="44"/>
        </w:rPr>
        <w:t>梅州市2025年（清算2024年度）</w:t>
      </w:r>
      <w:r>
        <w:rPr>
          <w:rFonts w:eastAsia="文星标宋"/>
          <w:sz w:val="44"/>
          <w:szCs w:val="44"/>
        </w:rPr>
        <w:t>农村道路客运补贴、</w:t>
      </w:r>
      <w:r>
        <w:rPr>
          <w:rFonts w:hint="eastAsia" w:eastAsia="文星标宋"/>
          <w:sz w:val="44"/>
          <w:szCs w:val="44"/>
        </w:rPr>
        <w:t>农村水路客运补贴资金、</w:t>
      </w:r>
      <w:r>
        <w:rPr>
          <w:rFonts w:eastAsia="文星标宋"/>
          <w:sz w:val="44"/>
          <w:szCs w:val="44"/>
        </w:rPr>
        <w:t>城市</w:t>
      </w:r>
    </w:p>
    <w:p w14:paraId="43D0E43F">
      <w:pPr>
        <w:spacing w:line="560" w:lineRule="exact"/>
        <w:ind w:left="439" w:leftChars="209" w:firstLine="1320" w:firstLineChars="300"/>
        <w:rPr>
          <w:rFonts w:eastAsia="文星标宋"/>
          <w:sz w:val="44"/>
          <w:szCs w:val="44"/>
        </w:rPr>
      </w:pPr>
      <w:r>
        <w:rPr>
          <w:rFonts w:eastAsia="文星标宋"/>
          <w:sz w:val="44"/>
          <w:szCs w:val="44"/>
        </w:rPr>
        <w:t>交通发展奖励资金分配</w:t>
      </w:r>
      <w:r>
        <w:rPr>
          <w:rFonts w:hint="eastAsia" w:eastAsia="文星标宋"/>
          <w:sz w:val="44"/>
          <w:szCs w:val="44"/>
        </w:rPr>
        <w:t>方案</w:t>
      </w:r>
    </w:p>
    <w:p w14:paraId="77D50209">
      <w:pPr>
        <w:spacing w:line="400" w:lineRule="exact"/>
        <w:jc w:val="center"/>
        <w:rPr>
          <w:rFonts w:eastAsia="文星仿宋"/>
          <w:sz w:val="52"/>
          <w:szCs w:val="52"/>
        </w:rPr>
      </w:pPr>
    </w:p>
    <w:p w14:paraId="6FDABC8E">
      <w:pPr>
        <w:spacing w:line="560" w:lineRule="exact"/>
        <w:ind w:firstLine="640"/>
        <w:jc w:val="center"/>
        <w:rPr>
          <w:rFonts w:ascii="仿宋_GB2312" w:eastAsia="仿宋_GB2312"/>
          <w:sz w:val="32"/>
          <w:szCs w:val="32"/>
        </w:rPr>
      </w:pPr>
      <w:r>
        <w:rPr>
          <w:rFonts w:hint="eastAsia" w:ascii="仿宋_GB2312" w:eastAsia="仿宋_GB2312"/>
          <w:sz w:val="32"/>
          <w:szCs w:val="32"/>
        </w:rPr>
        <w:t>根据《广东省财政厅关于提前下达中央2025年（清算2024年度）农村道路客运补贴资金、农村水路客运补贴资金、城市交通发展奖励资金的通知》（粤财综〔2024〕84号）、《广东省交通运输厅 广东省财政厅关于印发农村道路客运补贴资金和城市交通发展奖励资金使用管理实施细则的通知》（粤交〔2023〕7号）、《广东省交通运输厅关于开展农村水路客（渡）运油价补贴2024年度申报和2022年度清算等工作的通知》（粤交水〔2024〕682号）、《梅州市交通运输局 梅州市财政局关于印发梅州市农村道路客运补贴资金和城市交通发展奖励资金使用管理实施细则的通知》（梅市交字〔2023〕283号）等文件要求，我局制订了梅州市2025</w:t>
      </w:r>
    </w:p>
    <w:p w14:paraId="06ED3D47">
      <w:pPr>
        <w:spacing w:line="560" w:lineRule="exact"/>
        <w:rPr>
          <w:rFonts w:ascii="仿宋" w:hAnsi="仿宋" w:eastAsia="仿宋"/>
          <w:kern w:val="0"/>
          <w:sz w:val="32"/>
          <w:szCs w:val="32"/>
        </w:rPr>
      </w:pPr>
      <w:r>
        <w:rPr>
          <w:rFonts w:hint="eastAsia" w:ascii="仿宋_GB2312" w:eastAsia="仿宋_GB2312"/>
          <w:sz w:val="32"/>
          <w:szCs w:val="32"/>
        </w:rPr>
        <w:t>年（清算2024年度）农村道路客运补贴、农村水路客运补贴资金、城市交通发展奖励资金分配方案，</w:t>
      </w:r>
      <w:r>
        <w:rPr>
          <w:rFonts w:hint="eastAsia" w:ascii="仿宋" w:hAnsi="仿宋" w:eastAsia="仿宋"/>
          <w:kern w:val="0"/>
          <w:sz w:val="32"/>
          <w:szCs w:val="32"/>
        </w:rPr>
        <w:t>具体分配情况如下：</w:t>
      </w:r>
    </w:p>
    <w:p w14:paraId="6F93B0F5">
      <w:pPr>
        <w:numPr>
          <w:ilvl w:val="0"/>
          <w:numId w:val="1"/>
        </w:numPr>
        <w:ind w:firstLine="640" w:firstLineChars="200"/>
        <w:rPr>
          <w:rFonts w:eastAsia="文星黑体"/>
          <w:sz w:val="32"/>
          <w:szCs w:val="32"/>
        </w:rPr>
      </w:pPr>
      <w:r>
        <w:rPr>
          <w:rFonts w:hint="eastAsia" w:eastAsia="文星黑体"/>
          <w:sz w:val="32"/>
          <w:szCs w:val="32"/>
        </w:rPr>
        <w:t>农村道路客运补贴资金分配方案</w:t>
      </w:r>
    </w:p>
    <w:p w14:paraId="27D48450">
      <w:pPr>
        <w:ind w:firstLine="643" w:firstLineChars="200"/>
        <w:rPr>
          <w:rFonts w:eastAsia="文星黑体"/>
          <w:sz w:val="32"/>
          <w:szCs w:val="32"/>
        </w:rPr>
      </w:pPr>
      <w:r>
        <w:rPr>
          <w:rFonts w:hint="eastAsia" w:cs="仿宋" w:asciiTheme="minorEastAsia" w:hAnsiTheme="minorEastAsia" w:eastAsiaTheme="minorEastAsia"/>
          <w:b/>
          <w:sz w:val="32"/>
          <w:szCs w:val="32"/>
        </w:rPr>
        <w:t xml:space="preserve"> (一)省提前下达资金数</w:t>
      </w:r>
    </w:p>
    <w:p w14:paraId="2514EE55">
      <w:pPr>
        <w:ind w:firstLine="320" w:firstLineChars="100"/>
        <w:rPr>
          <w:rFonts w:eastAsia="仿宋"/>
          <w:sz w:val="32"/>
          <w:szCs w:val="32"/>
        </w:rPr>
      </w:pPr>
      <w:r>
        <w:rPr>
          <w:rFonts w:hint="eastAsia" w:ascii="仿宋" w:hAnsi="仿宋" w:eastAsia="仿宋"/>
          <w:sz w:val="32"/>
          <w:szCs w:val="32"/>
        </w:rPr>
        <w:t>省提前</w:t>
      </w:r>
      <w:r>
        <w:rPr>
          <w:rFonts w:hint="eastAsia" w:ascii="仿宋_GB2312" w:eastAsia="仿宋_GB2312"/>
          <w:sz w:val="32"/>
          <w:szCs w:val="32"/>
        </w:rPr>
        <w:t>下达我市2025年（清算2024年度）农村道路客运补贴资金3283.7381万元，</w:t>
      </w:r>
      <w:r>
        <w:rPr>
          <w:rFonts w:hint="eastAsia" w:ascii="仿宋" w:hAnsi="仿宋" w:eastAsia="仿宋"/>
          <w:kern w:val="0"/>
          <w:sz w:val="32"/>
          <w:szCs w:val="32"/>
        </w:rPr>
        <w:t>其中:</w:t>
      </w:r>
      <w:r>
        <w:rPr>
          <w:rFonts w:hint="eastAsia" w:ascii="仿宋_GB2312" w:eastAsia="仿宋_GB2312"/>
          <w:sz w:val="32"/>
          <w:szCs w:val="32"/>
        </w:rPr>
        <w:t>农村道路客运费改税资金842.2055</w:t>
      </w:r>
      <w:r>
        <w:rPr>
          <w:rFonts w:hint="eastAsia" w:ascii="仿宋" w:hAnsi="仿宋" w:eastAsia="仿宋"/>
          <w:kern w:val="0"/>
          <w:sz w:val="32"/>
          <w:szCs w:val="32"/>
        </w:rPr>
        <w:t>万元，</w:t>
      </w:r>
      <w:r>
        <w:rPr>
          <w:rFonts w:hint="eastAsia" w:ascii="仿宋_GB2312" w:eastAsia="仿宋_GB2312"/>
          <w:sz w:val="32"/>
          <w:szCs w:val="32"/>
        </w:rPr>
        <w:t>农村道路客运涨价补贴资金2441.532</w:t>
      </w:r>
      <w:r>
        <w:rPr>
          <w:rFonts w:hint="eastAsia" w:ascii="仿宋" w:hAnsi="仿宋" w:eastAsia="仿宋"/>
          <w:kern w:val="0"/>
          <w:sz w:val="32"/>
          <w:szCs w:val="32"/>
        </w:rPr>
        <w:t>6万元。</w:t>
      </w:r>
    </w:p>
    <w:p w14:paraId="0E30F41E">
      <w:pPr>
        <w:ind w:firstLine="630" w:firstLineChars="196"/>
        <w:rPr>
          <w:rFonts w:ascii="仿宋" w:hAnsi="仿宋" w:eastAsia="仿宋" w:cs="仿宋"/>
          <w:sz w:val="32"/>
          <w:szCs w:val="32"/>
        </w:rPr>
      </w:pPr>
      <w:r>
        <w:rPr>
          <w:rFonts w:hint="eastAsia" w:cs="仿宋" w:asciiTheme="minorEastAsia" w:hAnsiTheme="minorEastAsia" w:eastAsiaTheme="minorEastAsia"/>
          <w:b/>
          <w:sz w:val="32"/>
          <w:szCs w:val="32"/>
        </w:rPr>
        <w:t>（二）我市符合享受补贴车辆数</w:t>
      </w:r>
    </w:p>
    <w:p w14:paraId="3FCF61E2">
      <w:pPr>
        <w:ind w:firstLine="627" w:firstLineChars="196"/>
        <w:rPr>
          <w:rFonts w:ascii="仿宋" w:hAnsi="仿宋" w:eastAsia="仿宋" w:cs="仿宋"/>
          <w:sz w:val="32"/>
          <w:szCs w:val="32"/>
        </w:rPr>
      </w:pPr>
      <w:r>
        <w:rPr>
          <w:rFonts w:hint="eastAsia" w:ascii="仿宋" w:hAnsi="仿宋" w:eastAsia="仿宋"/>
          <w:sz w:val="32"/>
          <w:szCs w:val="32"/>
        </w:rPr>
        <w:t>根据《广东省交通运输厅关于进一步加强农村道路客运运营监管工作的通知》（粤交综运字〔2023〕99号）文件要求，</w:t>
      </w:r>
      <w:r>
        <w:rPr>
          <w:rFonts w:hint="eastAsia" w:ascii="仿宋" w:hAnsi="仿宋" w:eastAsia="仿宋" w:cs="仿宋"/>
          <w:sz w:val="32"/>
          <w:szCs w:val="32"/>
        </w:rPr>
        <w:t>经审核后符合补贴车辆数量: 我市符合农村客运油补资格车辆442辆，其中镇通村303辆，非镇通村139辆。</w:t>
      </w:r>
    </w:p>
    <w:p w14:paraId="5558229B">
      <w:pPr>
        <w:ind w:firstLine="627" w:firstLineChars="196"/>
        <w:rPr>
          <w:rFonts w:ascii="仿宋" w:hAnsi="仿宋" w:eastAsia="仿宋" w:cs="仿宋"/>
          <w:sz w:val="32"/>
          <w:szCs w:val="32"/>
        </w:rPr>
      </w:pPr>
      <w:r>
        <w:rPr>
          <w:rFonts w:hint="eastAsia" w:ascii="仿宋" w:hAnsi="仿宋" w:eastAsia="仿宋" w:cs="仿宋"/>
          <w:sz w:val="32"/>
          <w:szCs w:val="32"/>
        </w:rPr>
        <w:t>取消电子围栏有效里程不符合油补资格车辆共31辆，其中：镇通村电子围栏有效里程为零6辆（五华5辆、大埔1辆），取消非镇通村油补资格车辆25辆（兴宁15辆、五华9辆、大埔1辆）；取消镇通村油补资格车辆5辆调整为享受普通农客资格（平远3辆、大埔2辆）。</w:t>
      </w:r>
    </w:p>
    <w:p w14:paraId="422D13C7">
      <w:pPr>
        <w:ind w:firstLine="643" w:firstLineChars="200"/>
        <w:rPr>
          <w:rFonts w:cs="仿宋" w:asciiTheme="minorEastAsia" w:hAnsiTheme="minorEastAsia" w:eastAsiaTheme="minorEastAsia"/>
          <w:b/>
          <w:sz w:val="32"/>
          <w:szCs w:val="32"/>
        </w:rPr>
      </w:pPr>
      <w:r>
        <w:rPr>
          <w:rFonts w:hint="eastAsia" w:cs="仿宋" w:asciiTheme="minorEastAsia" w:hAnsiTheme="minorEastAsia" w:eastAsiaTheme="minorEastAsia"/>
          <w:b/>
          <w:sz w:val="32"/>
          <w:szCs w:val="32"/>
        </w:rPr>
        <w:t>（三）我市分配原则</w:t>
      </w:r>
    </w:p>
    <w:p w14:paraId="14E78E12">
      <w:pPr>
        <w:ind w:firstLine="640" w:firstLineChars="200"/>
        <w:rPr>
          <w:rFonts w:ascii="仿宋_GB2312" w:eastAsia="仿宋_GB2312"/>
          <w:sz w:val="32"/>
          <w:szCs w:val="32"/>
        </w:rPr>
      </w:pPr>
      <w:r>
        <w:rPr>
          <w:rFonts w:hint="eastAsia" w:ascii="仿宋_GB2312" w:eastAsia="仿宋_GB2312"/>
          <w:sz w:val="32"/>
          <w:szCs w:val="32"/>
        </w:rPr>
        <w:t>我市农村道路客运补贴资金分为农村道路客运费改税补贴和农村道路客运涨价补贴；根据《梅州市交通运输局 梅州市财政局关于印发梅州市农村道路客运补贴资金和城市交通发展奖励资金使用管理实施细则的通知》</w:t>
      </w:r>
      <w:r>
        <w:rPr>
          <w:rFonts w:hint="eastAsia" w:ascii="仿宋" w:hAnsi="仿宋" w:eastAsia="仿宋"/>
          <w:sz w:val="32"/>
          <w:szCs w:val="32"/>
        </w:rPr>
        <w:t>文件要求</w:t>
      </w:r>
      <w:r>
        <w:rPr>
          <w:rFonts w:hint="eastAsia" w:ascii="仿宋_GB2312" w:eastAsia="仿宋_GB2312"/>
          <w:sz w:val="32"/>
          <w:szCs w:val="32"/>
        </w:rPr>
        <w:t>，具体</w:t>
      </w:r>
      <w:r>
        <w:rPr>
          <w:rFonts w:hint="eastAsia" w:ascii="仿宋" w:hAnsi="仿宋" w:eastAsia="仿宋"/>
          <w:kern w:val="0"/>
          <w:sz w:val="32"/>
          <w:szCs w:val="32"/>
        </w:rPr>
        <w:t>分配情况如下：</w:t>
      </w:r>
    </w:p>
    <w:p w14:paraId="51CA3943">
      <w:pPr>
        <w:ind w:firstLine="640" w:firstLineChars="200"/>
        <w:rPr>
          <w:rFonts w:ascii="仿宋" w:hAnsi="仿宋" w:eastAsia="仿宋"/>
          <w:sz w:val="32"/>
          <w:szCs w:val="32"/>
        </w:rPr>
      </w:pPr>
      <w:r>
        <w:rPr>
          <w:rFonts w:hint="eastAsia" w:ascii="仿宋_GB2312" w:eastAsia="仿宋_GB2312"/>
          <w:sz w:val="32"/>
          <w:szCs w:val="32"/>
          <w:lang w:val="en-US" w:eastAsia="zh-CN"/>
        </w:rPr>
        <w:t>1.</w:t>
      </w:r>
      <w:r>
        <w:rPr>
          <w:rFonts w:hint="eastAsia" w:ascii="仿宋_GB2312" w:eastAsia="仿宋_GB2312"/>
          <w:sz w:val="32"/>
          <w:szCs w:val="32"/>
        </w:rPr>
        <w:t>农村道路客运费改税补贴用于农村道路客运经营者的农村道路客运营运补助，按照</w:t>
      </w:r>
      <w:r>
        <w:rPr>
          <w:rFonts w:hint="eastAsia" w:ascii="仿宋" w:hAnsi="仿宋" w:eastAsia="仿宋"/>
          <w:sz w:val="32"/>
          <w:szCs w:val="32"/>
        </w:rPr>
        <w:t>2024年9月30日23时59分</w:t>
      </w:r>
      <w:r>
        <w:rPr>
          <w:rFonts w:hint="eastAsia" w:ascii="仿宋_GB2312" w:eastAsia="仿宋_GB2312"/>
          <w:sz w:val="32"/>
          <w:szCs w:val="32"/>
        </w:rPr>
        <w:t>广东省综合运输服务系统各县（市）在册营运状态的农村道路客运车辆数(含新能源车辆)在全市占比切分至各县（市）。其次按照</w:t>
      </w:r>
      <w:r>
        <w:rPr>
          <w:rFonts w:hint="eastAsia" w:ascii="仿宋" w:hAnsi="仿宋" w:eastAsia="仿宋"/>
          <w:sz w:val="32"/>
          <w:szCs w:val="32"/>
        </w:rPr>
        <w:t>《广东省交通运输厅关于进一步加强农村道路客运运营监管工作的通知》要求资金分配细分为电子围栏内有效里程占总里程比例高于80%车辆享受</w:t>
      </w:r>
      <w:r>
        <w:rPr>
          <w:rFonts w:hint="eastAsia" w:ascii="仿宋_GB2312" w:eastAsia="仿宋_GB2312"/>
          <w:sz w:val="32"/>
          <w:szCs w:val="32"/>
        </w:rPr>
        <w:t>农村道路客运费改税补贴资金</w:t>
      </w:r>
      <w:r>
        <w:rPr>
          <w:rFonts w:hint="eastAsia" w:ascii="仿宋" w:hAnsi="仿宋" w:eastAsia="仿宋"/>
          <w:sz w:val="32"/>
          <w:szCs w:val="32"/>
        </w:rPr>
        <w:t>；电子围栏内有效里程占总里程比例低于80%和年度营运里程数为0的车辆取消油补资格。</w:t>
      </w:r>
    </w:p>
    <w:p w14:paraId="10C63AE9">
      <w:pPr>
        <w:ind w:firstLine="640" w:firstLineChars="200"/>
        <w:rPr>
          <w:rFonts w:ascii="仿宋" w:hAnsi="仿宋" w:eastAsia="仿宋"/>
          <w:sz w:val="32"/>
          <w:szCs w:val="32"/>
        </w:rPr>
      </w:pPr>
      <w:r>
        <w:rPr>
          <w:rFonts w:hint="eastAsia" w:ascii="仿宋_GB2312" w:eastAsia="仿宋_GB2312"/>
          <w:sz w:val="32"/>
          <w:szCs w:val="32"/>
          <w:lang w:val="en-US" w:eastAsia="zh-CN"/>
        </w:rPr>
        <w:t>2.</w:t>
      </w:r>
      <w:r>
        <w:rPr>
          <w:rFonts w:hint="eastAsia" w:ascii="仿宋_GB2312" w:eastAsia="仿宋_GB2312"/>
          <w:sz w:val="32"/>
          <w:szCs w:val="32"/>
        </w:rPr>
        <w:t>农村道路客运涨价补贴用于镇通村农村道路客运运营补助，不得统筹用于城市公交车、巡游出租车、非镇通村农村客运车辆。按照</w:t>
      </w:r>
      <w:r>
        <w:rPr>
          <w:rFonts w:hint="eastAsia" w:ascii="仿宋" w:hAnsi="仿宋" w:eastAsia="仿宋"/>
          <w:sz w:val="32"/>
          <w:szCs w:val="32"/>
        </w:rPr>
        <w:t>2024年9月30日23时59分</w:t>
      </w:r>
      <w:r>
        <w:rPr>
          <w:rFonts w:hint="eastAsia" w:ascii="仿宋_GB2312" w:eastAsia="仿宋_GB2312"/>
          <w:sz w:val="32"/>
          <w:szCs w:val="32"/>
        </w:rPr>
        <w:t>广东省综合运输服务系统各县（市）在册营运状态的镇通村农村道路客运车辆数(车辆不分大小，含新能源车辆)在全市占比切分至各县（市）。其次按照</w:t>
      </w:r>
      <w:r>
        <w:rPr>
          <w:rFonts w:hint="eastAsia" w:ascii="仿宋" w:hAnsi="仿宋" w:eastAsia="仿宋"/>
          <w:sz w:val="32"/>
          <w:szCs w:val="32"/>
        </w:rPr>
        <w:t>《广东省交通运输厅关于进一步加强农村道路客运运营监管工作的通知》要求资金分配细分为电子围栏内有效里程占总里程比例高于80%享受</w:t>
      </w:r>
      <w:r>
        <w:rPr>
          <w:rFonts w:hint="eastAsia" w:ascii="仿宋_GB2312" w:eastAsia="仿宋_GB2312"/>
          <w:sz w:val="32"/>
          <w:szCs w:val="32"/>
        </w:rPr>
        <w:t>农村道路客运涨价补贴资金</w:t>
      </w:r>
      <w:r>
        <w:rPr>
          <w:rFonts w:hint="eastAsia" w:ascii="仿宋" w:hAnsi="仿宋" w:eastAsia="仿宋"/>
          <w:sz w:val="32"/>
          <w:szCs w:val="32"/>
        </w:rPr>
        <w:t>；电子围栏内有效里程占总里程比例低于80%调整为非镇通村车辆；年度营运有效里程数为0取消油补资格。</w:t>
      </w:r>
    </w:p>
    <w:p w14:paraId="6A2B0EBE">
      <w:pPr>
        <w:ind w:firstLine="640" w:firstLineChars="200"/>
        <w:rPr>
          <w:rFonts w:ascii="仿宋" w:hAnsi="仿宋" w:eastAsia="仿宋"/>
          <w:sz w:val="32"/>
          <w:szCs w:val="32"/>
        </w:rPr>
      </w:pPr>
      <w:r>
        <w:rPr>
          <w:rFonts w:hint="eastAsia" w:ascii="仿宋" w:hAnsi="仿宋" w:eastAsia="仿宋" w:cs="仿宋"/>
          <w:sz w:val="32"/>
          <w:szCs w:val="32"/>
          <w:lang w:val="en-US" w:eastAsia="zh-CN"/>
        </w:rPr>
        <w:t>3.</w:t>
      </w:r>
      <w:bookmarkStart w:id="2" w:name="_GoBack"/>
      <w:bookmarkEnd w:id="2"/>
      <w:r>
        <w:rPr>
          <w:rFonts w:hint="eastAsia" w:ascii="仿宋" w:hAnsi="仿宋" w:eastAsia="仿宋" w:cs="仿宋"/>
          <w:sz w:val="32"/>
          <w:szCs w:val="32"/>
        </w:rPr>
        <w:t>省下达的农村道路客运补贴资金按全市符合镇通村、非镇通村油补资格车辆数平均分配到每一辆车。</w:t>
      </w:r>
    </w:p>
    <w:p w14:paraId="68B1F841">
      <w:pPr>
        <w:ind w:firstLine="472" w:firstLineChars="147"/>
        <w:rPr>
          <w:rFonts w:cs="仿宋" w:asciiTheme="minorEastAsia" w:hAnsiTheme="minorEastAsia" w:eastAsiaTheme="minorEastAsia"/>
          <w:b/>
          <w:sz w:val="32"/>
          <w:szCs w:val="32"/>
        </w:rPr>
      </w:pPr>
      <w:r>
        <w:rPr>
          <w:rFonts w:hint="eastAsia" w:cs="仿宋" w:asciiTheme="minorEastAsia" w:hAnsiTheme="minorEastAsia" w:eastAsiaTheme="minorEastAsia"/>
          <w:b/>
          <w:sz w:val="32"/>
          <w:szCs w:val="32"/>
        </w:rPr>
        <w:t>（四）计算公式及补贴资金分配情况</w:t>
      </w:r>
    </w:p>
    <w:p w14:paraId="1DF55F6B">
      <w:pPr>
        <w:ind w:firstLine="800" w:firstLineChars="250"/>
        <w:rPr>
          <w:rFonts w:ascii="仿宋" w:hAnsi="仿宋" w:eastAsia="仿宋" w:cs="仿宋"/>
          <w:sz w:val="32"/>
          <w:szCs w:val="32"/>
        </w:rPr>
      </w:pPr>
      <w:r>
        <w:rPr>
          <w:rFonts w:hint="eastAsia" w:ascii="仿宋" w:hAnsi="仿宋" w:eastAsia="仿宋" w:cs="仿宋"/>
          <w:sz w:val="32"/>
          <w:szCs w:val="32"/>
        </w:rPr>
        <w:t>1.农村道路客运费改税补贴资金=省厅下达农村道路客运费改税补贴资金÷全市符合油补资格条件车辆数×各县（市）符合油补资格条件车辆数。即每辆享受农村道路客运费改税补贴资金（842.2055万元÷442辆=1.9054万元）。</w:t>
      </w:r>
    </w:p>
    <w:p w14:paraId="3969F5B7">
      <w:pPr>
        <w:ind w:firstLine="480" w:firstLineChars="150"/>
        <w:rPr>
          <w:rFonts w:ascii="仿宋" w:hAnsi="仿宋" w:eastAsia="仿宋" w:cs="仿宋"/>
          <w:sz w:val="32"/>
          <w:szCs w:val="32"/>
        </w:rPr>
      </w:pPr>
      <w:r>
        <w:rPr>
          <w:rFonts w:hint="eastAsia" w:ascii="仿宋" w:hAnsi="仿宋" w:eastAsia="仿宋" w:cs="仿宋"/>
          <w:sz w:val="32"/>
          <w:szCs w:val="32"/>
        </w:rPr>
        <w:t xml:space="preserve"> 全市农村道路客运费改税资金842.2055万元。其中，兴宁市：1.9054万元×149辆=283.9109万元；五华县：1.9054万元×115辆=219.1259万元；大埔县：1.9054万元×84辆=160.0571万元；蕉岭县：1.9054万元×45辆=85.7449万元；平远县：1.9054万元×49辆=93.3667万元。</w:t>
      </w:r>
    </w:p>
    <w:p w14:paraId="74BBC985">
      <w:pPr>
        <w:ind w:firstLine="640" w:firstLineChars="200"/>
        <w:rPr>
          <w:rFonts w:ascii="仿宋" w:hAnsi="仿宋" w:eastAsia="仿宋" w:cs="仿宋"/>
          <w:sz w:val="32"/>
          <w:szCs w:val="32"/>
        </w:rPr>
      </w:pPr>
      <w:r>
        <w:rPr>
          <w:rFonts w:hint="eastAsia" w:ascii="仿宋" w:hAnsi="仿宋" w:eastAsia="仿宋" w:cs="仿宋"/>
          <w:sz w:val="32"/>
          <w:szCs w:val="32"/>
        </w:rPr>
        <w:t>2.农村道路客运涨价补贴资金=省厅下达农村道路客运涨价补贴资金÷全市符合镇通村油补资格条件车辆数×各县（市）符合镇通村油补资格条件车辆数。即每辆享受农村道路客运涨价补贴资金（2441.5326万元÷303辆=8.0579万元）。</w:t>
      </w:r>
    </w:p>
    <w:p w14:paraId="10F781C4">
      <w:pPr>
        <w:ind w:firstLine="640" w:firstLineChars="200"/>
        <w:rPr>
          <w:rFonts w:ascii="仿宋" w:hAnsi="仿宋" w:eastAsia="仿宋" w:cs="仿宋"/>
          <w:sz w:val="32"/>
          <w:szCs w:val="32"/>
        </w:rPr>
      </w:pPr>
      <w:r>
        <w:rPr>
          <w:rFonts w:hint="eastAsia" w:ascii="仿宋" w:hAnsi="仿宋" w:eastAsia="仿宋" w:cs="仿宋"/>
          <w:sz w:val="32"/>
          <w:szCs w:val="32"/>
        </w:rPr>
        <w:t>全市农村道路客运费涨价补贴资金2441.5326万元。其中，兴宁市：8.0579万元×82辆=660.7448万元；五华县：8.0579万元×58辆=467.3561万元；大埔县：8.0579万元×72辆=580.1662万元；蕉岭县：8.0579万元×45辆=362.6038万元；平远县：8.0579万元×46辆=370.6617万元。</w:t>
      </w:r>
    </w:p>
    <w:p w14:paraId="72F7ABE1">
      <w:pPr>
        <w:ind w:firstLine="640" w:firstLineChars="200"/>
        <w:rPr>
          <w:rFonts w:eastAsia="文星黑体"/>
          <w:sz w:val="32"/>
          <w:szCs w:val="32"/>
        </w:rPr>
      </w:pPr>
      <w:r>
        <w:rPr>
          <w:rFonts w:hint="eastAsia" w:eastAsia="文星黑体"/>
          <w:sz w:val="32"/>
          <w:szCs w:val="32"/>
        </w:rPr>
        <w:t>二</w:t>
      </w:r>
      <w:r>
        <w:rPr>
          <w:rFonts w:eastAsia="文星黑体"/>
          <w:sz w:val="32"/>
          <w:szCs w:val="32"/>
        </w:rPr>
        <w:t>、</w:t>
      </w:r>
      <w:r>
        <w:rPr>
          <w:rFonts w:hint="eastAsia" w:eastAsia="文星黑体"/>
          <w:sz w:val="32"/>
          <w:szCs w:val="32"/>
        </w:rPr>
        <w:t>农村水路客运补贴资金分配方案</w:t>
      </w:r>
    </w:p>
    <w:p w14:paraId="3E57C663">
      <w:pPr>
        <w:ind w:firstLine="640" w:firstLineChars="200"/>
        <w:rPr>
          <w:rFonts w:ascii="仿宋" w:hAnsi="仿宋" w:eastAsia="仿宋" w:cs="仿宋"/>
          <w:sz w:val="32"/>
          <w:szCs w:val="32"/>
        </w:rPr>
      </w:pPr>
      <w:r>
        <w:rPr>
          <w:rFonts w:hint="eastAsia" w:ascii="仿宋" w:hAnsi="仿宋" w:eastAsia="仿宋" w:cs="仿宋"/>
          <w:sz w:val="32"/>
          <w:szCs w:val="32"/>
        </w:rPr>
        <w:t>省下达我市</w:t>
      </w:r>
      <w:r>
        <w:rPr>
          <w:rFonts w:hint="eastAsia" w:ascii="仿宋" w:hAnsi="仿宋" w:eastAsia="仿宋"/>
          <w:kern w:val="0"/>
          <w:sz w:val="32"/>
          <w:szCs w:val="32"/>
        </w:rPr>
        <w:t>农村水路客运补贴资金19.49万元，我局下拨资金前已向省厅申请用于梅江区长沙镇井头渡船油补资金。此项资金拟下达至梅江区交通运输局。</w:t>
      </w:r>
    </w:p>
    <w:p w14:paraId="12E88CF6">
      <w:pPr>
        <w:ind w:firstLine="640" w:firstLineChars="200"/>
        <w:rPr>
          <w:rFonts w:eastAsia="文星黑体"/>
          <w:sz w:val="32"/>
          <w:szCs w:val="32"/>
        </w:rPr>
      </w:pPr>
      <w:r>
        <w:rPr>
          <w:rFonts w:hint="eastAsia" w:eastAsia="文星黑体"/>
          <w:sz w:val="32"/>
          <w:szCs w:val="32"/>
        </w:rPr>
        <w:t>三</w:t>
      </w:r>
      <w:r>
        <w:rPr>
          <w:rFonts w:eastAsia="文星黑体"/>
          <w:sz w:val="32"/>
          <w:szCs w:val="32"/>
        </w:rPr>
        <w:t>、</w:t>
      </w:r>
      <w:r>
        <w:rPr>
          <w:rFonts w:hint="eastAsia" w:eastAsia="文星黑体"/>
          <w:sz w:val="32"/>
          <w:szCs w:val="32"/>
        </w:rPr>
        <w:t>城市交通发展奖励资金分配方案</w:t>
      </w:r>
    </w:p>
    <w:p w14:paraId="48AD5FC2">
      <w:pPr>
        <w:ind w:firstLine="643" w:firstLineChars="200"/>
        <w:rPr>
          <w:rFonts w:cs="仿宋" w:asciiTheme="minorEastAsia" w:hAnsiTheme="minorEastAsia" w:eastAsiaTheme="minorEastAsia"/>
          <w:b/>
          <w:sz w:val="32"/>
          <w:szCs w:val="32"/>
        </w:rPr>
      </w:pPr>
      <w:r>
        <w:rPr>
          <w:rFonts w:hint="eastAsia" w:cs="仿宋" w:asciiTheme="minorEastAsia" w:hAnsiTheme="minorEastAsia" w:eastAsiaTheme="minorEastAsia"/>
          <w:b/>
          <w:sz w:val="32"/>
          <w:szCs w:val="32"/>
        </w:rPr>
        <w:t xml:space="preserve"> (一)省提前下达资金数</w:t>
      </w:r>
    </w:p>
    <w:p w14:paraId="0B054DC3">
      <w:pPr>
        <w:ind w:firstLine="640" w:firstLineChars="200"/>
        <w:rPr>
          <w:rFonts w:ascii="仿宋_GB2312" w:eastAsia="仿宋_GB2312"/>
          <w:sz w:val="32"/>
          <w:szCs w:val="32"/>
        </w:rPr>
      </w:pPr>
      <w:r>
        <w:rPr>
          <w:rFonts w:hint="eastAsia" w:ascii="仿宋" w:hAnsi="仿宋" w:eastAsia="仿宋" w:cs="仿宋"/>
          <w:sz w:val="32"/>
          <w:szCs w:val="32"/>
        </w:rPr>
        <w:t>共下达756.8167万元，其中出租车费改税资金52.4732万元，</w:t>
      </w:r>
      <w:r>
        <w:rPr>
          <w:rFonts w:hint="eastAsia" w:ascii="仿宋_GB2312" w:eastAsia="仿宋_GB2312"/>
          <w:sz w:val="32"/>
          <w:szCs w:val="32"/>
        </w:rPr>
        <w:t>出租车涨价补贴资金分为两部分：支持出租车加快电动化资金（剩余涨价补贴的30%）27.0877万元，支持城市交通领域新能源汽车运营资金（剩余涨价补贴的70%）677.2558万元。</w:t>
      </w:r>
    </w:p>
    <w:p w14:paraId="2433C7BE">
      <w:pPr>
        <w:ind w:firstLine="630" w:firstLineChars="196"/>
        <w:rPr>
          <w:rFonts w:ascii="仿宋" w:hAnsi="仿宋" w:eastAsia="仿宋" w:cs="仿宋"/>
          <w:sz w:val="32"/>
          <w:szCs w:val="32"/>
        </w:rPr>
      </w:pPr>
      <w:r>
        <w:rPr>
          <w:rFonts w:hint="eastAsia" w:cs="仿宋" w:asciiTheme="minorEastAsia" w:hAnsiTheme="minorEastAsia" w:eastAsiaTheme="minorEastAsia"/>
          <w:b/>
          <w:sz w:val="32"/>
          <w:szCs w:val="32"/>
        </w:rPr>
        <w:t>（二）我市符合享受补贴车辆数</w:t>
      </w:r>
    </w:p>
    <w:p w14:paraId="35E83397">
      <w:pPr>
        <w:ind w:firstLine="627" w:firstLineChars="196"/>
        <w:rPr>
          <w:rFonts w:ascii="仿宋" w:hAnsi="仿宋" w:eastAsia="仿宋" w:cs="仿宋"/>
          <w:sz w:val="32"/>
          <w:szCs w:val="32"/>
        </w:rPr>
      </w:pPr>
      <w:r>
        <w:rPr>
          <w:rFonts w:hint="eastAsia" w:ascii="仿宋" w:hAnsi="仿宋" w:eastAsia="仿宋" w:cs="仿宋"/>
          <w:sz w:val="32"/>
          <w:szCs w:val="32"/>
        </w:rPr>
        <w:t>截止至9月30日，通过广东省综合运输服务系统，核查我市实际营运巡游出租车116辆（其中新能源巡游出租车96辆，燃油出租车20辆），新能源公交车1364辆。</w:t>
      </w:r>
    </w:p>
    <w:p w14:paraId="5CEDDC0C">
      <w:pPr>
        <w:ind w:left="630"/>
        <w:rPr>
          <w:rFonts w:cs="仿宋" w:asciiTheme="minorEastAsia" w:hAnsiTheme="minorEastAsia" w:eastAsiaTheme="minorEastAsia"/>
          <w:b/>
          <w:sz w:val="32"/>
          <w:szCs w:val="32"/>
        </w:rPr>
      </w:pPr>
      <w:r>
        <w:rPr>
          <w:rFonts w:hint="eastAsia" w:cs="仿宋" w:asciiTheme="minorEastAsia" w:hAnsiTheme="minorEastAsia" w:eastAsiaTheme="minorEastAsia"/>
          <w:b/>
          <w:sz w:val="32"/>
          <w:szCs w:val="32"/>
        </w:rPr>
        <w:t>（三）分配原则</w:t>
      </w:r>
    </w:p>
    <w:p w14:paraId="26E4CFFF">
      <w:pPr>
        <w:ind w:firstLine="640" w:firstLineChars="200"/>
        <w:rPr>
          <w:rFonts w:ascii="仿宋" w:hAnsi="仿宋" w:eastAsia="仿宋"/>
          <w:sz w:val="32"/>
          <w:szCs w:val="32"/>
        </w:rPr>
      </w:pPr>
      <w:r>
        <w:rPr>
          <w:rFonts w:hint="eastAsia" w:ascii="仿宋_GB2312" w:eastAsia="仿宋_GB2312"/>
          <w:sz w:val="32"/>
          <w:szCs w:val="32"/>
        </w:rPr>
        <w:t>1.出租车费改税资金用于补助巡游出租车</w:t>
      </w:r>
      <w:bookmarkStart w:id="0" w:name="OLE_LINK1"/>
      <w:bookmarkStart w:id="1" w:name="OLE_LINK2"/>
      <w:r>
        <w:rPr>
          <w:rFonts w:hint="eastAsia" w:ascii="仿宋_GB2312" w:eastAsia="仿宋_GB2312"/>
          <w:sz w:val="32"/>
          <w:szCs w:val="32"/>
        </w:rPr>
        <w:t>（含新能源车辆）</w:t>
      </w:r>
      <w:bookmarkEnd w:id="0"/>
      <w:bookmarkEnd w:id="1"/>
      <w:r>
        <w:rPr>
          <w:rFonts w:hint="eastAsia" w:ascii="仿宋_GB2312" w:eastAsia="仿宋_GB2312"/>
          <w:sz w:val="32"/>
          <w:szCs w:val="32"/>
        </w:rPr>
        <w:t>，按照补贴年度9月30日23时59分广东省综合运输服务系统各县（市）在册营运状态的巡游出租车车辆数（含新能源车辆）在全市占比切分至各县（市）。</w:t>
      </w:r>
    </w:p>
    <w:p w14:paraId="04C19EFE">
      <w:pPr>
        <w:ind w:firstLine="640" w:firstLineChars="200"/>
        <w:rPr>
          <w:rFonts w:ascii="仿宋" w:hAnsi="仿宋" w:eastAsia="仿宋"/>
          <w:sz w:val="32"/>
          <w:szCs w:val="32"/>
        </w:rPr>
      </w:pPr>
      <w:r>
        <w:rPr>
          <w:rFonts w:hint="eastAsia" w:ascii="仿宋_GB2312" w:eastAsia="仿宋_GB2312"/>
          <w:sz w:val="32"/>
          <w:szCs w:val="32"/>
        </w:rPr>
        <w:t>2.出租车涨价补贴资金30%用于补助新能源巡游出租车，按照补贴年度9月30日23时59分广东省综合运输服务系统各县（市）在册营运状态的新能源巡游出租车车辆数在全市占比切分至各县（市）；70%用于补助新能源公交车，按照补贴年度9月30日23时59分广东省综合运输服务系统各县（市）在册营运状态的新能源公交车车辆数在全市占比切分至各县（市）</w:t>
      </w:r>
      <w:r>
        <w:rPr>
          <w:rFonts w:hint="eastAsia" w:ascii="仿宋" w:hAnsi="仿宋" w:eastAsia="仿宋"/>
          <w:sz w:val="32"/>
          <w:szCs w:val="32"/>
        </w:rPr>
        <w:t>。</w:t>
      </w:r>
    </w:p>
    <w:p w14:paraId="22EAF283">
      <w:pPr>
        <w:ind w:firstLine="472" w:firstLineChars="147"/>
        <w:rPr>
          <w:rFonts w:cs="仿宋" w:asciiTheme="minorEastAsia" w:hAnsiTheme="minorEastAsia" w:eastAsiaTheme="minorEastAsia"/>
          <w:b/>
          <w:sz w:val="32"/>
          <w:szCs w:val="32"/>
        </w:rPr>
      </w:pPr>
      <w:r>
        <w:rPr>
          <w:rFonts w:hint="eastAsia" w:cs="仿宋" w:asciiTheme="minorEastAsia" w:hAnsiTheme="minorEastAsia" w:eastAsiaTheme="minorEastAsia"/>
          <w:b/>
          <w:sz w:val="32"/>
          <w:szCs w:val="32"/>
        </w:rPr>
        <w:t>（四）计算公式及补贴资金分配情况</w:t>
      </w:r>
    </w:p>
    <w:p w14:paraId="4DEFC4F6">
      <w:pPr>
        <w:ind w:firstLine="640" w:firstLineChars="200"/>
        <w:rPr>
          <w:rFonts w:ascii="仿宋" w:hAnsi="仿宋" w:eastAsia="仿宋" w:cs="仿宋"/>
          <w:sz w:val="32"/>
          <w:szCs w:val="32"/>
        </w:rPr>
      </w:pPr>
      <w:r>
        <w:rPr>
          <w:rFonts w:hint="eastAsia" w:ascii="仿宋_GB2312" w:eastAsia="仿宋_GB2312"/>
          <w:sz w:val="32"/>
          <w:szCs w:val="32"/>
        </w:rPr>
        <w:t>1.出租车费改税资金（含新能源车辆）</w:t>
      </w:r>
      <w:r>
        <w:rPr>
          <w:rFonts w:hint="eastAsia" w:ascii="仿宋" w:hAnsi="仿宋" w:eastAsia="仿宋" w:cs="仿宋"/>
          <w:sz w:val="32"/>
          <w:szCs w:val="32"/>
        </w:rPr>
        <w:t>52.4732万元，车辆数116辆</w:t>
      </w:r>
      <w:r>
        <w:rPr>
          <w:rFonts w:hint="eastAsia" w:ascii="仿宋_GB2312" w:eastAsia="仿宋_GB2312"/>
          <w:sz w:val="32"/>
          <w:szCs w:val="32"/>
        </w:rPr>
        <w:t>，</w:t>
      </w:r>
      <w:r>
        <w:rPr>
          <w:rFonts w:hint="eastAsia" w:ascii="仿宋" w:hAnsi="仿宋" w:eastAsia="仿宋" w:cs="仿宋"/>
          <w:sz w:val="32"/>
          <w:szCs w:val="32"/>
        </w:rPr>
        <w:t>即：每辆巡游出租车分配资金为4523.55元。</w:t>
      </w:r>
    </w:p>
    <w:p w14:paraId="3C03D5DD">
      <w:pPr>
        <w:ind w:firstLine="640" w:firstLineChars="200"/>
        <w:rPr>
          <w:rFonts w:ascii="仿宋" w:hAnsi="仿宋" w:eastAsia="仿宋" w:cs="仿宋"/>
          <w:sz w:val="32"/>
          <w:szCs w:val="32"/>
        </w:rPr>
      </w:pPr>
      <w:r>
        <w:rPr>
          <w:rFonts w:hint="eastAsia" w:ascii="仿宋_GB2312" w:eastAsia="仿宋_GB2312"/>
          <w:sz w:val="32"/>
          <w:szCs w:val="32"/>
        </w:rPr>
        <w:t>2.出租车涨价补贴704.3435</w:t>
      </w:r>
      <w:r>
        <w:rPr>
          <w:rFonts w:hint="eastAsia" w:ascii="仿宋" w:hAnsi="仿宋" w:eastAsia="仿宋" w:cs="仿宋"/>
          <w:sz w:val="32"/>
          <w:szCs w:val="32"/>
        </w:rPr>
        <w:t>万元，其中</w:t>
      </w:r>
      <w:r>
        <w:rPr>
          <w:rFonts w:hint="eastAsia" w:ascii="仿宋_GB2312" w:eastAsia="仿宋_GB2312"/>
          <w:sz w:val="32"/>
          <w:szCs w:val="32"/>
        </w:rPr>
        <w:t>支持出租车加快电动化资金（剩余涨价补贴的30%）27.0877万元，车辆数96辆，即：每辆纯电动出租车分配资金为2821.63元。支持城市交通领域新能源汽车运营资金（剩余涨价补贴的70%）677.2558万元，车辆数1364辆，</w:t>
      </w:r>
      <w:r>
        <w:rPr>
          <w:rFonts w:hint="eastAsia" w:ascii="仿宋" w:hAnsi="仿宋" w:eastAsia="仿宋" w:cs="仿宋"/>
          <w:sz w:val="32"/>
          <w:szCs w:val="32"/>
        </w:rPr>
        <w:t>即：每辆纯电动公交车分配资金为4965.21元。</w:t>
      </w:r>
    </w:p>
    <w:p w14:paraId="0CC4794A">
      <w:pPr>
        <w:autoSpaceDE w:val="0"/>
        <w:autoSpaceDN w:val="0"/>
        <w:adjustRightInd w:val="0"/>
        <w:ind w:firstLine="640" w:firstLineChars="200"/>
        <w:jc w:val="left"/>
        <w:rPr>
          <w:rFonts w:ascii="仿宋" w:hAnsi="仿宋" w:eastAsia="仿宋"/>
          <w:kern w:val="0"/>
          <w:sz w:val="32"/>
          <w:szCs w:val="32"/>
        </w:rPr>
      </w:pPr>
    </w:p>
    <w:p w14:paraId="2F718BDC">
      <w:pPr>
        <w:ind w:left="1598" w:leftChars="304" w:hanging="960" w:hangingChars="300"/>
        <w:rPr>
          <w:rFonts w:ascii="仿宋" w:hAnsi="仿宋" w:eastAsia="仿宋"/>
          <w:sz w:val="32"/>
          <w:szCs w:val="32"/>
        </w:rPr>
      </w:pPr>
      <w:r>
        <w:rPr>
          <w:rFonts w:hint="eastAsia" w:ascii="仿宋" w:hAnsi="仿宋" w:eastAsia="仿宋"/>
          <w:kern w:val="0"/>
          <w:sz w:val="32"/>
          <w:szCs w:val="32"/>
        </w:rPr>
        <w:t>附件：梅州市2025年（清算2024年度）农村道路客运补贴、农村水路客运补贴资金、城市交通发展奖励资金分配情况表</w:t>
      </w:r>
    </w:p>
    <w:sectPr>
      <w:headerReference r:id="rId3" w:type="default"/>
      <w:footerReference r:id="rId4" w:type="default"/>
      <w:footerReference r:id="rId5" w:type="even"/>
      <w:pgSz w:w="11906" w:h="16838"/>
      <w:pgMar w:top="1440" w:right="1440" w:bottom="144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文星标宋">
    <w:altName w:val="黑体"/>
    <w:panose1 w:val="00000000000000000000"/>
    <w:charset w:val="86"/>
    <w:family w:val="modern"/>
    <w:pitch w:val="default"/>
    <w:sig w:usb0="00000000" w:usb1="00000000" w:usb2="00000010" w:usb3="00000000" w:csb0="00040000" w:csb1="00000000"/>
  </w:font>
  <w:font w:name="文星仿宋">
    <w:altName w:val="黑体"/>
    <w:panose1 w:val="00000000000000000000"/>
    <w:charset w:val="86"/>
    <w:family w:val="moder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文星黑体">
    <w:altName w:val="黑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35A6EE">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separate"/>
    </w:r>
    <w:r>
      <w:rPr>
        <w:rStyle w:val="7"/>
      </w:rPr>
      <w:t>3</w:t>
    </w:r>
    <w:r>
      <w:rPr>
        <w:rStyle w:val="7"/>
      </w:rPr>
      <w:fldChar w:fldCharType="end"/>
    </w:r>
  </w:p>
  <w:p w14:paraId="51CA4D1B">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02CF8">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14:paraId="505124FD">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72368">
    <w:pPr>
      <w:ind w:firstLine="54" w:firstLineChars="16"/>
      <w:jc w:val="center"/>
      <w:rPr>
        <w:rFonts w:ascii="文星标宋" w:eastAsia="文星标宋"/>
        <w:spacing w:val="64"/>
        <w:szCs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4B9B97"/>
    <w:multiLevelType w:val="singleLevel"/>
    <w:tmpl w:val="414B9B9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WNmNWM0NDY4NGU5M2JhOTEwN2NmNDBkNjQwZDU3NTQifQ=="/>
  </w:docVars>
  <w:rsids>
    <w:rsidRoot w:val="00172A27"/>
    <w:rsid w:val="00000F6A"/>
    <w:rsid w:val="000101B4"/>
    <w:rsid w:val="0001314A"/>
    <w:rsid w:val="000157D5"/>
    <w:rsid w:val="00020556"/>
    <w:rsid w:val="00026CF0"/>
    <w:rsid w:val="00031F03"/>
    <w:rsid w:val="000348FC"/>
    <w:rsid w:val="00050797"/>
    <w:rsid w:val="00054A0A"/>
    <w:rsid w:val="00056861"/>
    <w:rsid w:val="00083A7A"/>
    <w:rsid w:val="00085A3C"/>
    <w:rsid w:val="00091017"/>
    <w:rsid w:val="000A7A88"/>
    <w:rsid w:val="000B0DDE"/>
    <w:rsid w:val="000B3293"/>
    <w:rsid w:val="000C088F"/>
    <w:rsid w:val="000D1CF8"/>
    <w:rsid w:val="000D27C0"/>
    <w:rsid w:val="000D4BFA"/>
    <w:rsid w:val="000E5344"/>
    <w:rsid w:val="000E7CD5"/>
    <w:rsid w:val="001055EF"/>
    <w:rsid w:val="0011412D"/>
    <w:rsid w:val="00114EDC"/>
    <w:rsid w:val="00114FB4"/>
    <w:rsid w:val="0014080F"/>
    <w:rsid w:val="00155E29"/>
    <w:rsid w:val="00164B4F"/>
    <w:rsid w:val="00171410"/>
    <w:rsid w:val="00172A27"/>
    <w:rsid w:val="001846B3"/>
    <w:rsid w:val="00196CFB"/>
    <w:rsid w:val="001B245C"/>
    <w:rsid w:val="001B357E"/>
    <w:rsid w:val="001C2424"/>
    <w:rsid w:val="001E4441"/>
    <w:rsid w:val="001F29B4"/>
    <w:rsid w:val="00200B21"/>
    <w:rsid w:val="00210675"/>
    <w:rsid w:val="00221C4E"/>
    <w:rsid w:val="002243E2"/>
    <w:rsid w:val="00231C6C"/>
    <w:rsid w:val="00236C1F"/>
    <w:rsid w:val="00256AEF"/>
    <w:rsid w:val="00260304"/>
    <w:rsid w:val="00260AFE"/>
    <w:rsid w:val="002637B2"/>
    <w:rsid w:val="0026500F"/>
    <w:rsid w:val="00266D47"/>
    <w:rsid w:val="00273FD0"/>
    <w:rsid w:val="002C434B"/>
    <w:rsid w:val="002D0E17"/>
    <w:rsid w:val="002D1692"/>
    <w:rsid w:val="003021E2"/>
    <w:rsid w:val="00302470"/>
    <w:rsid w:val="00334283"/>
    <w:rsid w:val="0035219E"/>
    <w:rsid w:val="00352F93"/>
    <w:rsid w:val="0036662A"/>
    <w:rsid w:val="00372638"/>
    <w:rsid w:val="00381040"/>
    <w:rsid w:val="003834CC"/>
    <w:rsid w:val="003974E4"/>
    <w:rsid w:val="003B6466"/>
    <w:rsid w:val="003B6CF8"/>
    <w:rsid w:val="003C3960"/>
    <w:rsid w:val="003C4201"/>
    <w:rsid w:val="003D0EC5"/>
    <w:rsid w:val="003D125B"/>
    <w:rsid w:val="003F1350"/>
    <w:rsid w:val="003F34AE"/>
    <w:rsid w:val="003F3E8A"/>
    <w:rsid w:val="003F6485"/>
    <w:rsid w:val="004055FC"/>
    <w:rsid w:val="00417C4A"/>
    <w:rsid w:val="004370C8"/>
    <w:rsid w:val="00445697"/>
    <w:rsid w:val="00445DB9"/>
    <w:rsid w:val="0045270C"/>
    <w:rsid w:val="0046606C"/>
    <w:rsid w:val="00471C5E"/>
    <w:rsid w:val="00472251"/>
    <w:rsid w:val="004B4F1B"/>
    <w:rsid w:val="004C7F71"/>
    <w:rsid w:val="004D4E18"/>
    <w:rsid w:val="004E79E3"/>
    <w:rsid w:val="004E7E99"/>
    <w:rsid w:val="004F0591"/>
    <w:rsid w:val="00503C84"/>
    <w:rsid w:val="00516089"/>
    <w:rsid w:val="005708BC"/>
    <w:rsid w:val="0057328B"/>
    <w:rsid w:val="00590A3C"/>
    <w:rsid w:val="00593105"/>
    <w:rsid w:val="005959DE"/>
    <w:rsid w:val="005A6B54"/>
    <w:rsid w:val="005C596E"/>
    <w:rsid w:val="005D03B7"/>
    <w:rsid w:val="005E46BF"/>
    <w:rsid w:val="00630A4F"/>
    <w:rsid w:val="00642CA1"/>
    <w:rsid w:val="00652308"/>
    <w:rsid w:val="00655718"/>
    <w:rsid w:val="006569BA"/>
    <w:rsid w:val="00664D4B"/>
    <w:rsid w:val="0068274C"/>
    <w:rsid w:val="00683445"/>
    <w:rsid w:val="00690CC3"/>
    <w:rsid w:val="00691A1B"/>
    <w:rsid w:val="00696213"/>
    <w:rsid w:val="006C28EE"/>
    <w:rsid w:val="006C4608"/>
    <w:rsid w:val="006E49A3"/>
    <w:rsid w:val="007108E0"/>
    <w:rsid w:val="00716DEA"/>
    <w:rsid w:val="0072197B"/>
    <w:rsid w:val="00723F1D"/>
    <w:rsid w:val="00726CD3"/>
    <w:rsid w:val="00740039"/>
    <w:rsid w:val="00740CD9"/>
    <w:rsid w:val="00756C50"/>
    <w:rsid w:val="00764D09"/>
    <w:rsid w:val="00771358"/>
    <w:rsid w:val="00771C21"/>
    <w:rsid w:val="007838A9"/>
    <w:rsid w:val="00783A82"/>
    <w:rsid w:val="007919C1"/>
    <w:rsid w:val="00795D82"/>
    <w:rsid w:val="007A3E78"/>
    <w:rsid w:val="007C0036"/>
    <w:rsid w:val="007C1085"/>
    <w:rsid w:val="007C2BE8"/>
    <w:rsid w:val="007C5477"/>
    <w:rsid w:val="007E4A66"/>
    <w:rsid w:val="007F6B08"/>
    <w:rsid w:val="007F7676"/>
    <w:rsid w:val="00821742"/>
    <w:rsid w:val="00845A8D"/>
    <w:rsid w:val="00845FFA"/>
    <w:rsid w:val="00851E22"/>
    <w:rsid w:val="00856793"/>
    <w:rsid w:val="008726A5"/>
    <w:rsid w:val="0087355B"/>
    <w:rsid w:val="008779A5"/>
    <w:rsid w:val="008B3A78"/>
    <w:rsid w:val="008B50CC"/>
    <w:rsid w:val="008C758F"/>
    <w:rsid w:val="008E63E3"/>
    <w:rsid w:val="008F2CF5"/>
    <w:rsid w:val="00926F4C"/>
    <w:rsid w:val="009320A7"/>
    <w:rsid w:val="00941101"/>
    <w:rsid w:val="0095083B"/>
    <w:rsid w:val="00962395"/>
    <w:rsid w:val="00964C9F"/>
    <w:rsid w:val="00974056"/>
    <w:rsid w:val="0098136E"/>
    <w:rsid w:val="00983688"/>
    <w:rsid w:val="00996EAC"/>
    <w:rsid w:val="009B1425"/>
    <w:rsid w:val="009B7929"/>
    <w:rsid w:val="009D076B"/>
    <w:rsid w:val="009E374F"/>
    <w:rsid w:val="009E7109"/>
    <w:rsid w:val="00A10338"/>
    <w:rsid w:val="00A21DF0"/>
    <w:rsid w:val="00A26881"/>
    <w:rsid w:val="00A36244"/>
    <w:rsid w:val="00A40975"/>
    <w:rsid w:val="00A4408B"/>
    <w:rsid w:val="00A81EFA"/>
    <w:rsid w:val="00A85E6F"/>
    <w:rsid w:val="00AA39F5"/>
    <w:rsid w:val="00AC127E"/>
    <w:rsid w:val="00AC354F"/>
    <w:rsid w:val="00B30688"/>
    <w:rsid w:val="00B363F3"/>
    <w:rsid w:val="00B411A0"/>
    <w:rsid w:val="00B421D1"/>
    <w:rsid w:val="00B50E23"/>
    <w:rsid w:val="00B815A3"/>
    <w:rsid w:val="00BA1DDF"/>
    <w:rsid w:val="00BD0807"/>
    <w:rsid w:val="00BF3E7E"/>
    <w:rsid w:val="00C01DF4"/>
    <w:rsid w:val="00C31C28"/>
    <w:rsid w:val="00C409AE"/>
    <w:rsid w:val="00C51713"/>
    <w:rsid w:val="00C55988"/>
    <w:rsid w:val="00C61E06"/>
    <w:rsid w:val="00C65418"/>
    <w:rsid w:val="00C7036D"/>
    <w:rsid w:val="00C76003"/>
    <w:rsid w:val="00C90A11"/>
    <w:rsid w:val="00C9767F"/>
    <w:rsid w:val="00CA12D3"/>
    <w:rsid w:val="00CA54A9"/>
    <w:rsid w:val="00CB62E1"/>
    <w:rsid w:val="00CC1F73"/>
    <w:rsid w:val="00CC4188"/>
    <w:rsid w:val="00CE3989"/>
    <w:rsid w:val="00CE7D5A"/>
    <w:rsid w:val="00D0579B"/>
    <w:rsid w:val="00D145E2"/>
    <w:rsid w:val="00D235C4"/>
    <w:rsid w:val="00D63DA5"/>
    <w:rsid w:val="00D7732B"/>
    <w:rsid w:val="00D84FDD"/>
    <w:rsid w:val="00D94118"/>
    <w:rsid w:val="00DA5A62"/>
    <w:rsid w:val="00DA5D49"/>
    <w:rsid w:val="00DB0586"/>
    <w:rsid w:val="00DB2F08"/>
    <w:rsid w:val="00DB7F5A"/>
    <w:rsid w:val="00DD3543"/>
    <w:rsid w:val="00DD5CD8"/>
    <w:rsid w:val="00DE2ACD"/>
    <w:rsid w:val="00DF0043"/>
    <w:rsid w:val="00DF2F5F"/>
    <w:rsid w:val="00DF4A02"/>
    <w:rsid w:val="00E046AC"/>
    <w:rsid w:val="00E14815"/>
    <w:rsid w:val="00E24A57"/>
    <w:rsid w:val="00E327D9"/>
    <w:rsid w:val="00E44574"/>
    <w:rsid w:val="00E50C38"/>
    <w:rsid w:val="00E57590"/>
    <w:rsid w:val="00E66346"/>
    <w:rsid w:val="00E67987"/>
    <w:rsid w:val="00E70322"/>
    <w:rsid w:val="00E70930"/>
    <w:rsid w:val="00E805A4"/>
    <w:rsid w:val="00E83E28"/>
    <w:rsid w:val="00E963F1"/>
    <w:rsid w:val="00ED1339"/>
    <w:rsid w:val="00EE70C5"/>
    <w:rsid w:val="00EF3386"/>
    <w:rsid w:val="00F10A0B"/>
    <w:rsid w:val="00F11A03"/>
    <w:rsid w:val="00F11FC7"/>
    <w:rsid w:val="00F14557"/>
    <w:rsid w:val="00F16B6E"/>
    <w:rsid w:val="00F22F07"/>
    <w:rsid w:val="00F32888"/>
    <w:rsid w:val="00F423D4"/>
    <w:rsid w:val="00F567E2"/>
    <w:rsid w:val="00F657FB"/>
    <w:rsid w:val="00F77AF0"/>
    <w:rsid w:val="00F87B6B"/>
    <w:rsid w:val="00FA35B5"/>
    <w:rsid w:val="00FA7E67"/>
    <w:rsid w:val="00FC08CE"/>
    <w:rsid w:val="00FE4202"/>
    <w:rsid w:val="00FF6796"/>
    <w:rsid w:val="01A02A80"/>
    <w:rsid w:val="01DE1665"/>
    <w:rsid w:val="020531A4"/>
    <w:rsid w:val="026C6D7F"/>
    <w:rsid w:val="037B54CB"/>
    <w:rsid w:val="038832EC"/>
    <w:rsid w:val="03A5079A"/>
    <w:rsid w:val="051807C7"/>
    <w:rsid w:val="05850F36"/>
    <w:rsid w:val="05C0366A"/>
    <w:rsid w:val="06EA284C"/>
    <w:rsid w:val="08397703"/>
    <w:rsid w:val="09B71227"/>
    <w:rsid w:val="104D6442"/>
    <w:rsid w:val="10502A85"/>
    <w:rsid w:val="11C24C0D"/>
    <w:rsid w:val="12525F91"/>
    <w:rsid w:val="14E521B4"/>
    <w:rsid w:val="173B6FF4"/>
    <w:rsid w:val="19A1335A"/>
    <w:rsid w:val="19D92AF4"/>
    <w:rsid w:val="1A4B1C44"/>
    <w:rsid w:val="1B2D010D"/>
    <w:rsid w:val="1BAC6712"/>
    <w:rsid w:val="1C0A245C"/>
    <w:rsid w:val="1C0E2F29"/>
    <w:rsid w:val="1D6A0633"/>
    <w:rsid w:val="1E1B7B7F"/>
    <w:rsid w:val="1EAF1395"/>
    <w:rsid w:val="1EC27FFB"/>
    <w:rsid w:val="1F244811"/>
    <w:rsid w:val="1F8B3EF6"/>
    <w:rsid w:val="21B02A50"/>
    <w:rsid w:val="21BF4CC5"/>
    <w:rsid w:val="24AC7783"/>
    <w:rsid w:val="268A5556"/>
    <w:rsid w:val="273D46C2"/>
    <w:rsid w:val="276C4FA7"/>
    <w:rsid w:val="299B7DC6"/>
    <w:rsid w:val="29FA14F5"/>
    <w:rsid w:val="2A703330"/>
    <w:rsid w:val="2AF5642C"/>
    <w:rsid w:val="2C6818AD"/>
    <w:rsid w:val="2D093328"/>
    <w:rsid w:val="2D6C5DCB"/>
    <w:rsid w:val="2D933181"/>
    <w:rsid w:val="2EA17C2D"/>
    <w:rsid w:val="30B10DA5"/>
    <w:rsid w:val="30E67B79"/>
    <w:rsid w:val="31B22151"/>
    <w:rsid w:val="33843679"/>
    <w:rsid w:val="33AB1C16"/>
    <w:rsid w:val="33E74334"/>
    <w:rsid w:val="36321AB2"/>
    <w:rsid w:val="368309FB"/>
    <w:rsid w:val="378731A6"/>
    <w:rsid w:val="37A4078E"/>
    <w:rsid w:val="389B393F"/>
    <w:rsid w:val="3A692214"/>
    <w:rsid w:val="3BBE7B9A"/>
    <w:rsid w:val="3E9F1486"/>
    <w:rsid w:val="40A1586A"/>
    <w:rsid w:val="415A4685"/>
    <w:rsid w:val="41C9151C"/>
    <w:rsid w:val="42134546"/>
    <w:rsid w:val="43EF2D90"/>
    <w:rsid w:val="455A248C"/>
    <w:rsid w:val="45F823D0"/>
    <w:rsid w:val="49543DC1"/>
    <w:rsid w:val="4B624A04"/>
    <w:rsid w:val="4C251A45"/>
    <w:rsid w:val="4C8107A0"/>
    <w:rsid w:val="50BC3FFA"/>
    <w:rsid w:val="511744BF"/>
    <w:rsid w:val="519D29E9"/>
    <w:rsid w:val="537506AF"/>
    <w:rsid w:val="537E1A3B"/>
    <w:rsid w:val="554271C4"/>
    <w:rsid w:val="55894DF3"/>
    <w:rsid w:val="5A204430"/>
    <w:rsid w:val="5A8262B5"/>
    <w:rsid w:val="5B071CE3"/>
    <w:rsid w:val="5BED3C02"/>
    <w:rsid w:val="5C2A2760"/>
    <w:rsid w:val="5CCA6F5D"/>
    <w:rsid w:val="5FEA0235"/>
    <w:rsid w:val="600632D7"/>
    <w:rsid w:val="60C75578"/>
    <w:rsid w:val="6282250D"/>
    <w:rsid w:val="64FD6C64"/>
    <w:rsid w:val="68A72E4B"/>
    <w:rsid w:val="69246B82"/>
    <w:rsid w:val="69A55B1C"/>
    <w:rsid w:val="6A1C5DDE"/>
    <w:rsid w:val="6A23552C"/>
    <w:rsid w:val="6A631D73"/>
    <w:rsid w:val="6B8D789A"/>
    <w:rsid w:val="6BAC4F3F"/>
    <w:rsid w:val="6BFD579B"/>
    <w:rsid w:val="6E8403F6"/>
    <w:rsid w:val="6F41229E"/>
    <w:rsid w:val="6FB24AEE"/>
    <w:rsid w:val="700A66D9"/>
    <w:rsid w:val="70293003"/>
    <w:rsid w:val="7196042C"/>
    <w:rsid w:val="75251DAE"/>
    <w:rsid w:val="763B75EC"/>
    <w:rsid w:val="76AA5730"/>
    <w:rsid w:val="772A1CC5"/>
    <w:rsid w:val="778B00FF"/>
    <w:rsid w:val="7798281C"/>
    <w:rsid w:val="78514954"/>
    <w:rsid w:val="792425B9"/>
    <w:rsid w:val="793622EC"/>
    <w:rsid w:val="79450781"/>
    <w:rsid w:val="79CB512B"/>
    <w:rsid w:val="79E87A8A"/>
    <w:rsid w:val="7AA240DD"/>
    <w:rsid w:val="7B113011"/>
    <w:rsid w:val="7B862F4A"/>
    <w:rsid w:val="7BEB3862"/>
    <w:rsid w:val="7C156B31"/>
    <w:rsid w:val="7CB974BC"/>
    <w:rsid w:val="7E100520"/>
    <w:rsid w:val="7E171AB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autoRedefine/>
    <w:unhideWhenUsed/>
    <w:qFormat/>
    <w:uiPriority w:val="99"/>
    <w:rPr>
      <w:sz w:val="18"/>
      <w:szCs w:val="18"/>
    </w:rPr>
  </w:style>
  <w:style w:type="paragraph" w:styleId="3">
    <w:name w:val="footer"/>
    <w:basedOn w:val="1"/>
    <w:link w:val="8"/>
    <w:autoRedefine/>
    <w:unhideWhenUsed/>
    <w:qFormat/>
    <w:uiPriority w:val="99"/>
    <w:pPr>
      <w:tabs>
        <w:tab w:val="center" w:pos="4153"/>
        <w:tab w:val="right" w:pos="8306"/>
      </w:tabs>
      <w:snapToGrid w:val="0"/>
      <w:jc w:val="left"/>
    </w:pPr>
    <w:rPr>
      <w:sz w:val="18"/>
      <w:szCs w:val="18"/>
    </w:rPr>
  </w:style>
  <w:style w:type="paragraph" w:styleId="4">
    <w:name w:val="header"/>
    <w:basedOn w:val="1"/>
    <w:link w:val="9"/>
    <w:autoRedefine/>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character" w:customStyle="1" w:styleId="8">
    <w:name w:val="页脚 Char"/>
    <w:basedOn w:val="6"/>
    <w:link w:val="3"/>
    <w:autoRedefine/>
    <w:qFormat/>
    <w:uiPriority w:val="99"/>
    <w:rPr>
      <w:rFonts w:ascii="Times New Roman" w:hAnsi="Times New Roman" w:eastAsia="宋体" w:cs="Times New Roman"/>
      <w:sz w:val="18"/>
      <w:szCs w:val="18"/>
    </w:rPr>
  </w:style>
  <w:style w:type="character" w:customStyle="1" w:styleId="9">
    <w:name w:val="页眉 Char"/>
    <w:basedOn w:val="6"/>
    <w:link w:val="4"/>
    <w:autoRedefine/>
    <w:qFormat/>
    <w:uiPriority w:val="99"/>
    <w:rPr>
      <w:rFonts w:ascii="Times New Roman" w:hAnsi="Times New Roman" w:eastAsia="宋体" w:cs="Times New Roman"/>
      <w:sz w:val="18"/>
      <w:szCs w:val="18"/>
    </w:rPr>
  </w:style>
  <w:style w:type="character" w:customStyle="1" w:styleId="10">
    <w:name w:val="批注框文本 Char"/>
    <w:basedOn w:val="6"/>
    <w:link w:val="2"/>
    <w:autoRedefine/>
    <w:semiHidden/>
    <w:qFormat/>
    <w:uiPriority w:val="99"/>
    <w:rPr>
      <w:rFonts w:ascii="Times New Roman" w:hAnsi="Times New Roman" w:eastAsia="宋体" w:cs="Times New Roman"/>
      <w:sz w:val="18"/>
      <w:szCs w:val="18"/>
    </w:rPr>
  </w:style>
  <w:style w:type="paragraph" w:customStyle="1" w:styleId="11">
    <w:name w:val="列出段落1"/>
    <w:basedOn w:val="1"/>
    <w:autoRedefine/>
    <w:qFormat/>
    <w:uiPriority w:val="34"/>
    <w:pPr>
      <w:ind w:firstLine="420" w:firstLineChars="200"/>
    </w:pPr>
  </w:style>
  <w:style w:type="paragraph" w:styleId="12">
    <w:name w:val="List Paragraph"/>
    <w:basedOn w:val="1"/>
    <w:autoRedefine/>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mz</Company>
  <Pages>5</Pages>
  <Words>2494</Words>
  <Characters>2904</Characters>
  <Lines>20</Lines>
  <Paragraphs>5</Paragraphs>
  <TotalTime>9</TotalTime>
  <ScaleCrop>false</ScaleCrop>
  <LinksUpToDate>false</LinksUpToDate>
  <CharactersWithSpaces>2911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2025-01-22T01:18:00Z</dcterms:created>
  <dc:creator>曾文峰</dc:creator>
  <cp:lastModifiedBy>黄电基</cp:lastModifiedBy>
  <cp:lastPrinted>2025-01-16T03:09:00Z</cp:lastPrinted>
  <dcterms:modified xsi:type="dcterms:W3CDTF">2025-01-22T02:35:54Z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30B03AAD1C944BA7B71204B10AF52A4C_13</vt:lpwstr>
  </property>
  <property fmtid="{D5CDD505-2E9C-101B-9397-08002B2CF9AE}" pid="4" name="KSOTemplateDocerSaveRecord">
    <vt:lpwstr>eyJoZGlkIjoiZTBhNThlOGIwOWU5ZjliNDE4ZDBjYTM0MmNjMTUzZGYifQ==</vt:lpwstr>
  </property>
</Properties>
</file>