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CA57E2">
      <w:pPr>
        <w:keepNext w:val="0"/>
        <w:keepLines w:val="0"/>
        <w:pageBreakBefore w:val="0"/>
        <w:kinsoku/>
        <w:wordWrap/>
        <w:overflowPunct/>
        <w:topLinePunct w:val="0"/>
        <w:autoSpaceDE/>
        <w:autoSpaceDN/>
        <w:bidi w:val="0"/>
        <w:adjustRightInd/>
        <w:snapToGrid w:val="0"/>
        <w:spacing w:line="640" w:lineRule="exact"/>
        <w:jc w:val="center"/>
        <w:textAlignment w:val="auto"/>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z w:val="44"/>
          <w:szCs w:val="44"/>
        </w:rPr>
        <w:t>梅州市地方标准《研学实践教育规范》</w:t>
      </w:r>
    </w:p>
    <w:p w14:paraId="67765679">
      <w:pPr>
        <w:keepNext w:val="0"/>
        <w:keepLines w:val="0"/>
        <w:pageBreakBefore w:val="0"/>
        <w:kinsoku/>
        <w:wordWrap/>
        <w:overflowPunct/>
        <w:topLinePunct w:val="0"/>
        <w:autoSpaceDE/>
        <w:autoSpaceDN/>
        <w:bidi w:val="0"/>
        <w:adjustRightInd/>
        <w:spacing w:line="640" w:lineRule="exact"/>
        <w:jc w:val="center"/>
        <w:textAlignment w:val="auto"/>
        <w:rPr>
          <w:rFonts w:hint="default" w:ascii="方正小标宋_GBK" w:hAnsi="方正小标宋_GBK" w:eastAsia="方正小标宋_GBK" w:cs="方正小标宋_GBK"/>
          <w:sz w:val="44"/>
          <w:szCs w:val="44"/>
          <w:lang w:val="en-US" w:eastAsia="zh-CN"/>
        </w:rPr>
      </w:pPr>
      <w:r>
        <w:rPr>
          <w:rFonts w:hint="eastAsia" w:ascii="方正小标宋_GBK" w:hAnsi="方正小标宋_GBK" w:eastAsia="方正小标宋_GBK" w:cs="方正小标宋_GBK"/>
          <w:sz w:val="44"/>
          <w:szCs w:val="44"/>
        </w:rPr>
        <w:t>第3部分：组织实施</w:t>
      </w:r>
      <w:r>
        <w:rPr>
          <w:rFonts w:hint="eastAsia" w:ascii="方正小标宋_GBK" w:hAnsi="方正小标宋_GBK" w:eastAsia="方正小标宋_GBK" w:cs="方正小标宋_GBK"/>
          <w:sz w:val="44"/>
          <w:szCs w:val="44"/>
          <w:lang w:val="en-US" w:eastAsia="zh-CN"/>
        </w:rPr>
        <w:t>编制说明</w:t>
      </w:r>
    </w:p>
    <w:p w14:paraId="43577DB1">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p>
    <w:p w14:paraId="28340FC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一、任务来源</w:t>
      </w:r>
    </w:p>
    <w:p w14:paraId="1E44F96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教育部门的规划和需求：</w:t>
      </w:r>
      <w:r>
        <w:rPr>
          <w:rFonts w:hint="eastAsia" w:ascii="方正仿宋_GBK" w:hAnsi="方正仿宋_GBK" w:eastAsia="方正仿宋_GBK" w:cs="方正仿宋_GBK"/>
          <w:sz w:val="32"/>
          <w:szCs w:val="32"/>
        </w:rPr>
        <w:t>为了提升梅州市研学实践教育的质量和规范化程度，梅州市教育局和梅州市文化广电旅游局共同提出发起制定该标准的任务，以更好地指导学校和相关机构开展研学实践活动。</w:t>
      </w:r>
    </w:p>
    <w:p w14:paraId="2D2F609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行业发展的推动：</w:t>
      </w:r>
      <w:r>
        <w:rPr>
          <w:rFonts w:hint="eastAsia" w:ascii="方正仿宋_GBK" w:hAnsi="方正仿宋_GBK" w:eastAsia="方正仿宋_GBK" w:cs="方正仿宋_GBK"/>
          <w:sz w:val="32"/>
          <w:szCs w:val="32"/>
        </w:rPr>
        <w:t>随着研学实践教育在梅州市的逐渐兴起和发展，行业内对于统一规范和标准的需求日益迫切。</w:t>
      </w:r>
    </w:p>
    <w:p w14:paraId="21FD4B50">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三）</w:t>
      </w:r>
      <w:r>
        <w:rPr>
          <w:rFonts w:hint="eastAsia" w:ascii="方正楷体_GBK" w:hAnsi="方正楷体_GBK" w:eastAsia="方正楷体_GBK" w:cs="方正楷体_GBK"/>
          <w:sz w:val="32"/>
          <w:szCs w:val="32"/>
        </w:rPr>
        <w:t>政策导向</w:t>
      </w:r>
      <w:r>
        <w:rPr>
          <w:rFonts w:hint="eastAsia" w:ascii="仿宋" w:hAnsi="仿宋" w:eastAsia="仿宋"/>
          <w:sz w:val="32"/>
          <w:szCs w:val="32"/>
        </w:rPr>
        <w:t>：为</w:t>
      </w:r>
      <w:r>
        <w:rPr>
          <w:rFonts w:hint="eastAsia" w:ascii="方正仿宋_GBK" w:hAnsi="方正仿宋_GBK" w:eastAsia="方正仿宋_GBK" w:cs="方正仿宋_GBK"/>
          <w:sz w:val="32"/>
          <w:szCs w:val="32"/>
        </w:rPr>
        <w:t>了响应国家或省级关于教育改革、素质教育等方面的政策要求。</w:t>
      </w:r>
    </w:p>
    <w:p w14:paraId="427DE91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lang w:val="en-US" w:eastAsia="zh-CN"/>
        </w:rPr>
        <w:t>1、</w:t>
      </w:r>
      <w:r>
        <w:rPr>
          <w:rFonts w:hint="eastAsia" w:ascii="方正仿宋_GBK" w:hAnsi="方正仿宋_GBK" w:eastAsia="方正仿宋_GBK" w:cs="方正仿宋_GBK"/>
          <w:sz w:val="32"/>
          <w:szCs w:val="32"/>
        </w:rPr>
        <w:t>梅州市人民政府办公室关于《梅州市人民政府办公室关于进一步推进全市中小学生研学教育实践活动的通知》（梅市府办函〔2019〕146号）中明确：（四）规范研学教育组织管理。教育行政部门和学校要建立研学教育实践活动管理平台，制定工作规程，做到“活动有方案，行前有备案，应急有预案”。</w:t>
      </w:r>
    </w:p>
    <w:p w14:paraId="3186094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仿宋" w:hAnsi="仿宋" w:eastAsia="仿宋"/>
          <w:sz w:val="32"/>
          <w:szCs w:val="32"/>
        </w:rPr>
      </w:pPr>
      <w:r>
        <w:rPr>
          <w:rFonts w:hint="eastAsia" w:ascii="方正仿宋_GBK" w:hAnsi="方正仿宋_GBK" w:eastAsia="方正仿宋_GBK" w:cs="方正仿宋_GBK"/>
          <w:sz w:val="32"/>
          <w:szCs w:val="32"/>
          <w:lang w:val="en-US" w:eastAsia="zh-CN"/>
        </w:rPr>
        <w:t>2、</w:t>
      </w:r>
      <w:r>
        <w:rPr>
          <w:rFonts w:hint="eastAsia" w:ascii="方正仿宋_GBK" w:hAnsi="方正仿宋_GBK" w:eastAsia="方正仿宋_GBK" w:cs="方正仿宋_GBK"/>
          <w:sz w:val="32"/>
          <w:szCs w:val="32"/>
        </w:rPr>
        <w:t>梅州市人民政府关于印发《梅州市人民政府关于印发梅州市文化广电旅游发展“十四五”规划的通知》（梅市府函〔2022〕86 号）指出：推动与教育部门合作，搭建研学旅行公共服务平台。研学旅行公共服务平台：发布基地研学课程、推荐研学旅行线路、公示学校研学活动信息等。重视研学旅行信息化管理。加强研学旅行信息统计与测评，分析评价中小学生研学旅行开展情况和成效，实现研学旅行分层级、分区域、全过程的信息化有效管理。</w:t>
      </w:r>
    </w:p>
    <w:p w14:paraId="1667B08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ascii="仿宋" w:hAnsi="仿宋" w:eastAsia="仿宋"/>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四）</w:t>
      </w:r>
      <w:r>
        <w:rPr>
          <w:rFonts w:hint="eastAsia" w:ascii="方正楷体_GBK" w:hAnsi="方正楷体_GBK" w:eastAsia="方正楷体_GBK" w:cs="方正楷体_GBK"/>
          <w:sz w:val="32"/>
          <w:szCs w:val="32"/>
        </w:rPr>
        <w:t>社会关注和需求：</w:t>
      </w:r>
      <w:r>
        <w:rPr>
          <w:rFonts w:hint="eastAsia" w:ascii="方正仿宋_GBK" w:hAnsi="方正仿宋_GBK" w:eastAsia="方正仿宋_GBK" w:cs="方正仿宋_GBK"/>
          <w:sz w:val="32"/>
          <w:szCs w:val="32"/>
          <w:lang w:val="en-US" w:eastAsia="zh-CN"/>
        </w:rPr>
        <w:t>家长、学生以及社会各界对研学实践教育的效果和安全性的关注。</w:t>
      </w:r>
    </w:p>
    <w:p w14:paraId="2D64679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二、编制背景、目的和意义</w:t>
      </w:r>
    </w:p>
    <w:p w14:paraId="5E87327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标准制定产生背景</w:t>
      </w:r>
    </w:p>
    <w:p w14:paraId="25298DC5">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升，继承和发展了我国传统游学、“读万卷书、行万里路”的教育理念和人文精神，成为素质教育的新内容和新方式，聚焦提升中小学生的自理能力、创新精神和实践能力，强化实践能力和培养创新能力是提升学生核心素养，推行“五育并举”全面发展的有力抓手。但由于我国研学实践教育刚刚起步，各地研学实践教育尚处于初始阶段，存在认识不够深入、思想不够统一、实施不够规范、经验缺乏等现象，出现了“四不明确”问题，即：不明确研学基地（营地）怎么建设、不明确研学实践课程如何因地制宜特色开发、不明确研学实践如何规范组织实施、不明确研学实践如何评价、不明确学生档案如何建立、不明确如何信息化管理等，在一定程度上存在“只游不研”“只旅不学”“只学不旅”“品牌缺失”等现象。于我市而言，目前我市尚未制定研学行业的统一规范的标准体系和指导细则，研学基（营）地各自独立经营，旅行社服务水平层次不齐，研学课程主题不鲜明、研学线路设计未充分彰显梅州特色，导师服务不够规范，研学体验感不强，教育效果不够明显等乱象丛生。</w:t>
      </w:r>
    </w:p>
    <w:p w14:paraId="6B0958D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二）</w:t>
      </w:r>
      <w:r>
        <w:rPr>
          <w:rFonts w:hint="eastAsia" w:ascii="方正楷体_GBK" w:hAnsi="方正楷体_GBK" w:eastAsia="方正楷体_GBK" w:cs="方正楷体_GBK"/>
          <w:sz w:val="32"/>
          <w:szCs w:val="32"/>
        </w:rPr>
        <w:t>标准制定的目的和意义</w:t>
      </w:r>
    </w:p>
    <w:p w14:paraId="396750C5">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近年来，我国在中小学教育方面不断推进教育教学改革，强调学生实践动手能力以及综合素质的培养，为研学旅行的兴起创造了空间。2013年，《国民旅游休闲纲要（2013—2020年）》（国办发〔2013〕10号）首次提出“逐步推行中小学生研学旅行”的设想；2016年，教育部等11部门发布《关于推进中小学生研学旅行的意见》（教基一〔2016〕8号），明确指出各中小学要结合当地实际，把研学旅行纳入学校教育教学计划，与综合实践活动课程统筹考虑，促进研学旅行和学校课程有机融合；同年国家旅游局发布《研学旅行服务规范》（LB/T 054-2016），强调研学旅行的服务标准。2019年，广东省教育厅等12厅局发文《关于推进中小学生研学旅行的实施意见》（粤教思函〔2018〕71号），梅州市人民政府办公室发布《关于进一步推进全市中小学生研学教育实践活动的通知》（梅市府办〔2019〕146号），在省、市范围内推进研学实践教育活动开展。</w:t>
      </w:r>
    </w:p>
    <w:p w14:paraId="4D13A27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研学实践教育作为校本教育的课外延伸，继承和发展了我国传统游学“读万卷书、行万里路”的教育理念和人文精神，成为素质教育的新内容和新方式，聚焦提升中小学生的自理能力、创新精神和实践能力，强化实践能力和培养创新</w:t>
      </w:r>
    </w:p>
    <w:p w14:paraId="4DFC00C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能力是提升学生核心素养，推行“五育并举”全面发展的有力抓手。</w:t>
      </w:r>
    </w:p>
    <w:p w14:paraId="0EEDA1C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2020年，我市开展了第一批研学基（营）地审批工作，共评审出市级基地25家，市级营地14家，另外还有4家省级研学基地，研学实践资源丰富，民族传统文化浓厚，但受疫情因素影响，许多基（营）地的发展仍处于起步阶段，存在认识不够深入、思想不够统一、实施不够规范、经验缺乏等现象，出现地域研学实践发展的不均衡性，不能充分满足市场多元化、高质量需求。为了更好地发挥梅州本土特色特色资源优势，实现研学教育实践活动的独特育人价值，统一我市研学实践空间布局、基地建设、人员配比、设施配置、课程开发、路线设计等各项技术标准，形成规范化、科学化、制度化的标准体系，保障学生、家长、基（营）地、服务机构的权益，填补我市在研学实践教育行业标准化建设的空白，符合梅州的实际发展需求。</w:t>
      </w:r>
    </w:p>
    <w:p w14:paraId="3725AAF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因此，为推动梅州市研学实践教育的可持续、高质量发展，特制定本规范标准。</w:t>
      </w:r>
    </w:p>
    <w:p w14:paraId="4155F712">
      <w:pPr>
        <w:keepNext w:val="0"/>
        <w:keepLines w:val="0"/>
        <w:pageBreakBefore w:val="0"/>
        <w:numPr>
          <w:ilvl w:val="0"/>
          <w:numId w:val="0"/>
        </w:numPr>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kern w:val="2"/>
          <w:sz w:val="32"/>
          <w:szCs w:val="32"/>
          <w:lang w:val="en-US" w:eastAsia="zh-CN" w:bidi="ar-SA"/>
        </w:rPr>
        <w:t>三、</w:t>
      </w:r>
      <w:r>
        <w:rPr>
          <w:rFonts w:hint="eastAsia" w:ascii="方正黑体_GBK" w:hAnsi="方正黑体_GBK" w:eastAsia="方正黑体_GBK" w:cs="方正黑体_GBK"/>
          <w:sz w:val="32"/>
          <w:szCs w:val="32"/>
        </w:rPr>
        <w:t>编制思路和原则</w:t>
      </w:r>
    </w:p>
    <w:p w14:paraId="5BFC765A">
      <w:pPr>
        <w:keepNext w:val="0"/>
        <w:keepLines w:val="0"/>
        <w:pageBreakBefore w:val="0"/>
        <w:widowControl w:val="0"/>
        <w:numPr>
          <w:ilvl w:val="0"/>
          <w:numId w:val="0"/>
        </w:numPr>
        <w:kinsoku/>
        <w:wordWrap/>
        <w:overflowPunct/>
        <w:topLinePunct w:val="0"/>
        <w:autoSpaceDE/>
        <w:autoSpaceDN/>
        <w:bidi w:val="0"/>
        <w:adjustRightInd/>
        <w:snapToGrid w:val="0"/>
        <w:spacing w:line="640" w:lineRule="exact"/>
        <w:ind w:firstLine="640" w:firstLineChars="200"/>
        <w:jc w:val="both"/>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lang w:eastAsia="zh-CN"/>
        </w:rPr>
        <w:t>（</w:t>
      </w:r>
      <w:r>
        <w:rPr>
          <w:rFonts w:hint="eastAsia" w:ascii="方正楷体_GBK" w:hAnsi="方正楷体_GBK" w:eastAsia="方正楷体_GBK" w:cs="方正楷体_GBK"/>
          <w:sz w:val="32"/>
          <w:szCs w:val="32"/>
          <w:lang w:val="en-US" w:eastAsia="zh-CN"/>
        </w:rPr>
        <w:t>一）</w:t>
      </w:r>
      <w:r>
        <w:rPr>
          <w:rFonts w:hint="eastAsia" w:ascii="方正楷体_GBK" w:hAnsi="方正楷体_GBK" w:eastAsia="方正楷体_GBK" w:cs="方正楷体_GBK"/>
          <w:sz w:val="32"/>
          <w:szCs w:val="32"/>
        </w:rPr>
        <w:t>编制思路</w:t>
      </w:r>
    </w:p>
    <w:p w14:paraId="5DA1A28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1、需求分析：首先，需要对梅州市的教育资源、学生需求、教育目标等进行深入分析，明确研学实践教育的定位和目标。</w:t>
      </w:r>
    </w:p>
    <w:p w14:paraId="5C308A8D">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2、标准制定：基于需求分析的结果，结合各省市研学实践教育的先进经验，制定出一套符合当地实际情况、具有针对性和前瞻性的标准体系。</w:t>
      </w:r>
    </w:p>
    <w:p w14:paraId="42609756">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3、实践验证：在标准制定过程中，会通过试点项目、案例研究等方式，对初步形成的规范进行实践验证，确保其可行性和有效性。</w:t>
      </w:r>
    </w:p>
    <w:p w14:paraId="5A59C71B">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4、持续优化：标准制定完成后，会建立反馈机制，收集实施过程中的问题和建议，进行持续的优化和调整，以适应教育环境的变化和需求的提升。</w:t>
      </w:r>
    </w:p>
    <w:p w14:paraId="3666CCD0">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（二）编制原则</w:t>
      </w:r>
    </w:p>
    <w:p w14:paraId="7867AD9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1、教育性：研学实践教育应以教育为核心，注重知识的传授、技能的培养和价值观的塑造，确保活动具有教育意义。</w:t>
      </w:r>
    </w:p>
    <w:p w14:paraId="779FA1C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2、实践性：强调通过实际操作、现场体验等方式，让学生在实践中学习、探索，增强学习的主动性和参与度。</w:t>
      </w:r>
    </w:p>
    <w:p w14:paraId="5DE382E4">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3、安全性：确保活动过程中学生的人身安全和健康，制定详细的安全管理措施和应急处理方案。</w:t>
      </w:r>
    </w:p>
    <w:p w14:paraId="17F7AFB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4、可持续性：考虑活动的长期影响，包括对自然环境、社区关系、教育资源的可持续利用等方面，促进社会的和谐发展。</w:t>
      </w:r>
    </w:p>
    <w:p w14:paraId="6BA749D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5、公平性：确保所有学生都有参与研学实践教育的机会，不因经济、地域等因素而受到限制。</w:t>
      </w:r>
    </w:p>
    <w:p w14:paraId="566F65CA">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6、创新性：鼓励探索新的教育模式和方法，激发学生的创新思维和实践能力。</w:t>
      </w:r>
    </w:p>
    <w:p w14:paraId="277AF49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7、可操作性：制定的标准应具有明确的操作指南和评估标准，便于教育机构和教师实施和评估。</w:t>
      </w:r>
    </w:p>
    <w:p w14:paraId="1B9C5555">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通过这样的编制思路和原则，《研学实践教育规范》旨在构建一个系统、科学、高效的研学实践教育体系，为学生提供更加丰富、高质量的教育体验。</w:t>
      </w:r>
    </w:p>
    <w:p w14:paraId="7BB38977">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四、编制过程与内容的确定</w:t>
      </w:r>
    </w:p>
    <w:p w14:paraId="7F3AE29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lang w:val="en-US" w:eastAsia="zh-CN"/>
        </w:rPr>
      </w:pPr>
      <w:r>
        <w:rPr>
          <w:rFonts w:hint="eastAsia" w:ascii="方正楷体_GBK" w:hAnsi="方正楷体_GBK" w:eastAsia="方正楷体_GBK" w:cs="方正楷体_GBK"/>
          <w:sz w:val="32"/>
          <w:szCs w:val="32"/>
          <w:lang w:val="en-US" w:eastAsia="zh-CN"/>
        </w:rPr>
        <w:t>（一）编制过程</w:t>
      </w:r>
    </w:p>
    <w:p w14:paraId="02318D8C">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1、需求调研与分析：首先，需要对梅州市的教育资源、学生需求、教育目标、社会背景等进行全面调研，分析当前研学实践教育的现状、存在的问题以及未来的发展趋势。</w:t>
      </w:r>
    </w:p>
    <w:p w14:paraId="619EB0F5">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2、标准框架设计：基于调研结果，设计标准的框架结构，明确标准的层次、章节和主要内容。框架设计通常会包括总则、术语和定义、基本要求、实施指南、评价与改进等部分。</w:t>
      </w:r>
    </w:p>
    <w:p w14:paraId="3FECB88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3、草案制定：在框架设计的基础上，制定标准的初稿，包括具体的条款、要求、指标、方法等。初稿应充分考虑教育的科学性、实践的可行性、操作的便捷性以及对教育质量的提升。</w:t>
      </w:r>
    </w:p>
    <w:p w14:paraId="6C3FD23F">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4、征求意见与修改：将初稿向教育机构、学校、专家、教师、学生以及相关利益方征求意见，收集反馈意见，对标准进行修改和完善。</w:t>
      </w:r>
    </w:p>
    <w:p w14:paraId="114F5AFE">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5、专家评审：组织教育、科研、管理等相关领域的专家对标准进行评审，确保标准的技术性、科学性和合理性。</w:t>
      </w:r>
    </w:p>
    <w:p w14:paraId="35E679C3">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仿宋_GBK" w:hAnsi="方正仿宋_GBK" w:eastAsia="方正仿宋_GBK" w:cs="方正仿宋_GBK"/>
          <w:sz w:val="32"/>
          <w:szCs w:val="32"/>
          <w:lang w:val="en-US" w:eastAsia="zh-CN"/>
        </w:rPr>
      </w:pPr>
      <w:r>
        <w:rPr>
          <w:rFonts w:hint="eastAsia" w:ascii="方正仿宋_GBK" w:hAnsi="方正仿宋_GBK" w:eastAsia="方正仿宋_GBK" w:cs="方正仿宋_GBK"/>
          <w:sz w:val="32"/>
          <w:szCs w:val="32"/>
          <w:lang w:val="en-US" w:eastAsia="zh-CN"/>
        </w:rPr>
        <w:t>6、公示与实施：通过官方渠道对标准进行公示，接受社会监督。在广泛征求意见并完成必要的修改后，正式发布实施。</w:t>
      </w:r>
    </w:p>
    <w:p w14:paraId="1B4E0D82">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楷体_GBK" w:hAnsi="方正楷体_GBK" w:eastAsia="方正楷体_GBK" w:cs="方正楷体_GBK"/>
          <w:sz w:val="32"/>
          <w:szCs w:val="32"/>
          <w:highlight w:val="none"/>
          <w:lang w:val="en-US" w:eastAsia="zh-CN"/>
        </w:rPr>
      </w:pPr>
      <w:r>
        <w:rPr>
          <w:rFonts w:hint="eastAsia" w:ascii="方正楷体_GBK" w:hAnsi="方正楷体_GBK" w:eastAsia="方正楷体_GBK" w:cs="方正楷体_GBK"/>
          <w:sz w:val="32"/>
          <w:szCs w:val="32"/>
          <w:highlight w:val="none"/>
          <w:lang w:eastAsia="zh-CN"/>
        </w:rPr>
        <w:t>（</w:t>
      </w:r>
      <w:r>
        <w:rPr>
          <w:rFonts w:hint="eastAsia" w:ascii="方正楷体_GBK" w:hAnsi="方正楷体_GBK" w:eastAsia="方正楷体_GBK" w:cs="方正楷体_GBK"/>
          <w:sz w:val="32"/>
          <w:szCs w:val="32"/>
          <w:highlight w:val="none"/>
          <w:lang w:val="en-US" w:eastAsia="zh-CN"/>
        </w:rPr>
        <w:t>二）征求意见处理情况</w:t>
      </w:r>
    </w:p>
    <w:p w14:paraId="33FB2368">
      <w:pPr>
        <w:keepNext w:val="0"/>
        <w:keepLines w:val="0"/>
        <w:pageBreakBefore w:val="0"/>
        <w:kinsoku/>
        <w:wordWrap/>
        <w:overflowPunct/>
        <w:topLinePunct w:val="0"/>
        <w:autoSpaceDE/>
        <w:autoSpaceDN/>
        <w:bidi w:val="0"/>
        <w:adjustRightInd/>
        <w:snapToGrid w:val="0"/>
        <w:spacing w:line="640" w:lineRule="exact"/>
        <w:textAlignment w:val="auto"/>
        <w:rPr>
          <w:rFonts w:hint="default"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    详见征求意见汇总处理表。</w:t>
      </w:r>
    </w:p>
    <w:p w14:paraId="4A273918">
      <w:pPr>
        <w:keepNext w:val="0"/>
        <w:keepLines w:val="0"/>
        <w:pageBreakBefore w:val="0"/>
        <w:kinsoku/>
        <w:wordWrap/>
        <w:overflowPunct/>
        <w:topLinePunct w:val="0"/>
        <w:autoSpaceDE/>
        <w:autoSpaceDN/>
        <w:bidi w:val="0"/>
        <w:adjustRightInd/>
        <w:snapToGrid w:val="0"/>
        <w:spacing w:line="640" w:lineRule="exact"/>
        <w:ind w:firstLine="640" w:firstLineChars="200"/>
        <w:textAlignment w:val="auto"/>
        <w:rPr>
          <w:rFonts w:hint="eastAsia" w:ascii="方正黑体_GBK" w:hAnsi="方正黑体_GBK" w:eastAsia="方正黑体_GBK" w:cs="方正黑体_GBK"/>
          <w:sz w:val="32"/>
          <w:szCs w:val="32"/>
        </w:rPr>
      </w:pPr>
      <w:r>
        <w:rPr>
          <w:rFonts w:hint="eastAsia" w:ascii="方正黑体_GBK" w:hAnsi="方正黑体_GBK" w:eastAsia="方正黑体_GBK" w:cs="方正黑体_GBK"/>
          <w:sz w:val="32"/>
          <w:szCs w:val="32"/>
        </w:rPr>
        <w:t>五、内容说明</w:t>
      </w:r>
    </w:p>
    <w:p w14:paraId="4E8F0D5C">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（一）关于标准的适用范围</w:t>
      </w:r>
    </w:p>
    <w:p w14:paraId="6DE82B66">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kern w:val="2"/>
          <w:sz w:val="32"/>
          <w:szCs w:val="32"/>
          <w:highlight w:val="yellow"/>
          <w:lang w:val="en-US" w:eastAsia="zh-CN" w:bidi="ar-SA"/>
        </w:rPr>
      </w:pPr>
      <w:r>
        <w:rPr>
          <w:rFonts w:hint="eastAsia" w:ascii="方正仿宋_GBK" w:hAnsi="方正仿宋_GBK" w:eastAsia="方正仿宋_GBK" w:cs="方正仿宋_GBK"/>
          <w:kern w:val="2"/>
          <w:sz w:val="32"/>
          <w:szCs w:val="32"/>
          <w:highlight w:val="none"/>
          <w:lang w:val="en-US" w:eastAsia="zh-CN" w:bidi="ar-SA"/>
        </w:rPr>
        <w:t>《研学实践教育规范》第3部分适用于中小学校组织开展的研学实践教育活动。规定了研学实践教育的实施原则、行前要求、行中要求、行后要求。</w:t>
      </w:r>
    </w:p>
    <w:p w14:paraId="75633676">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kern w:val="2"/>
          <w:sz w:val="32"/>
          <w:szCs w:val="32"/>
          <w:highlight w:val="none"/>
          <w:lang w:val="en-US" w:eastAsia="zh-CN" w:bidi="ar-SA"/>
        </w:rPr>
        <w:t>（二）</w:t>
      </w:r>
      <w:r>
        <w:rPr>
          <w:rFonts w:hint="eastAsia" w:ascii="方正楷体_GBK" w:hAnsi="方正楷体_GBK" w:eastAsia="方正楷体_GBK" w:cs="方正楷体_GBK"/>
          <w:sz w:val="32"/>
          <w:szCs w:val="32"/>
          <w:highlight w:val="none"/>
        </w:rPr>
        <w:t>有关条款的说明、主要内容的确定论据（包括试验、统计数据）</w:t>
      </w:r>
    </w:p>
    <w:p w14:paraId="407DDDCF">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标准的编制具备实用性，从研学实践教育基（营）地的术语和定义，实施原则、机构要求、行前要求、行中要求、行后要求，完成框架搭建。内容结构、表述方法符合评价规范要求；标准内术语保持一致，文字描述简洁明确且无歧义, 能被使用人员所理解；所用术语与文字符号应符合国家最新技术标准。</w:t>
      </w:r>
    </w:p>
    <w:p w14:paraId="2787ABA1">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1、适用范围</w:t>
      </w:r>
    </w:p>
    <w:p w14:paraId="6D44EF18">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本文件规定了研学实践教育的实施原则、行前要求、行中要求、行后要求。</w:t>
      </w:r>
    </w:p>
    <w:p w14:paraId="74BA1D89">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本文件适用于中小学校组织开展的研学实践教育活动。</w:t>
      </w:r>
    </w:p>
    <w:p w14:paraId="523B85CF">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b/>
          <w:bCs/>
          <w:color w:val="auto"/>
          <w:sz w:val="32"/>
          <w:szCs w:val="32"/>
          <w:lang w:val="en-US" w:eastAsia="zh-CN"/>
        </w:rPr>
      </w:pPr>
      <w:r>
        <w:rPr>
          <w:rFonts w:hint="eastAsia" w:ascii="方正仿宋_GBK" w:hAnsi="方正仿宋_GBK" w:eastAsia="方正仿宋_GBK" w:cs="方正仿宋_GBK"/>
          <w:b/>
          <w:bCs/>
          <w:color w:val="auto"/>
          <w:sz w:val="32"/>
          <w:szCs w:val="32"/>
          <w:lang w:val="en-US" w:eastAsia="zh-CN"/>
        </w:rPr>
        <w:t>2、主要内容概述</w:t>
      </w:r>
    </w:p>
    <w:p w14:paraId="29BCAB7B">
      <w:pPr>
        <w:rPr>
          <w:rFonts w:hint="eastAsia" w:ascii="方正仿宋_GBK" w:hAnsi="方正仿宋_GBK" w:eastAsia="方正仿宋_GBK" w:cs="方正仿宋_GBK"/>
          <w:color w:val="auto"/>
          <w:sz w:val="32"/>
          <w:szCs w:val="32"/>
          <w:lang w:val="en-US" w:eastAsia="zh-CN"/>
        </w:rPr>
      </w:pPr>
      <w:r>
        <w:rPr>
          <w:rFonts w:hint="eastAsia" w:ascii="方正仿宋_GBK" w:hAnsi="方正仿宋_GBK" w:eastAsia="方正仿宋_GBK" w:cs="方正仿宋_GBK"/>
          <w:color w:val="auto"/>
          <w:sz w:val="32"/>
          <w:szCs w:val="32"/>
          <w:lang w:val="en-US" w:eastAsia="zh-CN"/>
        </w:rPr>
        <w:t>该标准规定了研学实践教育组织实施需遵循安全性、计划性、教育性、公益性和实践性原则，确保</w:t>
      </w:r>
      <w:r>
        <w:rPr>
          <w:rFonts w:hint="eastAsia" w:ascii="方正仿宋_GBK" w:hAnsi="方正仿宋_GBK" w:eastAsia="方正仿宋_GBK" w:cs="方正仿宋_GBK"/>
          <w:color w:val="auto"/>
          <w:sz w:val="32"/>
          <w:szCs w:val="32"/>
          <w:lang w:eastAsia="zh-CN"/>
        </w:rPr>
        <w:t>研学实践教育活动的顺利实施和效果的最大化，为学生的全面发展提供有力支持。</w:t>
      </w:r>
      <w:r>
        <w:rPr>
          <w:rFonts w:hint="eastAsia" w:ascii="方正仿宋_GBK" w:hAnsi="方正仿宋_GBK" w:eastAsia="方正仿宋_GBK" w:cs="方正仿宋_GBK"/>
          <w:color w:val="auto"/>
          <w:sz w:val="32"/>
          <w:szCs w:val="32"/>
          <w:lang w:val="en-US" w:eastAsia="zh-CN"/>
        </w:rPr>
        <w:t>营地则需具备完善的基础设施、接待能力、教育资源及专业师资，</w:t>
      </w:r>
      <w:r>
        <w:rPr>
          <w:rFonts w:hint="eastAsia" w:ascii="方正仿宋_GBK" w:hAnsi="方正仿宋_GBK" w:eastAsia="方正仿宋_GBK" w:cs="方正仿宋_GBK"/>
          <w:color w:val="auto"/>
          <w:sz w:val="32"/>
          <w:szCs w:val="32"/>
          <w:lang w:eastAsia="zh-CN"/>
        </w:rPr>
        <w:t>与服务机构、学校、家长等相关方保持密切的沟通和合作，共同推动研学实践教育活动的顺利开展。</w:t>
      </w:r>
      <w:r>
        <w:rPr>
          <w:rFonts w:hint="eastAsia" w:ascii="方正仿宋_GBK" w:hAnsi="方正仿宋_GBK" w:eastAsia="方正仿宋_GBK" w:cs="方正仿宋_GBK"/>
          <w:color w:val="auto"/>
          <w:sz w:val="32"/>
          <w:szCs w:val="32"/>
          <w:lang w:val="en-US" w:eastAsia="zh-CN"/>
        </w:rPr>
        <w:t>同时，基地与营地均需具备合法资质、良好企业形象及合作机构支持，并位于安全、适宜的区域位置。并</w:t>
      </w:r>
      <w:r>
        <w:rPr>
          <w:rFonts w:hint="eastAsia" w:ascii="方正仿宋_GBK" w:hAnsi="方正仿宋_GBK" w:eastAsia="方正仿宋_GBK" w:cs="方正仿宋_GBK"/>
          <w:color w:val="auto"/>
          <w:sz w:val="32"/>
          <w:szCs w:val="32"/>
          <w:lang w:eastAsia="zh-CN"/>
        </w:rPr>
        <w:t>建立完善的评价机制，收集反馈意见，对活动进行持续改进和优化。</w:t>
      </w:r>
    </w:p>
    <w:p w14:paraId="511AF299">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eastAsia" w:ascii="方正仿宋_GBK" w:hAnsi="方正仿宋_GBK" w:eastAsia="方正仿宋_GBK" w:cs="方正仿宋_GBK"/>
          <w:color w:val="0000FF"/>
          <w:sz w:val="32"/>
          <w:szCs w:val="32"/>
          <w:lang w:val="en-US" w:eastAsia="zh-CN"/>
        </w:rPr>
      </w:pPr>
      <w:r>
        <w:rPr>
          <w:rFonts w:hint="eastAsia" w:ascii="方正仿宋_GBK" w:hAnsi="方正仿宋_GBK" w:eastAsia="方正仿宋_GBK" w:cs="方正仿宋_GBK"/>
          <w:color w:val="auto"/>
          <w:sz w:val="32"/>
          <w:szCs w:val="32"/>
          <w:lang w:val="en-US" w:eastAsia="zh-CN"/>
        </w:rPr>
        <w:t>研学基营地方面，应做好成立研学项目工作小组、制定研学课程方案、制定研学安全细则、行前准备、行中要求、行后要求制度，以确保研学实践教育活动的顺利进行及提高学生的综合素质，培养学生的创新精神和实践能力。</w:t>
      </w:r>
    </w:p>
    <w:p w14:paraId="783C813E">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b/>
          <w:bCs/>
          <w:color w:val="auto"/>
          <w:sz w:val="32"/>
          <w:szCs w:val="32"/>
          <w:lang w:val="en-US" w:eastAsia="zh-CN"/>
        </w:rPr>
      </w:pPr>
      <w:r>
        <w:rPr>
          <w:rFonts w:hint="default" w:ascii="方正仿宋_GBK" w:hAnsi="方正仿宋_GBK" w:eastAsia="方正仿宋_GBK" w:cs="方正仿宋_GBK"/>
          <w:b/>
          <w:bCs/>
          <w:color w:val="auto"/>
          <w:sz w:val="32"/>
          <w:szCs w:val="32"/>
          <w:lang w:val="en-US" w:eastAsia="zh-CN"/>
        </w:rPr>
        <w:t>3、编制依据</w:t>
      </w:r>
    </w:p>
    <w:p w14:paraId="2F28F03C">
      <w:pPr>
        <w:keepNext w:val="0"/>
        <w:keepLines w:val="0"/>
        <w:pageBreakBefore w:val="0"/>
        <w:widowControl/>
        <w:numPr>
          <w:ilvl w:val="0"/>
          <w:numId w:val="0"/>
        </w:numPr>
        <w:kinsoku/>
        <w:wordWrap/>
        <w:overflowPunct/>
        <w:topLinePunct w:val="0"/>
        <w:autoSpaceDE/>
        <w:autoSpaceDN/>
        <w:bidi w:val="0"/>
        <w:adjustRightInd/>
        <w:spacing w:line="640" w:lineRule="exact"/>
        <w:ind w:firstLine="640"/>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本标准编制过程中参考</w:t>
      </w:r>
      <w:r>
        <w:rPr>
          <w:rFonts w:hint="eastAsia" w:ascii="方正仿宋_GBK" w:hAnsi="方正仿宋_GBK" w:eastAsia="方正仿宋_GBK" w:cs="方正仿宋_GBK"/>
          <w:color w:val="auto"/>
          <w:sz w:val="32"/>
          <w:szCs w:val="32"/>
          <w:lang w:val="en-US" w:eastAsia="zh-CN"/>
        </w:rPr>
        <w:t>引用的相关标准及技术法规</w:t>
      </w:r>
      <w:r>
        <w:rPr>
          <w:rFonts w:hint="default" w:ascii="方正仿宋_GBK" w:hAnsi="方正仿宋_GBK" w:eastAsia="方正仿宋_GBK" w:cs="方正仿宋_GBK"/>
          <w:color w:val="auto"/>
          <w:sz w:val="32"/>
          <w:szCs w:val="32"/>
          <w:lang w:val="en-US" w:eastAsia="zh-CN"/>
        </w:rPr>
        <w:t>如下：</w:t>
      </w:r>
    </w:p>
    <w:p w14:paraId="15336A7D">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26359 旅游客车设施与服务规范</w:t>
      </w:r>
    </w:p>
    <w:p w14:paraId="69E6D739">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26361 旅游餐馆设施与服务等级划分</w:t>
      </w:r>
    </w:p>
    <w:p w14:paraId="2309BF48">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31380 旅行社等级的划分与评定</w:t>
      </w:r>
    </w:p>
    <w:p w14:paraId="2DCE132B">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GB/T 31710 休闲露营地建设与服务规范</w:t>
      </w:r>
    </w:p>
    <w:p w14:paraId="22530D72">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JT/T 1134 道路客货运输驾驶员行车操作规范</w:t>
      </w:r>
    </w:p>
    <w:p w14:paraId="3F9E98F7">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002 旅游汽车服务质量</w:t>
      </w:r>
    </w:p>
    <w:p w14:paraId="2563F1B2">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004 旅行社国内旅游服务规范</w:t>
      </w:r>
    </w:p>
    <w:p w14:paraId="21C407BF">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008 旅行社服务通则</w:t>
      </w:r>
    </w:p>
    <w:p w14:paraId="7B96EC6C">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default" w:ascii="方正仿宋_GBK" w:hAnsi="方正仿宋_GBK" w:eastAsia="方正仿宋_GBK" w:cs="方正仿宋_GBK"/>
          <w:color w:val="auto"/>
          <w:sz w:val="32"/>
          <w:szCs w:val="32"/>
          <w:lang w:val="en-US" w:eastAsia="zh-CN"/>
        </w:rPr>
      </w:pPr>
      <w:r>
        <w:rPr>
          <w:rFonts w:hint="default" w:ascii="方正仿宋_GBK" w:hAnsi="方正仿宋_GBK" w:eastAsia="方正仿宋_GBK" w:cs="方正仿宋_GBK"/>
          <w:color w:val="auto"/>
          <w:sz w:val="32"/>
          <w:szCs w:val="32"/>
          <w:lang w:val="en-US" w:eastAsia="zh-CN"/>
        </w:rPr>
        <w:t>LB/T 028 旅行社安全规范</w:t>
      </w:r>
    </w:p>
    <w:p w14:paraId="62668CFE">
      <w:pPr>
        <w:keepNext w:val="0"/>
        <w:keepLines w:val="0"/>
        <w:pageBreakBefore w:val="0"/>
        <w:widowControl/>
        <w:numPr>
          <w:ilvl w:val="0"/>
          <w:numId w:val="0"/>
        </w:numPr>
        <w:kinsoku/>
        <w:wordWrap/>
        <w:overflowPunct/>
        <w:topLinePunct w:val="0"/>
        <w:autoSpaceDE/>
        <w:autoSpaceDN/>
        <w:bidi w:val="0"/>
        <w:adjustRightInd/>
        <w:spacing w:line="640" w:lineRule="exact"/>
        <w:jc w:val="both"/>
        <w:textAlignment w:val="auto"/>
        <w:rPr>
          <w:rFonts w:hint="eastAsia" w:ascii="方正仿宋_GBK" w:hAnsi="方正仿宋_GBK" w:eastAsia="方正仿宋_GBK" w:cs="方正仿宋_GBK"/>
          <w:sz w:val="32"/>
          <w:szCs w:val="32"/>
        </w:rPr>
      </w:pPr>
      <w:r>
        <w:rPr>
          <w:rFonts w:hint="default" w:ascii="方正仿宋_GBK" w:hAnsi="方正仿宋_GBK" w:eastAsia="方正仿宋_GBK" w:cs="方正仿宋_GBK"/>
          <w:color w:val="auto"/>
          <w:sz w:val="32"/>
          <w:szCs w:val="32"/>
          <w:lang w:val="en-US" w:eastAsia="zh-CN"/>
        </w:rPr>
        <w:t>LB/T 054 研学旅行服务规范</w:t>
      </w:r>
    </w:p>
    <w:p w14:paraId="66FAE9A4">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kern w:val="2"/>
          <w:sz w:val="32"/>
          <w:szCs w:val="32"/>
          <w:lang w:val="en-US" w:eastAsia="zh-CN" w:bidi="ar-SA"/>
        </w:rPr>
        <w:t>（三）</w:t>
      </w:r>
      <w:r>
        <w:rPr>
          <w:rFonts w:hint="eastAsia" w:ascii="方正楷体_GBK" w:hAnsi="方正楷体_GBK" w:eastAsia="方正楷体_GBK" w:cs="方正楷体_GBK"/>
          <w:sz w:val="32"/>
          <w:szCs w:val="32"/>
        </w:rPr>
        <w:t>与有关的现行法律、法规和强制性国家标准、行业标准、广东省地方标准及梅州市地方标准的关系</w:t>
      </w:r>
    </w:p>
    <w:p w14:paraId="32537B39">
      <w:pPr>
        <w:keepNext w:val="0"/>
        <w:keepLines w:val="0"/>
        <w:pageBreakBefore w:val="0"/>
        <w:widowControl/>
        <w:numPr>
          <w:ilvl w:val="0"/>
          <w:numId w:val="0"/>
        </w:numPr>
        <w:kinsoku/>
        <w:wordWrap/>
        <w:overflowPunct/>
        <w:topLinePunct w:val="0"/>
        <w:autoSpaceDE/>
        <w:autoSpaceDN/>
        <w:bidi w:val="0"/>
        <w:adjustRightInd/>
        <w:spacing w:line="640" w:lineRule="exact"/>
        <w:ind w:firstLine="640" w:firstLineChars="200"/>
        <w:jc w:val="both"/>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经查，国家、行业、广东省无发布类似的标准；本文件的制定是遵循《中华人民共和国标准化法》等国家相关的法律法规，结合地方实际情况制定出来的，与现行的法律、法规及政策文件无抵触。</w:t>
      </w:r>
    </w:p>
    <w:p w14:paraId="628E3295">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highlight w:val="none"/>
        </w:rPr>
      </w:pPr>
      <w:r>
        <w:rPr>
          <w:rFonts w:hint="eastAsia" w:ascii="方正楷体_GBK" w:hAnsi="方正楷体_GBK" w:eastAsia="方正楷体_GBK" w:cs="方正楷体_GBK"/>
          <w:sz w:val="32"/>
          <w:szCs w:val="32"/>
          <w:highlight w:val="none"/>
        </w:rPr>
        <w:t>（四）标准技术水平的说明（可酌情取舍）</w:t>
      </w:r>
    </w:p>
    <w:p w14:paraId="58E1222D">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color w:val="auto"/>
          <w:sz w:val="32"/>
          <w:szCs w:val="32"/>
        </w:rPr>
        <w:t>本</w:t>
      </w:r>
      <w:r>
        <w:rPr>
          <w:rFonts w:hint="eastAsia" w:ascii="方正仿宋_GBK" w:hAnsi="方正仿宋_GBK" w:eastAsia="方正仿宋_GBK" w:cs="方正仿宋_GBK"/>
          <w:color w:val="auto"/>
          <w:sz w:val="32"/>
          <w:szCs w:val="32"/>
          <w:lang w:val="en-US" w:eastAsia="zh-CN"/>
        </w:rPr>
        <w:t>标准</w:t>
      </w:r>
      <w:r>
        <w:rPr>
          <w:rFonts w:hint="eastAsia" w:ascii="方正仿宋_GBK" w:hAnsi="方正仿宋_GBK" w:eastAsia="方正仿宋_GBK" w:cs="方正仿宋_GBK"/>
          <w:color w:val="auto"/>
          <w:sz w:val="32"/>
          <w:szCs w:val="32"/>
        </w:rPr>
        <w:t>聚焦于研学</w:t>
      </w:r>
      <w:r>
        <w:rPr>
          <w:rFonts w:hint="eastAsia" w:ascii="方正仿宋_GBK" w:hAnsi="方正仿宋_GBK" w:eastAsia="方正仿宋_GBK" w:cs="方正仿宋_GBK"/>
          <w:color w:val="auto"/>
          <w:sz w:val="32"/>
          <w:szCs w:val="32"/>
          <w:lang w:val="en-US" w:eastAsia="zh-CN"/>
        </w:rPr>
        <w:t>组织实施</w:t>
      </w:r>
      <w:r>
        <w:rPr>
          <w:rFonts w:hint="eastAsia" w:ascii="方正仿宋_GBK" w:hAnsi="方正仿宋_GBK" w:eastAsia="方正仿宋_GBK" w:cs="方正仿宋_GBK"/>
          <w:color w:val="auto"/>
          <w:sz w:val="32"/>
          <w:szCs w:val="32"/>
        </w:rPr>
        <w:t>，通过</w:t>
      </w:r>
      <w:r>
        <w:rPr>
          <w:rFonts w:hint="eastAsia" w:ascii="方正仿宋_GBK" w:hAnsi="方正仿宋_GBK" w:eastAsia="方正仿宋_GBK" w:cs="方正仿宋_GBK"/>
          <w:color w:val="auto"/>
          <w:sz w:val="32"/>
          <w:szCs w:val="32"/>
          <w:lang w:eastAsia="zh-CN"/>
        </w:rPr>
        <w:t>确保安全性保障、计划性执行、资源整合与优化、师资队伍建设、学生参与与互动以及评价反馈机制等方面来确保研学实践教育的有效实施和高质量开展，促进学生的全面发展。</w:t>
      </w:r>
      <w:r>
        <w:rPr>
          <w:rFonts w:hint="eastAsia" w:ascii="方正仿宋_GBK" w:hAnsi="方正仿宋_GBK" w:eastAsia="方正仿宋_GBK" w:cs="方正仿宋_GBK"/>
          <w:color w:val="auto"/>
          <w:sz w:val="32"/>
          <w:szCs w:val="32"/>
        </w:rPr>
        <w:t>文件明确研学实践教育中的各方关系，包括教育行政部门、学校、研学实践教育基地（营地）、学生及其家长等，确保各方职责清晰，合作顺畅，共同推动研学实践教育的高质量开展。在编制过程中，广泛征求了梅州市内</w:t>
      </w:r>
      <w:r>
        <w:rPr>
          <w:rFonts w:hint="eastAsia" w:ascii="方正仿宋_GBK" w:hAnsi="方正仿宋_GBK" w:eastAsia="方正仿宋_GBK" w:cs="方正仿宋_GBK"/>
          <w:color w:val="auto"/>
          <w:sz w:val="32"/>
          <w:szCs w:val="32"/>
          <w:lang w:eastAsia="zh-CN"/>
        </w:rPr>
        <w:t>主管</w:t>
      </w:r>
      <w:r>
        <w:rPr>
          <w:rFonts w:hint="eastAsia" w:ascii="方正仿宋_GBK" w:hAnsi="方正仿宋_GBK" w:eastAsia="方正仿宋_GBK" w:cs="方正仿宋_GBK"/>
          <w:color w:val="auto"/>
          <w:sz w:val="32"/>
          <w:szCs w:val="32"/>
        </w:rPr>
        <w:t>部门、学校、研学实践教育基地（营地）、旅行社及教育专家的意见与建议，充分考量了梅州市的实际情况与特色，力求使该标准更具科学性、实用性和可操作性，为推动梅州市研学实践教育的规范化、标准化、可持续发展提供有力支撑。</w:t>
      </w:r>
    </w:p>
    <w:p w14:paraId="36930998">
      <w:pPr>
        <w:keepNext w:val="0"/>
        <w:keepLines w:val="0"/>
        <w:pageBreakBefore w:val="0"/>
        <w:widowControl/>
        <w:kinsoku/>
        <w:wordWrap/>
        <w:overflowPunct/>
        <w:topLinePunct w:val="0"/>
        <w:autoSpaceDE/>
        <w:autoSpaceDN/>
        <w:bidi w:val="0"/>
        <w:adjustRightInd/>
        <w:spacing w:line="640" w:lineRule="exact"/>
        <w:ind w:firstLine="640" w:firstLineChars="200"/>
        <w:textAlignment w:val="auto"/>
        <w:rPr>
          <w:rFonts w:hint="eastAsia" w:ascii="方正楷体_GBK" w:hAnsi="方正楷体_GBK" w:eastAsia="方正楷体_GBK" w:cs="方正楷体_GBK"/>
          <w:sz w:val="32"/>
          <w:szCs w:val="32"/>
        </w:rPr>
      </w:pPr>
      <w:r>
        <w:rPr>
          <w:rFonts w:hint="eastAsia" w:ascii="方正楷体_GBK" w:hAnsi="方正楷体_GBK" w:eastAsia="方正楷体_GBK" w:cs="方正楷体_GBK"/>
          <w:sz w:val="32"/>
          <w:szCs w:val="32"/>
        </w:rPr>
        <w:t>（五）贯彻标准的要求和措施建议</w:t>
      </w:r>
    </w:p>
    <w:p w14:paraId="1289383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需要从教育机构、教师、学生以及社会多方面入手，确保规范的有效实施，提升研学实践教育的质量和效果。</w:t>
      </w:r>
    </w:p>
    <w:p w14:paraId="68F01B0C">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1、</w:t>
      </w:r>
      <w:r>
        <w:rPr>
          <w:rFonts w:hint="eastAsia" w:ascii="方正仿宋_GBK" w:hAnsi="方正仿宋_GBK" w:eastAsia="方正仿宋_GBK" w:cs="方正仿宋_GBK"/>
          <w:b/>
          <w:bCs/>
          <w:sz w:val="32"/>
          <w:szCs w:val="32"/>
        </w:rPr>
        <w:t>教育机构层面</w:t>
      </w:r>
    </w:p>
    <w:p w14:paraId="0079E25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（1）培训与指导：定期对教师进行《研学实践教育规范》的培训，确保每一位教师都能准确理解并执行规范中的要求，提升教师在组织、实施研学活动方面的专业能力。</w:t>
      </w:r>
    </w:p>
    <w:p w14:paraId="0A327A09">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（2）资源投入：根据规范要求，合理配置资源，包括资金、设施、师资等，确保研学实践教育活动的顺利进行。</w:t>
      </w:r>
    </w:p>
    <w:p w14:paraId="6EE88390">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（3）制度建设：建立和完善内部管理制度，如研学实践教育活动的审批流程、安全应急预案、评估反馈机制等，确保活动的规范化、标准化。</w:t>
      </w:r>
    </w:p>
    <w:p w14:paraId="647649F8">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lang w:val="en-US" w:eastAsia="zh-CN"/>
        </w:rPr>
        <w:t xml:space="preserve"> 2、</w:t>
      </w:r>
      <w:r>
        <w:rPr>
          <w:rFonts w:hint="eastAsia" w:ascii="方正仿宋_GBK" w:hAnsi="方正仿宋_GBK" w:eastAsia="方正仿宋_GBK" w:cs="方正仿宋_GBK"/>
          <w:b/>
          <w:bCs/>
          <w:sz w:val="32"/>
          <w:szCs w:val="32"/>
        </w:rPr>
        <w:t>教师层面</w:t>
      </w:r>
    </w:p>
    <w:p w14:paraId="408166F3">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（1）专业发展：鼓励和支持教师参与研学实践教育相关的专业培训和研究，提升其理论知识和实践操作能力。</w:t>
      </w:r>
    </w:p>
    <w:p w14:paraId="1AEABF9E">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（2）案例分享：定期组织教师分享研学活动的成功案例和经验，促进教师之间的交流与学习。</w:t>
      </w:r>
    </w:p>
    <w:p w14:paraId="06C360F7">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（3）自我反思：鼓励教师在活动结束后进行自我反思，总结经验教训，持续改进教学方法和活动设计。</w:t>
      </w:r>
    </w:p>
    <w:p w14:paraId="729C0819">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3</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学生层面</w:t>
      </w:r>
    </w:p>
    <w:p w14:paraId="12607864">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（1）参与度提升：通过兴趣小组、社团活动等形式，激发学生参与研学实践教育活动的积极性，提高活动的参与度。</w:t>
      </w:r>
    </w:p>
    <w:p w14:paraId="2414FBDF">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（2）体验反馈：建立学生反馈机制，鼓励学生分享活动体验，收集学生意见和建议，用于改进活动设计和提升教育效果。</w:t>
      </w:r>
    </w:p>
    <w:p w14:paraId="3DC615D4">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（3）安全教育：加强对学生的安全教育，提高学生在研学实践过程中的自我保护意识和能力。</w:t>
      </w:r>
    </w:p>
    <w:p w14:paraId="5D3614E3">
      <w:pPr>
        <w:keepNext w:val="0"/>
        <w:keepLines w:val="0"/>
        <w:pageBreakBefore w:val="0"/>
        <w:kinsoku/>
        <w:wordWrap/>
        <w:overflowPunct/>
        <w:topLinePunct w:val="0"/>
        <w:autoSpaceDE/>
        <w:autoSpaceDN/>
        <w:bidi w:val="0"/>
        <w:adjustRightInd/>
        <w:spacing w:line="640" w:lineRule="exact"/>
        <w:ind w:firstLine="643" w:firstLineChars="200"/>
        <w:textAlignment w:val="auto"/>
        <w:rPr>
          <w:rFonts w:hint="eastAsia" w:ascii="方正仿宋_GBK" w:hAnsi="方正仿宋_GBK" w:eastAsia="方正仿宋_GBK" w:cs="方正仿宋_GBK"/>
          <w:b/>
          <w:bCs/>
          <w:sz w:val="32"/>
          <w:szCs w:val="32"/>
        </w:rPr>
      </w:pPr>
      <w:r>
        <w:rPr>
          <w:rFonts w:hint="eastAsia" w:ascii="方正仿宋_GBK" w:hAnsi="方正仿宋_GBK" w:eastAsia="方正仿宋_GBK" w:cs="方正仿宋_GBK"/>
          <w:b/>
          <w:bCs/>
          <w:sz w:val="32"/>
          <w:szCs w:val="32"/>
        </w:rPr>
        <w:t>4</w:t>
      </w:r>
      <w:r>
        <w:rPr>
          <w:rFonts w:hint="eastAsia" w:ascii="方正仿宋_GBK" w:hAnsi="方正仿宋_GBK" w:eastAsia="方正仿宋_GBK" w:cs="方正仿宋_GBK"/>
          <w:b/>
          <w:bCs/>
          <w:sz w:val="32"/>
          <w:szCs w:val="32"/>
          <w:lang w:eastAsia="zh-CN"/>
        </w:rPr>
        <w:t>、</w:t>
      </w:r>
      <w:r>
        <w:rPr>
          <w:rFonts w:hint="eastAsia" w:ascii="方正仿宋_GBK" w:hAnsi="方正仿宋_GBK" w:eastAsia="方正仿宋_GBK" w:cs="方正仿宋_GBK"/>
          <w:b/>
          <w:bCs/>
          <w:sz w:val="32"/>
          <w:szCs w:val="32"/>
        </w:rPr>
        <w:t>社会层面</w:t>
      </w:r>
    </w:p>
    <w:p w14:paraId="37536696">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（1）合作与支持：鼓励学校与企事业单位、博物馆、科技馆等社会资源合作，丰富研学实践教育的内容和形式，为学生提供更广阔的实践平台。</w:t>
      </w:r>
    </w:p>
    <w:p w14:paraId="3742CCAF">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（2）宣传与推广：通过媒体、网络等渠道，加大对《研学实践教育规范》的宣传力度，提高社会对研学实践教育的认识和支持。</w:t>
      </w:r>
    </w:p>
    <w:p w14:paraId="57E8D3FB">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（3）政策支持：政府和教育部门应提供政策支持，如资金补助、税收优惠等，鼓励和支持学校开展高质量的研学实践教育活动。</w:t>
      </w:r>
    </w:p>
    <w:p w14:paraId="357C2655">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通过上述措施的实施，可以有效推动梅州市《研学实践教育规范》的贯彻执行，促进研学实践教育的健康发展，提升学生综合素质和社会实践能力。</w:t>
      </w:r>
    </w:p>
    <w:p w14:paraId="0C979561">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default" w:ascii="方正仿宋_GBK" w:hAnsi="方正仿宋_GBK" w:eastAsia="方正仿宋_GBK" w:cs="方正仿宋_GBK"/>
          <w:lang w:val="en-US" w:eastAsia="zh-CN"/>
        </w:rPr>
      </w:pPr>
      <w:r>
        <w:rPr>
          <w:rFonts w:hint="eastAsia" w:ascii="方正楷体_GBK" w:hAnsi="方正楷体_GBK" w:eastAsia="方正楷体_GBK" w:cs="方正楷体_GBK"/>
          <w:sz w:val="32"/>
          <w:szCs w:val="32"/>
        </w:rPr>
        <w:t>（六）其他情况的说明</w:t>
      </w:r>
      <w:r>
        <w:rPr>
          <w:rFonts w:hint="eastAsia" w:ascii="方正楷体_GBK" w:hAnsi="方正楷体_GBK" w:eastAsia="方正楷体_GBK" w:cs="方正楷体_GBK"/>
          <w:sz w:val="32"/>
          <w:szCs w:val="32"/>
          <w:lang w:eastAsia="zh-CN"/>
        </w:rPr>
        <w:t>：</w:t>
      </w:r>
      <w:r>
        <w:rPr>
          <w:rFonts w:hint="eastAsia" w:ascii="方正仿宋_GBK" w:hAnsi="方正仿宋_GBK" w:eastAsia="方正仿宋_GBK" w:cs="方正仿宋_GBK"/>
          <w:sz w:val="32"/>
          <w:szCs w:val="32"/>
          <w:lang w:val="en-US" w:eastAsia="zh-CN"/>
        </w:rPr>
        <w:t>无</w:t>
      </w:r>
    </w:p>
    <w:p w14:paraId="7665481F">
      <w:pPr>
        <w:keepNext w:val="0"/>
        <w:keepLines w:val="0"/>
        <w:pageBreakBefore w:val="0"/>
        <w:kinsoku/>
        <w:wordWrap/>
        <w:overflowPunct/>
        <w:topLinePunct w:val="0"/>
        <w:autoSpaceDE/>
        <w:autoSpaceDN/>
        <w:bidi w:val="0"/>
        <w:adjustRightInd/>
        <w:spacing w:line="640" w:lineRule="exact"/>
        <w:textAlignment w:val="auto"/>
      </w:pPr>
      <w:bookmarkStart w:id="0" w:name="_GoBack"/>
      <w:bookmarkEnd w:id="0"/>
    </w:p>
    <w:p w14:paraId="10E38571">
      <w:pPr>
        <w:keepNext w:val="0"/>
        <w:keepLines w:val="0"/>
        <w:pageBreakBefore w:val="0"/>
        <w:kinsoku/>
        <w:wordWrap/>
        <w:overflowPunct/>
        <w:topLinePunct w:val="0"/>
        <w:autoSpaceDE/>
        <w:autoSpaceDN/>
        <w:bidi w:val="0"/>
        <w:adjustRightInd/>
        <w:spacing w:line="640" w:lineRule="exact"/>
        <w:textAlignment w:val="auto"/>
      </w:pPr>
    </w:p>
    <w:p w14:paraId="18031AB9">
      <w:pPr>
        <w:keepNext w:val="0"/>
        <w:keepLines w:val="0"/>
        <w:pageBreakBefore w:val="0"/>
        <w:kinsoku/>
        <w:wordWrap/>
        <w:overflowPunct/>
        <w:topLinePunct w:val="0"/>
        <w:autoSpaceDE/>
        <w:autoSpaceDN/>
        <w:bidi w:val="0"/>
        <w:adjustRightInd/>
        <w:spacing w:line="640" w:lineRule="exact"/>
        <w:textAlignment w:val="auto"/>
      </w:pPr>
    </w:p>
    <w:p w14:paraId="116117B4">
      <w:pPr>
        <w:keepNext w:val="0"/>
        <w:keepLines w:val="0"/>
        <w:pageBreakBefore w:val="0"/>
        <w:kinsoku/>
        <w:wordWrap/>
        <w:overflowPunct/>
        <w:topLinePunct w:val="0"/>
        <w:autoSpaceDE/>
        <w:autoSpaceDN/>
        <w:bidi w:val="0"/>
        <w:adjustRightInd/>
        <w:spacing w:line="64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《研学实践教育规范》标准编制组</w:t>
      </w:r>
    </w:p>
    <w:p w14:paraId="495CE423">
      <w:pPr>
        <w:keepNext w:val="0"/>
        <w:keepLines w:val="0"/>
        <w:pageBreakBefore w:val="0"/>
        <w:kinsoku/>
        <w:wordWrap/>
        <w:overflowPunct/>
        <w:topLinePunct w:val="0"/>
        <w:autoSpaceDE/>
        <w:autoSpaceDN/>
        <w:bidi w:val="0"/>
        <w:adjustRightInd/>
        <w:spacing w:line="640" w:lineRule="exact"/>
        <w:ind w:firstLine="640" w:firstLineChars="200"/>
        <w:jc w:val="right"/>
        <w:textAlignment w:val="auto"/>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 xml:space="preserve">  202</w:t>
      </w:r>
      <w:r>
        <w:rPr>
          <w:rFonts w:hint="eastAsia" w:ascii="方正仿宋_GBK" w:hAnsi="方正仿宋_GBK" w:cs="方正仿宋_GBK"/>
          <w:sz w:val="32"/>
          <w:szCs w:val="32"/>
          <w:lang w:val="en-US" w:eastAsia="zh-CN"/>
        </w:rPr>
        <w:t>5</w:t>
      </w:r>
      <w:r>
        <w:rPr>
          <w:rFonts w:hint="eastAsia" w:ascii="方正仿宋_GBK" w:hAnsi="方正仿宋_GBK" w:eastAsia="方正仿宋_GBK" w:cs="方正仿宋_GBK"/>
          <w:sz w:val="32"/>
          <w:szCs w:val="32"/>
        </w:rPr>
        <w:t>年</w:t>
      </w:r>
      <w:r>
        <w:rPr>
          <w:rFonts w:hint="eastAsia" w:ascii="方正仿宋_GBK" w:hAnsi="方正仿宋_GBK" w:cs="方正仿宋_GBK"/>
          <w:sz w:val="32"/>
          <w:szCs w:val="32"/>
          <w:lang w:val="en-US" w:eastAsia="zh-CN"/>
        </w:rPr>
        <w:t>1</w:t>
      </w:r>
      <w:r>
        <w:rPr>
          <w:rFonts w:hint="eastAsia" w:ascii="方正仿宋_GBK" w:hAnsi="方正仿宋_GBK" w:eastAsia="方正仿宋_GBK" w:cs="方正仿宋_GBK"/>
          <w:sz w:val="32"/>
          <w:szCs w:val="32"/>
        </w:rPr>
        <w:t>月</w:t>
      </w:r>
    </w:p>
    <w:p w14:paraId="620B3A0E">
      <w:pPr>
        <w:keepNext w:val="0"/>
        <w:keepLines w:val="0"/>
        <w:pageBreakBefore w:val="0"/>
        <w:kinsoku/>
        <w:wordWrap/>
        <w:overflowPunct/>
        <w:topLinePunct w:val="0"/>
        <w:autoSpaceDE/>
        <w:autoSpaceDN/>
        <w:bidi w:val="0"/>
        <w:adjustRightInd/>
        <w:spacing w:line="640" w:lineRule="exact"/>
        <w:ind w:firstLine="640" w:firstLineChars="200"/>
        <w:textAlignment w:val="auto"/>
        <w:rPr>
          <w:rFonts w:hint="default" w:ascii="方正仿宋_GBK" w:hAnsi="方正仿宋_GBK" w:eastAsia="方正仿宋_GBK" w:cs="方正仿宋_GBK"/>
          <w:sz w:val="32"/>
          <w:szCs w:val="32"/>
          <w:lang w:val="en-US" w:eastAsia="zh-CN"/>
        </w:rPr>
      </w:pPr>
    </w:p>
    <w:p w14:paraId="1A1D1A42">
      <w:pPr>
        <w:keepNext w:val="0"/>
        <w:keepLines w:val="0"/>
        <w:pageBreakBefore w:val="0"/>
        <w:kinsoku/>
        <w:wordWrap/>
        <w:overflowPunct/>
        <w:topLinePunct w:val="0"/>
        <w:autoSpaceDE/>
        <w:autoSpaceDN/>
        <w:bidi w:val="0"/>
        <w:adjustRightInd/>
        <w:spacing w:line="640" w:lineRule="exact"/>
        <w:textAlignment w:val="auto"/>
      </w:pPr>
    </w:p>
    <w:sectPr>
      <w:pgSz w:w="11906" w:h="16838"/>
      <w:pgMar w:top="1440" w:right="1474" w:bottom="113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Cambria">
    <w:panose1 w:val="02040503050406030204"/>
    <w:charset w:val="00"/>
    <w:family w:val="auto"/>
    <w:pitch w:val="default"/>
    <w:sig w:usb0="E00006FF" w:usb1="420024FF" w:usb2="02000000"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I2MDNiMDY4NzNmMGNlYjk3YmE4MzYyNDM4MjU0NTkifQ=="/>
  </w:docVars>
  <w:rsids>
    <w:rsidRoot w:val="7FE60210"/>
    <w:rsid w:val="00331C42"/>
    <w:rsid w:val="01D678B3"/>
    <w:rsid w:val="0CED658B"/>
    <w:rsid w:val="15921909"/>
    <w:rsid w:val="19D4467D"/>
    <w:rsid w:val="24C10FB8"/>
    <w:rsid w:val="2E215FB3"/>
    <w:rsid w:val="308C66BA"/>
    <w:rsid w:val="470417CE"/>
    <w:rsid w:val="47F22E4F"/>
    <w:rsid w:val="5B851617"/>
    <w:rsid w:val="5CC95380"/>
    <w:rsid w:val="637B4B68"/>
    <w:rsid w:val="69C53AC8"/>
    <w:rsid w:val="7756518C"/>
    <w:rsid w:val="7FE60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eastAsia="方正仿宋_GBK" w:asciiTheme="minorAscii" w:hAnsiTheme="minorAscii" w:cstheme="minorBidi"/>
      <w:kern w:val="2"/>
      <w:sz w:val="32"/>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11</Pages>
  <Words>5100</Words>
  <Characters>5219</Characters>
  <Lines>0</Lines>
  <Paragraphs>0</Paragraphs>
  <TotalTime>4</TotalTime>
  <ScaleCrop>false</ScaleCrop>
  <LinksUpToDate>false</LinksUpToDate>
  <CharactersWithSpaces>5249</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2024-07-12T10:04:00Z</dcterms:created>
  <dc:creator>小姚</dc:creator>
  <cp:lastModifiedBy>～*老牛*～</cp:lastModifiedBy>
  <dcterms:modified xsi:type="dcterms:W3CDTF">2025-01-18T01:19:44Z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39E5FE514833494EACF90C9B5C45D8F8_13</vt:lpwstr>
  </property>
  <property fmtid="{D5CDD505-2E9C-101B-9397-08002B2CF9AE}" pid="4" name="KSOTemplateDocerSaveRecord">
    <vt:lpwstr>eyJoZGlkIjoiZWE0NTBmZDEyMmU5OThlYzBjNjAwMjYyY2FkOGZlZTkiLCJ1c2VySWQiOiIzMDk3NzY0MTEifQ==</vt:lpwstr>
  </property>
</Properties>
</file>