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FC7B28">
      <w:pPr>
        <w:keepNext w:val="0"/>
        <w:keepLines w:val="0"/>
        <w:pageBreakBefore w:val="0"/>
        <w:kinsoku/>
        <w:wordWrap/>
        <w:overflowPunct/>
        <w:topLinePunct w:val="0"/>
        <w:autoSpaceDE/>
        <w:autoSpaceDN/>
        <w:bidi w:val="0"/>
        <w:adjustRightInd/>
        <w:snapToGrid w:val="0"/>
        <w:spacing w:line="560" w:lineRule="atLeast"/>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梅州市地方标准《研学实践教育规范》</w:t>
      </w:r>
    </w:p>
    <w:p w14:paraId="004089C4">
      <w:pPr>
        <w:keepNext w:val="0"/>
        <w:keepLines w:val="0"/>
        <w:pageBreakBefore w:val="0"/>
        <w:kinsoku/>
        <w:wordWrap/>
        <w:overflowPunct/>
        <w:topLinePunct w:val="0"/>
        <w:autoSpaceDE/>
        <w:autoSpaceDN/>
        <w:bidi w:val="0"/>
        <w:adjustRightInd/>
        <w:snapToGrid w:val="0"/>
        <w:spacing w:line="560" w:lineRule="atLeast"/>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第2部分：课程设置编制说明</w:t>
      </w:r>
    </w:p>
    <w:p w14:paraId="6ACA09DA">
      <w:pPr>
        <w:keepNext w:val="0"/>
        <w:keepLines w:val="0"/>
        <w:pageBreakBefore w:val="0"/>
        <w:kinsoku/>
        <w:wordWrap/>
        <w:overflowPunct/>
        <w:topLinePunct w:val="0"/>
        <w:autoSpaceDE/>
        <w:autoSpaceDN/>
        <w:bidi w:val="0"/>
        <w:adjustRightInd/>
        <w:snapToGrid w:val="0"/>
        <w:spacing w:line="560" w:lineRule="atLeast"/>
        <w:jc w:val="center"/>
        <w:textAlignment w:val="auto"/>
        <w:rPr>
          <w:rFonts w:ascii="仿宋" w:hAnsi="仿宋" w:eastAsia="仿宋"/>
          <w:sz w:val="32"/>
          <w:szCs w:val="32"/>
        </w:rPr>
      </w:pPr>
    </w:p>
    <w:p w14:paraId="34BB9963">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一、任务来源</w:t>
      </w:r>
    </w:p>
    <w:p w14:paraId="1A664BEE">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一）</w:t>
      </w:r>
      <w:r>
        <w:rPr>
          <w:rFonts w:hint="eastAsia" w:ascii="方正楷体_GBK" w:hAnsi="方正楷体_GBK" w:eastAsia="方正楷体_GBK" w:cs="方正楷体_GBK"/>
          <w:sz w:val="32"/>
          <w:szCs w:val="32"/>
        </w:rPr>
        <w:t>教育部门的规划和需求：</w:t>
      </w:r>
      <w:r>
        <w:rPr>
          <w:rFonts w:hint="eastAsia" w:ascii="方正仿宋_GBK" w:hAnsi="方正仿宋_GBK" w:eastAsia="方正仿宋_GBK" w:cs="方正仿宋_GBK"/>
          <w:sz w:val="32"/>
          <w:szCs w:val="32"/>
        </w:rPr>
        <w:t>为了提升梅州市研学实践教育的质量和规范化程度，梅州市教育局和梅州市文化广电旅游局共同提出发起制定该标准的任务，以更好地指导学校和相关机构开展研学实践活动。</w:t>
      </w:r>
    </w:p>
    <w:p w14:paraId="164F6194">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二）</w:t>
      </w:r>
      <w:r>
        <w:rPr>
          <w:rFonts w:hint="eastAsia" w:ascii="方正楷体_GBK" w:hAnsi="方正楷体_GBK" w:eastAsia="方正楷体_GBK" w:cs="方正楷体_GBK"/>
          <w:sz w:val="32"/>
          <w:szCs w:val="32"/>
        </w:rPr>
        <w:t>行业发展的推动：</w:t>
      </w:r>
      <w:r>
        <w:rPr>
          <w:rFonts w:hint="eastAsia" w:ascii="方正仿宋_GBK" w:hAnsi="方正仿宋_GBK" w:eastAsia="方正仿宋_GBK" w:cs="方正仿宋_GBK"/>
          <w:sz w:val="32"/>
          <w:szCs w:val="32"/>
        </w:rPr>
        <w:t>随着研学实践教育在梅州市的逐渐兴起和发展，行业内对于统一规范和标准的需求日益迫切。</w:t>
      </w:r>
    </w:p>
    <w:p w14:paraId="4CC8A0FA">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仿宋" w:hAnsi="仿宋" w:eastAsia="仿宋"/>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三）</w:t>
      </w:r>
      <w:r>
        <w:rPr>
          <w:rFonts w:hint="eastAsia" w:ascii="方正楷体_GBK" w:hAnsi="方正楷体_GBK" w:eastAsia="方正楷体_GBK" w:cs="方正楷体_GBK"/>
          <w:sz w:val="32"/>
          <w:szCs w:val="32"/>
        </w:rPr>
        <w:t>政策导向</w:t>
      </w:r>
      <w:r>
        <w:rPr>
          <w:rFonts w:hint="eastAsia" w:ascii="仿宋" w:hAnsi="仿宋" w:eastAsia="仿宋"/>
          <w:sz w:val="32"/>
          <w:szCs w:val="32"/>
        </w:rPr>
        <w:t>：为</w:t>
      </w:r>
      <w:r>
        <w:rPr>
          <w:rFonts w:hint="eastAsia" w:ascii="方正仿宋_GBK" w:hAnsi="方正仿宋_GBK" w:eastAsia="方正仿宋_GBK" w:cs="方正仿宋_GBK"/>
          <w:sz w:val="32"/>
          <w:szCs w:val="32"/>
        </w:rPr>
        <w:t>了响应国家或省级关于教育改革、素质教育等方面的政策要求。</w:t>
      </w:r>
    </w:p>
    <w:p w14:paraId="3A28EF32">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梅州市人民政府办公室关于《梅州市人民政府办公室关于进一步推进全市中小学生研学教育实践活动的通知》（梅市府办函〔2019〕146号）中明确：（四）规范研学教育组织管理。教育行政部门和学校要建立研学教育实践活动管理平台，制定工作规程，做到“活动有方案，行前有备案，应急有预案”。</w:t>
      </w:r>
    </w:p>
    <w:p w14:paraId="186573C7">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仿宋" w:hAnsi="仿宋" w:eastAsia="仿宋"/>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梅州市人民政府关于印发《梅州市人民政府关于印发梅州市文化广电旅游发展“十四五”规划的通知》（梅市府函〔2022〕86 号）指出：推动与教育部门合作，搭建研学旅行公共服务平台。研学旅行公共服务平台：发布基地研学课程、推荐研学旅行线路、公示学校研学活动信息等。重视研学旅行信息化管理。加强研学旅行信息统计与测评，分析评价中小学生研学旅行开展情况和成效，实现研学旅行分层级、分区域、全过程的信息化有效管理。</w:t>
      </w:r>
    </w:p>
    <w:p w14:paraId="2FCC032D">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ascii="仿宋" w:hAnsi="仿宋" w:eastAsia="仿宋"/>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四）</w:t>
      </w:r>
      <w:r>
        <w:rPr>
          <w:rFonts w:hint="eastAsia" w:ascii="方正楷体_GBK" w:hAnsi="方正楷体_GBK" w:eastAsia="方正楷体_GBK" w:cs="方正楷体_GBK"/>
          <w:sz w:val="32"/>
          <w:szCs w:val="32"/>
        </w:rPr>
        <w:t>社会关注和需求：</w:t>
      </w:r>
      <w:r>
        <w:rPr>
          <w:rFonts w:hint="eastAsia" w:ascii="方正仿宋_GBK" w:hAnsi="方正仿宋_GBK" w:eastAsia="方正仿宋_GBK" w:cs="方正仿宋_GBK"/>
          <w:sz w:val="32"/>
          <w:szCs w:val="32"/>
          <w:lang w:val="en-US" w:eastAsia="zh-CN"/>
        </w:rPr>
        <w:t>家长、学生以及社会各界对研学实践教育的效果和安全性的关注。</w:t>
      </w:r>
    </w:p>
    <w:p w14:paraId="74061F98">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二、编制背景、目的和意义</w:t>
      </w:r>
    </w:p>
    <w:p w14:paraId="6F667877">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一）</w:t>
      </w:r>
      <w:r>
        <w:rPr>
          <w:rFonts w:hint="eastAsia" w:ascii="方正楷体_GBK" w:hAnsi="方正楷体_GBK" w:eastAsia="方正楷体_GBK" w:cs="方正楷体_GBK"/>
          <w:sz w:val="32"/>
          <w:szCs w:val="32"/>
        </w:rPr>
        <w:t>标准制定产生背景</w:t>
      </w:r>
    </w:p>
    <w:p w14:paraId="0599585B">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研学实践教育作为校本教育的课外延升，继承和发展了我国传统游学、“读万卷书、行万里路”的教育理念和人文精神，成为素质教育的新内容和新方式，聚焦提升中小学生的自理能力、创新精神和实践能力，强化实践能力和培养创新能力是提升学生核心素养，推行“五育并举”全面发展的有力抓手。但由于我国研学实践教育刚刚起步，各地研学实践教育尚处于初始阶段，存在认识不够深入、思想不够统一、实施不够规范、经验缺乏等现象，出现了“四不明确”问题，即：不明确研学基地（营地）怎么建设、不明确研学实践课程如何因地制宜特色开发、不明确研学实践如何规范组织实施、不明确研学实践如何评价、不明确学生档案如何建立、不明确如何信息化管理等，在一定程度上存在“只游不研”“只旅不学”“只学不旅”“品牌缺失”等现象。于我市而言，目前我市尚未制定研学行业的统一规范的标准体系和指导细则，研学基（营）地各自独立经营，旅行社服务水平层次不齐，研学课程主题不鲜明、研学线路设计未充分彰显梅州特色，导师服务不够规范，研学体验感不强，教育效果不够明显等乱象丛生。</w:t>
      </w:r>
    </w:p>
    <w:p w14:paraId="5AC6BFCF">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二）</w:t>
      </w:r>
      <w:r>
        <w:rPr>
          <w:rFonts w:hint="eastAsia" w:ascii="方正楷体_GBK" w:hAnsi="方正楷体_GBK" w:eastAsia="方正楷体_GBK" w:cs="方正楷体_GBK"/>
          <w:sz w:val="32"/>
          <w:szCs w:val="32"/>
        </w:rPr>
        <w:t>标准制定的目的和意义</w:t>
      </w:r>
    </w:p>
    <w:p w14:paraId="4E5463E5">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近年来，我国在中小学教育方面不断推进教育教学改革，强调学生实践动手能力以及综合素质的培养，为研学旅行的兴起创造了空间。2013年，《国民旅游休闲纲要（2013—2020年）》（国办发〔2013〕10号）首次提出“逐步推行中小学生研学旅行”的设想；2016年，教育部等11部门发布《关于推进中小学生研学旅行的意见》（教基一〔2016〕8号），明确指出各中小学要结合当地实际，把研学旅行纳入学校教育教学计划，与综合实践活动课程统筹考虑，促进研学旅行和学校课程有机融合；同年国家旅游局发布《研学旅行服务规范》（LB/T 054-2016），强调研学旅行的服务标准。2019年，广东省教育厅等12厅局发文《关于推进中小学生研学旅行的实施意见》（粤教思函〔2018〕71号），梅州市人民政府办公室发布《关于进一步推进全市中小学生研学教育实践活动的通知》（梅市府办〔2019〕146号），在省、市范围内推进研学实践教育活动开展。</w:t>
      </w:r>
    </w:p>
    <w:p w14:paraId="7B6C0854">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研学实践教育作为校本教育的课外延伸，继承和发展了我国传统游学“读万卷书、行万里路”的教育理念和人文精神，成为素质教育的新内容和新方式，聚焦提升中小学生的自理能力、创新精神和实践能力，强化实践能力和培养创新</w:t>
      </w:r>
    </w:p>
    <w:p w14:paraId="3456477F">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能力是提升学生核心素养，推行“五育并举”全面发展的有力抓手。</w:t>
      </w:r>
    </w:p>
    <w:p w14:paraId="4ADA4E77">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2020年，我市开展了第一批研学基（营）地审批工作，共评审出市级基地25家，市级营地14家，另外还有4家省级研学基地，研学实践资源丰富，民族传统文化浓厚，但受疫情因素影响，许多基（营）地的发展仍处于起步阶段，存在认识不够深入、思想不够统一、实施不够规范、经验缺乏等现象，出现地域研学实践发展的不均衡性，不能充分满足市场多元化、高质量需求。为了更好地发挥梅州本土特色特色资源优势，实现研学教育实践活动的独特育人价值，统一我市研学实践空间布局、基地建设、人员配比、设施配置、课程开发、路线设计等各项技术标准，形成规范化、科学化、制度化的标准体系，保障学生、家长、基（营）地、服务机构的权益，填补我市在研学实践教育行业标准化建设的空白，符合梅州的实际发展需求。</w:t>
      </w:r>
    </w:p>
    <w:p w14:paraId="1B7B6D19">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因此，为推动梅州市研学实践教育的可持续、高质量发展，特制定本规范标准。</w:t>
      </w:r>
    </w:p>
    <w:p w14:paraId="26C96F01">
      <w:pPr>
        <w:keepNext w:val="0"/>
        <w:keepLines w:val="0"/>
        <w:pageBreakBefore w:val="0"/>
        <w:numPr>
          <w:ilvl w:val="0"/>
          <w:numId w:val="0"/>
        </w:numPr>
        <w:kinsoku/>
        <w:wordWrap/>
        <w:overflowPunct/>
        <w:topLinePunct w:val="0"/>
        <w:autoSpaceDE/>
        <w:autoSpaceDN/>
        <w:bidi w:val="0"/>
        <w:adjustRightInd/>
        <w:snapToGrid w:val="0"/>
        <w:spacing w:line="560" w:lineRule="atLeas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kern w:val="2"/>
          <w:sz w:val="32"/>
          <w:szCs w:val="32"/>
          <w:lang w:val="en-US" w:eastAsia="zh-CN" w:bidi="ar-SA"/>
        </w:rPr>
        <w:t>三、</w:t>
      </w:r>
      <w:r>
        <w:rPr>
          <w:rFonts w:hint="eastAsia" w:ascii="方正黑体_GBK" w:hAnsi="方正黑体_GBK" w:eastAsia="方正黑体_GBK" w:cs="方正黑体_GBK"/>
          <w:sz w:val="32"/>
          <w:szCs w:val="32"/>
        </w:rPr>
        <w:t>编制思路和原则</w:t>
      </w:r>
    </w:p>
    <w:p w14:paraId="6F0F64EA">
      <w:pPr>
        <w:keepNext w:val="0"/>
        <w:keepLines w:val="0"/>
        <w:pageBreakBefore w:val="0"/>
        <w:widowControl w:val="0"/>
        <w:numPr>
          <w:ilvl w:val="0"/>
          <w:numId w:val="0"/>
        </w:numPr>
        <w:kinsoku/>
        <w:wordWrap/>
        <w:overflowPunct/>
        <w:topLinePunct w:val="0"/>
        <w:autoSpaceDE/>
        <w:autoSpaceDN/>
        <w:bidi w:val="0"/>
        <w:adjustRightInd/>
        <w:snapToGrid w:val="0"/>
        <w:spacing w:line="560" w:lineRule="atLeast"/>
        <w:ind w:firstLine="640" w:firstLineChars="20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一）</w:t>
      </w:r>
      <w:r>
        <w:rPr>
          <w:rFonts w:hint="eastAsia" w:ascii="方正楷体_GBK" w:hAnsi="方正楷体_GBK" w:eastAsia="方正楷体_GBK" w:cs="方正楷体_GBK"/>
          <w:sz w:val="32"/>
          <w:szCs w:val="32"/>
        </w:rPr>
        <w:t>编制思路</w:t>
      </w:r>
    </w:p>
    <w:p w14:paraId="5166559C">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1、需求分析：首先，需要对梅州市的教育资源、学生需求、教育目标等进行深入分析，明确研学实践教育的定位和目标。</w:t>
      </w:r>
    </w:p>
    <w:p w14:paraId="6243A841">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2、标准制定：基于需求分析的结果，结合各省市研学实践教育的先进经验，制定出一套符合当地实际情况、具有针对性和前瞻性的标准体系。</w:t>
      </w:r>
    </w:p>
    <w:p w14:paraId="55B31B91">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3、实践验证：在标准制定过程中，会通过试点项目、案例研究等方式，对初步形成的规范进行实践验证，确保其可行性和有效性。</w:t>
      </w:r>
    </w:p>
    <w:p w14:paraId="0E69D1E5">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4、持续优化：标准制定完成后，会建立反馈机制，收集实施过程中的问题和建议，进行持续的优化和调整，以适应教育环境的变化和需求的提升。</w:t>
      </w:r>
    </w:p>
    <w:p w14:paraId="21E40694">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（二）编制原则</w:t>
      </w:r>
    </w:p>
    <w:p w14:paraId="75422AFE">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1、教育性：研学实践教育应以教育为核心，注重知识的传授、技能的培养和价值观的塑造，确保活动具有教育意义。</w:t>
      </w:r>
    </w:p>
    <w:p w14:paraId="43ADA556">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2、实践性：强调通过实际操作、现场体验等方式，让学生在实践中学习、探索，增强学习的主动性和参与度。</w:t>
      </w:r>
    </w:p>
    <w:p w14:paraId="05CBE356">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3、安全性：确保活动过程中学生的人身安全和健康，制定详细的安全管理措施和应急处理方案。</w:t>
      </w:r>
    </w:p>
    <w:p w14:paraId="06EFA417">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4、可持续性：考虑活动的长期影响，包括对自然环境、社区关系、教育资源的可持续利用等方面，促进社会的和谐发展。</w:t>
      </w:r>
    </w:p>
    <w:p w14:paraId="70E2D72B">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5、公平性：确保所有学生都有参与研学实践教育的机会，不因经济、地域等因素而受到限制。</w:t>
      </w:r>
    </w:p>
    <w:p w14:paraId="0C071269">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6、创新性：鼓励探索新的教育模式和方法，激发学生的创新思维和实践能力。</w:t>
      </w:r>
    </w:p>
    <w:p w14:paraId="3A848592">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7、可操作性：制定的标准应具有明确的操作指南和评估标准，便于教育机构和教师实施和评估。</w:t>
      </w:r>
    </w:p>
    <w:p w14:paraId="7C15BEFB">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通过这样的编制思路和原则，《研学实践教育规范》旨在构建一个系统、科学、高效的研学实践教育体系，为学生提供更加丰富、高质量的教育体验。</w:t>
      </w:r>
    </w:p>
    <w:p w14:paraId="0EAF58B6">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四、编制过程与内容的确定</w:t>
      </w:r>
    </w:p>
    <w:p w14:paraId="17D5DD9C">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（一）编制过程</w:t>
      </w:r>
    </w:p>
    <w:p w14:paraId="4FC8588C">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1、需求调研与分析：首先，需要对梅州市的教育资源、学生需求、教育目标、社会背景等进行全面调研，分析当前研学实践教育的现状、存在的问题以及未来的发展趋势。</w:t>
      </w:r>
    </w:p>
    <w:p w14:paraId="3581B7D1">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2、标准框架设计：基于调研结果，设计标准的框架结构，明确标准的层次、章节和主要内容。框架设计通常会包括总则、术语和定义、基本要求、实施指南、评价与改进等部分。</w:t>
      </w:r>
    </w:p>
    <w:p w14:paraId="6979A62B">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3、草案制定：在框架设计的基础上，制定标准的初稿，包括具体的条款、要求、指标、方法等。初稿应充分考虑教育的科学性、实践的可行性、操作的便捷性以及对教育质量的提升。</w:t>
      </w:r>
    </w:p>
    <w:p w14:paraId="6C09FCC8">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4、征求意见与修改：将初稿向教育机构、学校、专家、教师、学生以及相关利益方征求意见，收集反馈意见，对标准进行修改和完善。</w:t>
      </w:r>
    </w:p>
    <w:p w14:paraId="1351956D">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5、专家评审：组织教育、科研、管理等相关领域的专家对标准进行评审，确保标准的技术性、科学性和合理性。</w:t>
      </w:r>
    </w:p>
    <w:p w14:paraId="7A6BFA2F">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6、公示与实施：通过官方渠道对标准进行公示，接受社会监督。在广泛征求意见并完成必要的修改后，正式发布实施。</w:t>
      </w:r>
    </w:p>
    <w:p w14:paraId="2BFC465A">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楷体_GBK" w:hAnsi="方正楷体_GBK" w:eastAsia="方正楷体_GBK" w:cs="方正楷体_GBK"/>
          <w:sz w:val="32"/>
          <w:szCs w:val="32"/>
          <w:highlight w:val="none"/>
          <w:lang w:val="en-US" w:eastAsia="zh-CN"/>
        </w:rPr>
      </w:pPr>
      <w:r>
        <w:rPr>
          <w:rFonts w:hint="eastAsia" w:ascii="方正楷体_GBK" w:hAnsi="方正楷体_GBK" w:eastAsia="方正楷体_GBK" w:cs="方正楷体_GBK"/>
          <w:sz w:val="32"/>
          <w:szCs w:val="32"/>
          <w:highlight w:val="none"/>
          <w:lang w:eastAsia="zh-CN"/>
        </w:rPr>
        <w:t>（</w:t>
      </w:r>
      <w:r>
        <w:rPr>
          <w:rFonts w:hint="eastAsia" w:ascii="方正楷体_GBK" w:hAnsi="方正楷体_GBK" w:eastAsia="方正楷体_GBK" w:cs="方正楷体_GBK"/>
          <w:sz w:val="32"/>
          <w:szCs w:val="32"/>
          <w:highlight w:val="none"/>
          <w:lang w:val="en-US" w:eastAsia="zh-CN"/>
        </w:rPr>
        <w:t>二）征求意见处理情况</w:t>
      </w:r>
    </w:p>
    <w:p w14:paraId="6CE4845A">
      <w:pPr>
        <w:keepNext w:val="0"/>
        <w:keepLines w:val="0"/>
        <w:pageBreakBefore w:val="0"/>
        <w:kinsoku/>
        <w:wordWrap/>
        <w:overflowPunct/>
        <w:topLinePunct w:val="0"/>
        <w:autoSpaceDE/>
        <w:autoSpaceDN/>
        <w:bidi w:val="0"/>
        <w:adjustRightInd/>
        <w:snapToGrid w:val="0"/>
        <w:spacing w:line="560" w:lineRule="atLeast"/>
        <w:textAlignment w:val="auto"/>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    详见征求意见汇总处理表。</w:t>
      </w:r>
    </w:p>
    <w:p w14:paraId="4038347A">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五、内容说明</w:t>
      </w:r>
    </w:p>
    <w:p w14:paraId="64FA8320">
      <w:pPr>
        <w:keepNext w:val="0"/>
        <w:keepLines w:val="0"/>
        <w:pageBreakBefore w:val="0"/>
        <w:widowControl/>
        <w:kinsoku/>
        <w:wordWrap/>
        <w:overflowPunct/>
        <w:topLinePunct w:val="0"/>
        <w:autoSpaceDE/>
        <w:autoSpaceDN/>
        <w:bidi w:val="0"/>
        <w:adjustRightInd/>
        <w:snapToGrid w:val="0"/>
        <w:spacing w:line="560" w:lineRule="atLeas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（一）关于标准的适用范围</w:t>
      </w:r>
    </w:p>
    <w:p w14:paraId="5470C51F">
      <w:pPr>
        <w:keepNext w:val="0"/>
        <w:keepLines w:val="0"/>
        <w:pageBreakBefore w:val="0"/>
        <w:widowControl/>
        <w:numPr>
          <w:ilvl w:val="0"/>
          <w:numId w:val="0"/>
        </w:numPr>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研学实践教育规范》第2部分适用于梅州市中小学组织开展的研学实践教育活动以及各研学基（营）地课程设置体系建设。规定了研学实践教育课程的术语和定义、课程性质、课程理念、课程结构、课程目标、课程内容、课程类别及其实施建议等要求。</w:t>
      </w:r>
    </w:p>
    <w:p w14:paraId="3CD8EA80">
      <w:pPr>
        <w:keepNext w:val="0"/>
        <w:keepLines w:val="0"/>
        <w:pageBreakBefore w:val="0"/>
        <w:widowControl/>
        <w:numPr>
          <w:ilvl w:val="0"/>
          <w:numId w:val="0"/>
        </w:numPr>
        <w:kinsoku/>
        <w:wordWrap/>
        <w:overflowPunct/>
        <w:topLinePunct w:val="0"/>
        <w:autoSpaceDE/>
        <w:autoSpaceDN/>
        <w:bidi w:val="0"/>
        <w:adjustRightInd/>
        <w:snapToGrid w:val="0"/>
        <w:spacing w:line="560" w:lineRule="atLeast"/>
        <w:ind w:firstLine="640" w:firstLineChars="0"/>
        <w:jc w:val="both"/>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kern w:val="2"/>
          <w:sz w:val="32"/>
          <w:szCs w:val="32"/>
          <w:lang w:val="en-US" w:eastAsia="zh-CN" w:bidi="ar-SA"/>
        </w:rPr>
        <w:t>（二）</w:t>
      </w:r>
      <w:r>
        <w:rPr>
          <w:rFonts w:hint="eastAsia" w:ascii="方正楷体_GBK" w:hAnsi="方正楷体_GBK" w:eastAsia="方正楷体_GBK" w:cs="方正楷体_GBK"/>
          <w:sz w:val="32"/>
          <w:szCs w:val="32"/>
          <w:highlight w:val="none"/>
        </w:rPr>
        <w:t>有关条款的说明、主要内容的确定论据（包括试验、统计数据）</w:t>
      </w:r>
    </w:p>
    <w:p w14:paraId="6CA3704A">
      <w:pPr>
        <w:keepNext w:val="0"/>
        <w:keepLines w:val="0"/>
        <w:pageBreakBefore w:val="0"/>
        <w:widowControl/>
        <w:numPr>
          <w:ilvl w:val="0"/>
          <w:numId w:val="0"/>
        </w:numPr>
        <w:kinsoku/>
        <w:wordWrap/>
        <w:overflowPunct/>
        <w:topLinePunct w:val="0"/>
        <w:autoSpaceDE/>
        <w:autoSpaceDN/>
        <w:bidi w:val="0"/>
        <w:adjustRightInd/>
        <w:snapToGrid w:val="0"/>
        <w:spacing w:line="560" w:lineRule="atLeast"/>
        <w:ind w:firstLine="64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highlight w:val="none"/>
          <w:lang w:val="en-US" w:eastAsia="zh-CN"/>
        </w:rPr>
        <w:t>本标准的编制具备实</w:t>
      </w:r>
      <w:r>
        <w:rPr>
          <w:rFonts w:hint="eastAsia" w:ascii="方正仿宋_GBK" w:hAnsi="方正仿宋_GBK" w:eastAsia="方正仿宋_GBK" w:cs="方正仿宋_GBK"/>
          <w:color w:val="auto"/>
          <w:sz w:val="32"/>
          <w:szCs w:val="32"/>
          <w:lang w:val="en-US" w:eastAsia="zh-CN"/>
        </w:rPr>
        <w:t>用性，从研学实践教育课程设置的术语和定义，课程设置原则、课程设置理念、课程指导思想、课程目标的设计、课程内容与课程类别的确立、课程设置总体要求和课程实施，完成框架搭建。内容结构、表述方法符合评价规范要求；标准内术语保持一致，文字描述简洁明确且无歧义, 能被使用人员所理解；所用术语与文字符号应符合国家最新技术标准。</w:t>
      </w:r>
    </w:p>
    <w:p w14:paraId="3739E957">
      <w:pPr>
        <w:keepNext w:val="0"/>
        <w:keepLines w:val="0"/>
        <w:pageBreakBefore w:val="0"/>
        <w:widowControl/>
        <w:numPr>
          <w:ilvl w:val="0"/>
          <w:numId w:val="0"/>
        </w:numPr>
        <w:kinsoku/>
        <w:wordWrap/>
        <w:overflowPunct/>
        <w:topLinePunct w:val="0"/>
        <w:autoSpaceDE/>
        <w:autoSpaceDN/>
        <w:bidi w:val="0"/>
        <w:adjustRightInd/>
        <w:snapToGrid w:val="0"/>
        <w:spacing w:line="560" w:lineRule="atLeast"/>
        <w:ind w:firstLine="640"/>
        <w:jc w:val="both"/>
        <w:textAlignment w:val="auto"/>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1、适用范围</w:t>
      </w:r>
    </w:p>
    <w:p w14:paraId="64DA1440">
      <w:pPr>
        <w:keepNext w:val="0"/>
        <w:keepLines w:val="0"/>
        <w:pageBreakBefore w:val="0"/>
        <w:widowControl/>
        <w:numPr>
          <w:ilvl w:val="0"/>
          <w:numId w:val="0"/>
        </w:numPr>
        <w:kinsoku/>
        <w:wordWrap/>
        <w:overflowPunct/>
        <w:topLinePunct w:val="0"/>
        <w:autoSpaceDE/>
        <w:autoSpaceDN/>
        <w:bidi w:val="0"/>
        <w:adjustRightInd/>
        <w:snapToGrid w:val="0"/>
        <w:spacing w:line="560" w:lineRule="atLeast"/>
        <w:ind w:firstLine="64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本文件规定了研学实践教育课程的术语和定义、课程性质、课程理念、课程结构、课程目标、课程内容、课程类别及其实施建议等要求。</w:t>
      </w:r>
    </w:p>
    <w:p w14:paraId="6EC5F19D">
      <w:pPr>
        <w:keepNext w:val="0"/>
        <w:keepLines w:val="0"/>
        <w:pageBreakBefore w:val="0"/>
        <w:widowControl/>
        <w:numPr>
          <w:ilvl w:val="0"/>
          <w:numId w:val="0"/>
        </w:numPr>
        <w:kinsoku/>
        <w:wordWrap/>
        <w:overflowPunct/>
        <w:topLinePunct w:val="0"/>
        <w:autoSpaceDE/>
        <w:autoSpaceDN/>
        <w:bidi w:val="0"/>
        <w:adjustRightInd/>
        <w:snapToGrid w:val="0"/>
        <w:spacing w:line="560" w:lineRule="atLeast"/>
        <w:ind w:firstLine="640"/>
        <w:jc w:val="both"/>
        <w:textAlignment w:val="auto"/>
        <w:rPr>
          <w:rFonts w:hint="eastAsia" w:ascii="方正仿宋_GBK" w:hAnsi="方正仿宋_GBK" w:eastAsia="方正仿宋_GBK" w:cs="方正仿宋_GBK"/>
          <w:color w:val="0000FF"/>
          <w:sz w:val="32"/>
          <w:szCs w:val="32"/>
          <w:lang w:val="en-US" w:eastAsia="zh-CN"/>
        </w:rPr>
      </w:pPr>
      <w:r>
        <w:rPr>
          <w:rFonts w:hint="eastAsia" w:ascii="方正仿宋_GBK" w:hAnsi="方正仿宋_GBK" w:eastAsia="方正仿宋_GBK" w:cs="方正仿宋_GBK"/>
          <w:color w:val="auto"/>
          <w:sz w:val="32"/>
          <w:szCs w:val="32"/>
          <w:lang w:val="en-US" w:eastAsia="zh-CN"/>
        </w:rPr>
        <w:t>本文件适用于梅州市中小学组织开展的研学实践教育活动以及各研学基（营）地课程设置体系建设。</w:t>
      </w:r>
    </w:p>
    <w:p w14:paraId="44D431C3">
      <w:pPr>
        <w:keepNext w:val="0"/>
        <w:keepLines w:val="0"/>
        <w:pageBreakBefore w:val="0"/>
        <w:widowControl/>
        <w:numPr>
          <w:ilvl w:val="0"/>
          <w:numId w:val="0"/>
        </w:numPr>
        <w:kinsoku/>
        <w:wordWrap/>
        <w:overflowPunct/>
        <w:topLinePunct w:val="0"/>
        <w:autoSpaceDE/>
        <w:autoSpaceDN/>
        <w:bidi w:val="0"/>
        <w:adjustRightInd/>
        <w:snapToGrid w:val="0"/>
        <w:spacing w:line="560" w:lineRule="atLeast"/>
        <w:ind w:firstLine="640"/>
        <w:jc w:val="both"/>
        <w:textAlignment w:val="auto"/>
        <w:rPr>
          <w:rFonts w:hint="default"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2、主要内容概述</w:t>
      </w:r>
    </w:p>
    <w:p w14:paraId="603E8DD7">
      <w:pPr>
        <w:keepNext w:val="0"/>
        <w:keepLines w:val="0"/>
        <w:pageBreakBefore w:val="0"/>
        <w:kinsoku/>
        <w:wordWrap/>
        <w:overflowPunct/>
        <w:topLinePunct w:val="0"/>
        <w:autoSpaceDE/>
        <w:autoSpaceDN/>
        <w:bidi w:val="0"/>
        <w:snapToGrid w:val="0"/>
        <w:spacing w:line="560" w:lineRule="atLeast"/>
        <w:textAlignment w:val="auto"/>
        <w:rPr>
          <w:rFonts w:hint="eastAsia" w:ascii="方正仿宋_GBK" w:hAnsi="方正仿宋_GBK" w:eastAsia="方正仿宋_GBK" w:cs="方正仿宋_GBK"/>
          <w:color w:val="0000FF"/>
          <w:sz w:val="32"/>
          <w:szCs w:val="32"/>
          <w:lang w:val="en-US" w:eastAsia="zh-CN"/>
        </w:rPr>
      </w:pPr>
      <w:r>
        <w:rPr>
          <w:rFonts w:hint="eastAsia" w:ascii="方正仿宋_GBK" w:hAnsi="方正仿宋_GBK" w:eastAsia="方正仿宋_GBK" w:cs="方正仿宋_GBK"/>
          <w:color w:val="auto"/>
          <w:sz w:val="32"/>
          <w:szCs w:val="32"/>
          <w:lang w:val="en-US" w:eastAsia="zh-CN"/>
        </w:rPr>
        <w:t>该标准规定了研学实践教育课程设置需遵循教育性、综合性、实践性、安全性、趣味性和特色性原则，</w:t>
      </w:r>
      <w:r>
        <w:rPr>
          <w:rFonts w:hint="eastAsia" w:ascii="方正仿宋_GBK" w:hAnsi="方正仿宋_GBK" w:eastAsia="方正仿宋_GBK" w:cs="方正仿宋_GBK"/>
          <w:sz w:val="32"/>
          <w:szCs w:val="32"/>
          <w:lang w:eastAsia="zh-CN"/>
        </w:rPr>
        <w:t>确保课程内容的科学性和有效性。在课程实施方面，从行前、行中和行后三个阶段分别提出了具体的实施要求。行前阶段要求做好行前动员和准备，确保学生对研学实践教育活动有充分的了解和准备；行中阶段注重学生的参与度和体验度，通过参观体验、考察探究、社会服务等活动，让学生在实践中学习和成长；行后阶段则要求做好课程环节的交流、展示与评价，让学生充分展示研学成果，提升自信心和成就感。</w:t>
      </w:r>
      <w:r>
        <w:rPr>
          <w:rFonts w:hint="eastAsia" w:ascii="方正仿宋_GBK" w:hAnsi="方正仿宋_GBK" w:eastAsia="方正仿宋_GBK" w:cs="方正仿宋_GBK"/>
          <w:sz w:val="32"/>
          <w:szCs w:val="32"/>
          <w:lang w:val="en-US" w:eastAsia="zh-CN"/>
        </w:rPr>
        <w:t>同时，</w:t>
      </w:r>
      <w:r>
        <w:rPr>
          <w:rFonts w:hint="eastAsia" w:ascii="方正仿宋_GBK" w:hAnsi="方正仿宋_GBK" w:eastAsia="方正仿宋_GBK" w:cs="方正仿宋_GBK"/>
          <w:sz w:val="32"/>
          <w:szCs w:val="32"/>
          <w:lang w:eastAsia="zh-CN"/>
        </w:rPr>
        <w:t>还强调了研学导师在研学实践教育活动中的重要性，要求研学导师具备较强的组织协调能力和安全管理能力，能够关注学生的情感变化和成长需求，提供必要的心理支持和帮助。</w:t>
      </w:r>
    </w:p>
    <w:p w14:paraId="7FBE3213">
      <w:pPr>
        <w:keepNext w:val="0"/>
        <w:keepLines w:val="0"/>
        <w:pageBreakBefore w:val="0"/>
        <w:widowControl/>
        <w:numPr>
          <w:ilvl w:val="0"/>
          <w:numId w:val="0"/>
        </w:numPr>
        <w:kinsoku/>
        <w:wordWrap/>
        <w:overflowPunct/>
        <w:topLinePunct w:val="0"/>
        <w:autoSpaceDE/>
        <w:autoSpaceDN/>
        <w:bidi w:val="0"/>
        <w:adjustRightInd/>
        <w:snapToGrid w:val="0"/>
        <w:spacing w:line="560" w:lineRule="atLeast"/>
        <w:ind w:firstLine="640"/>
        <w:jc w:val="both"/>
        <w:textAlignment w:val="auto"/>
        <w:rPr>
          <w:rFonts w:hint="default" w:ascii="方正仿宋_GBK" w:hAnsi="方正仿宋_GBK" w:eastAsia="方正仿宋_GBK" w:cs="方正仿宋_GBK"/>
          <w:b/>
          <w:bCs/>
          <w:color w:val="auto"/>
          <w:sz w:val="32"/>
          <w:szCs w:val="32"/>
          <w:lang w:val="en-US" w:eastAsia="zh-CN"/>
        </w:rPr>
      </w:pPr>
      <w:r>
        <w:rPr>
          <w:rFonts w:hint="default" w:ascii="方正仿宋_GBK" w:hAnsi="方正仿宋_GBK" w:eastAsia="方正仿宋_GBK" w:cs="方正仿宋_GBK"/>
          <w:b/>
          <w:bCs/>
          <w:color w:val="auto"/>
          <w:sz w:val="32"/>
          <w:szCs w:val="32"/>
          <w:lang w:val="en-US" w:eastAsia="zh-CN"/>
        </w:rPr>
        <w:t>3、编制依据</w:t>
      </w:r>
    </w:p>
    <w:p w14:paraId="22D484AB">
      <w:pPr>
        <w:keepNext w:val="0"/>
        <w:keepLines w:val="0"/>
        <w:pageBreakBefore w:val="0"/>
        <w:widowControl/>
        <w:numPr>
          <w:ilvl w:val="0"/>
          <w:numId w:val="0"/>
        </w:numPr>
        <w:kinsoku/>
        <w:wordWrap/>
        <w:overflowPunct/>
        <w:topLinePunct w:val="0"/>
        <w:autoSpaceDE/>
        <w:autoSpaceDN/>
        <w:bidi w:val="0"/>
        <w:adjustRightInd/>
        <w:snapToGrid w:val="0"/>
        <w:spacing w:line="560" w:lineRule="atLeas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本标准编制过程中参考</w:t>
      </w:r>
      <w:r>
        <w:rPr>
          <w:rFonts w:hint="eastAsia" w:ascii="方正仿宋_GBK" w:hAnsi="方正仿宋_GBK" w:eastAsia="方正仿宋_GBK" w:cs="方正仿宋_GBK"/>
          <w:color w:val="auto"/>
          <w:sz w:val="32"/>
          <w:szCs w:val="32"/>
          <w:lang w:val="en-US" w:eastAsia="zh-CN"/>
        </w:rPr>
        <w:t>引用的相关标准及技术法规</w:t>
      </w:r>
      <w:r>
        <w:rPr>
          <w:rFonts w:hint="default" w:ascii="方正仿宋_GBK" w:hAnsi="方正仿宋_GBK" w:eastAsia="方正仿宋_GBK" w:cs="方正仿宋_GBK"/>
          <w:color w:val="auto"/>
          <w:sz w:val="32"/>
          <w:szCs w:val="32"/>
          <w:lang w:val="en-US" w:eastAsia="zh-CN"/>
        </w:rPr>
        <w:t>如下：</w:t>
      </w:r>
    </w:p>
    <w:p w14:paraId="2244586A">
      <w:pPr>
        <w:keepNext w:val="0"/>
        <w:keepLines w:val="0"/>
        <w:pageBreakBefore w:val="0"/>
        <w:widowControl/>
        <w:numPr>
          <w:ilvl w:val="0"/>
          <w:numId w:val="0"/>
        </w:numPr>
        <w:kinsoku/>
        <w:wordWrap/>
        <w:overflowPunct/>
        <w:topLinePunct w:val="0"/>
        <w:autoSpaceDE/>
        <w:autoSpaceDN/>
        <w:bidi w:val="0"/>
        <w:adjustRightInd/>
        <w:snapToGrid w:val="0"/>
        <w:spacing w:line="560" w:lineRule="atLeast"/>
        <w:ind w:firstLine="640" w:firstLineChars="200"/>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LB/T 054 研学旅行服务规范</w:t>
      </w:r>
    </w:p>
    <w:p w14:paraId="1DFB29AC">
      <w:pPr>
        <w:keepNext w:val="0"/>
        <w:keepLines w:val="0"/>
        <w:pageBreakBefore w:val="0"/>
        <w:widowControl/>
        <w:numPr>
          <w:ilvl w:val="0"/>
          <w:numId w:val="0"/>
        </w:numPr>
        <w:kinsoku/>
        <w:wordWrap/>
        <w:overflowPunct/>
        <w:topLinePunct w:val="0"/>
        <w:autoSpaceDE/>
        <w:autoSpaceDN/>
        <w:bidi w:val="0"/>
        <w:adjustRightInd/>
        <w:snapToGrid w:val="0"/>
        <w:spacing w:line="560" w:lineRule="atLeas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kern w:val="2"/>
          <w:sz w:val="32"/>
          <w:szCs w:val="32"/>
          <w:lang w:val="en-US" w:eastAsia="zh-CN" w:bidi="ar-SA"/>
        </w:rPr>
        <w:t>（三）</w:t>
      </w:r>
      <w:r>
        <w:rPr>
          <w:rFonts w:hint="eastAsia" w:ascii="方正楷体_GBK" w:hAnsi="方正楷体_GBK" w:eastAsia="方正楷体_GBK" w:cs="方正楷体_GBK"/>
          <w:sz w:val="32"/>
          <w:szCs w:val="32"/>
        </w:rPr>
        <w:t>与有关的现行法律、法规和强制性国家标准、行业标准、广东省地方标准及梅州市地方标准的关系</w:t>
      </w:r>
    </w:p>
    <w:p w14:paraId="0FDD83BF">
      <w:pPr>
        <w:keepNext w:val="0"/>
        <w:keepLines w:val="0"/>
        <w:pageBreakBefore w:val="0"/>
        <w:widowControl/>
        <w:numPr>
          <w:ilvl w:val="0"/>
          <w:numId w:val="0"/>
        </w:numPr>
        <w:kinsoku/>
        <w:wordWrap/>
        <w:overflowPunct/>
        <w:topLinePunct w:val="0"/>
        <w:autoSpaceDE/>
        <w:autoSpaceDN/>
        <w:bidi w:val="0"/>
        <w:adjustRightInd/>
        <w:snapToGrid w:val="0"/>
        <w:spacing w:line="560" w:lineRule="atLeast"/>
        <w:ind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经查，国家、行业、广东省无发布类似的标准；本文件的制定是遵循《中华人民共和国标准化法》等国家相关的法律法规，结合地方实际情况制定出来的，与现行的法律、法规及政策文件无抵触。</w:t>
      </w:r>
    </w:p>
    <w:p w14:paraId="75606C91">
      <w:pPr>
        <w:keepNext w:val="0"/>
        <w:keepLines w:val="0"/>
        <w:pageBreakBefore w:val="0"/>
        <w:widowControl/>
        <w:kinsoku/>
        <w:wordWrap/>
        <w:overflowPunct/>
        <w:topLinePunct w:val="0"/>
        <w:autoSpaceDE/>
        <w:autoSpaceDN/>
        <w:bidi w:val="0"/>
        <w:adjustRightInd/>
        <w:snapToGrid w:val="0"/>
        <w:spacing w:line="560" w:lineRule="atLeast"/>
        <w:ind w:firstLine="640" w:firstLineChars="20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t>（四）标准技术水平的说明（可酌情取舍）</w:t>
      </w:r>
    </w:p>
    <w:p w14:paraId="7C5F2934">
      <w:pPr>
        <w:keepNext w:val="0"/>
        <w:keepLines w:val="0"/>
        <w:pageBreakBefore w:val="0"/>
        <w:kinsoku/>
        <w:wordWrap/>
        <w:overflowPunct/>
        <w:topLinePunct w:val="0"/>
        <w:autoSpaceDE/>
        <w:autoSpaceDN/>
        <w:bidi w:val="0"/>
        <w:snapToGrid w:val="0"/>
        <w:spacing w:before="0" w:beforeLines="0" w:after="0" w:line="560" w:lineRule="atLeas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本标准聚焦于研学</w:t>
      </w:r>
      <w:r>
        <w:rPr>
          <w:rFonts w:hint="eastAsia" w:ascii="方正仿宋_GBK" w:hAnsi="方正仿宋_GBK" w:eastAsia="方正仿宋_GBK" w:cs="方正仿宋_GBK"/>
          <w:sz w:val="32"/>
          <w:szCs w:val="32"/>
          <w:lang w:val="en-US" w:eastAsia="zh-CN"/>
        </w:rPr>
        <w:t>课程设置</w:t>
      </w:r>
      <w:r>
        <w:rPr>
          <w:rFonts w:hint="eastAsia" w:ascii="方正仿宋_GBK" w:hAnsi="方正仿宋_GBK" w:eastAsia="方正仿宋_GBK" w:cs="方正仿宋_GBK"/>
          <w:sz w:val="32"/>
          <w:szCs w:val="32"/>
        </w:rPr>
        <w:t>，通过</w:t>
      </w:r>
      <w:r>
        <w:rPr>
          <w:rFonts w:hint="eastAsia" w:ascii="方正仿宋_GBK" w:hAnsi="方正仿宋_GBK" w:eastAsia="方正仿宋_GBK" w:cs="方正仿宋_GBK"/>
          <w:sz w:val="32"/>
          <w:szCs w:val="32"/>
          <w:lang w:eastAsia="zh-CN"/>
        </w:rPr>
        <w:t>明确教育目标、实现跨学科融合、注重实践性、关注学生个性化发展和建立完善的评价反馈机制等方面来确保研学实践教育的质量和效果，促进学生的全面发展。</w:t>
      </w:r>
      <w:r>
        <w:rPr>
          <w:rFonts w:hint="eastAsia" w:ascii="方正仿宋_GBK" w:hAnsi="方正仿宋_GBK" w:eastAsia="方正仿宋_GBK" w:cs="方正仿宋_GBK"/>
          <w:sz w:val="32"/>
          <w:szCs w:val="32"/>
        </w:rPr>
        <w:t>文件明确研学实践教育中的各方关系，包括教育行政部门、学校、研学实践教育基地（营地）、学生及其家长等，确保各方职责清晰，合作顺畅，共同推动研学实践教育的高质量开展。在编制过程中，广泛征求了梅州市内主管部门、学校、研学实践教育基地（营地）、旅行社及教育专家的意见与建议，充分考量了梅州市的实际情况与特色，力求使该标准更具科学性、实用性和可操作性，为推动梅州市研学实践教育的规范化、标准化、可持续发展提供有力支撑。</w:t>
      </w:r>
    </w:p>
    <w:p w14:paraId="1AD49150">
      <w:pPr>
        <w:keepNext w:val="0"/>
        <w:keepLines w:val="0"/>
        <w:pageBreakBefore w:val="0"/>
        <w:widowControl/>
        <w:kinsoku/>
        <w:wordWrap/>
        <w:overflowPunct/>
        <w:topLinePunct w:val="0"/>
        <w:autoSpaceDE/>
        <w:autoSpaceDN/>
        <w:bidi w:val="0"/>
        <w:adjustRightInd/>
        <w:snapToGrid w:val="0"/>
        <w:spacing w:line="560" w:lineRule="atLeas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（五）贯彻标准的要求和措施建议</w:t>
      </w:r>
    </w:p>
    <w:p w14:paraId="756AC46E">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需要从教育机构、教师、学生以及社会多方面入手，确保规范的有效实施，提升研学实践教育的质量和效果。</w:t>
      </w:r>
    </w:p>
    <w:p w14:paraId="6488F9DD">
      <w:pPr>
        <w:keepNext w:val="0"/>
        <w:keepLines w:val="0"/>
        <w:pageBreakBefore w:val="0"/>
        <w:kinsoku/>
        <w:wordWrap/>
        <w:overflowPunct/>
        <w:topLinePunct w:val="0"/>
        <w:autoSpaceDE/>
        <w:autoSpaceDN/>
        <w:bidi w:val="0"/>
        <w:adjustRightInd/>
        <w:snapToGrid w:val="0"/>
        <w:spacing w:line="560" w:lineRule="atLeast"/>
        <w:ind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val="en-US" w:eastAsia="zh-CN"/>
        </w:rPr>
        <w:t>1、</w:t>
      </w:r>
      <w:r>
        <w:rPr>
          <w:rFonts w:hint="eastAsia" w:ascii="方正仿宋_GBK" w:hAnsi="方正仿宋_GBK" w:eastAsia="方正仿宋_GBK" w:cs="方正仿宋_GBK"/>
          <w:b/>
          <w:bCs/>
          <w:sz w:val="32"/>
          <w:szCs w:val="32"/>
        </w:rPr>
        <w:t>教育机构层面</w:t>
      </w:r>
    </w:p>
    <w:p w14:paraId="4F759DF0">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（1）培训与指导：定期对教师进行《研学实践教育规范》的培训，确保每一位教师都能准确理解并执行规范中的要求，提升教师在组织、实施研学活动方面的专业能力。</w:t>
      </w:r>
    </w:p>
    <w:p w14:paraId="6E4D6CA9">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（2）资源投入：根据规范要求，合理配置资源，包括资金、设施、师资等，确保研学实践教育活动的顺利进行。</w:t>
      </w:r>
    </w:p>
    <w:p w14:paraId="5B982D22">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（3）制度建设：建立和完善内部管理制度，如研学实践教育活动的审批流程、安全应急预案、评估反馈机制等，确保活动的规范化、标准化。</w:t>
      </w:r>
    </w:p>
    <w:p w14:paraId="0E4FF9EC">
      <w:pPr>
        <w:keepNext w:val="0"/>
        <w:keepLines w:val="0"/>
        <w:pageBreakBefore w:val="0"/>
        <w:kinsoku/>
        <w:wordWrap/>
        <w:overflowPunct/>
        <w:topLinePunct w:val="0"/>
        <w:autoSpaceDE/>
        <w:autoSpaceDN/>
        <w:bidi w:val="0"/>
        <w:adjustRightInd/>
        <w:snapToGrid w:val="0"/>
        <w:spacing w:line="560" w:lineRule="atLeast"/>
        <w:ind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val="en-US" w:eastAsia="zh-CN"/>
        </w:rPr>
        <w:t xml:space="preserve"> 2、</w:t>
      </w:r>
      <w:r>
        <w:rPr>
          <w:rFonts w:hint="eastAsia" w:ascii="方正仿宋_GBK" w:hAnsi="方正仿宋_GBK" w:eastAsia="方正仿宋_GBK" w:cs="方正仿宋_GBK"/>
          <w:b/>
          <w:bCs/>
          <w:sz w:val="32"/>
          <w:szCs w:val="32"/>
        </w:rPr>
        <w:t>教师层面</w:t>
      </w:r>
    </w:p>
    <w:p w14:paraId="1B3D5AF3">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（1）专业发展：鼓励和支持教师参与研学实践教育相关的专业培训和研究，提升其理论知识和实践操作能力。</w:t>
      </w:r>
    </w:p>
    <w:p w14:paraId="13FF18D5">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（2）案例分享：定期组织教师分享研学活动的成功案例和经验，促进教师之间的交流与学习。</w:t>
      </w:r>
    </w:p>
    <w:p w14:paraId="5832CEB6">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（3）自我反思：鼓励教师在活动结束后进行自我反思，总结经验教训，持续改进教学方法和活动设计。</w:t>
      </w:r>
    </w:p>
    <w:p w14:paraId="40690BD2">
      <w:pPr>
        <w:keepNext w:val="0"/>
        <w:keepLines w:val="0"/>
        <w:pageBreakBefore w:val="0"/>
        <w:kinsoku/>
        <w:wordWrap/>
        <w:overflowPunct/>
        <w:topLinePunct w:val="0"/>
        <w:autoSpaceDE/>
        <w:autoSpaceDN/>
        <w:bidi w:val="0"/>
        <w:adjustRightInd/>
        <w:snapToGrid w:val="0"/>
        <w:spacing w:line="560" w:lineRule="atLeast"/>
        <w:ind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3</w:t>
      </w:r>
      <w:r>
        <w:rPr>
          <w:rFonts w:hint="eastAsia" w:ascii="方正仿宋_GBK" w:hAnsi="方正仿宋_GBK" w:eastAsia="方正仿宋_GBK" w:cs="方正仿宋_GBK"/>
          <w:b/>
          <w:bCs/>
          <w:sz w:val="32"/>
          <w:szCs w:val="32"/>
          <w:lang w:eastAsia="zh-CN"/>
        </w:rPr>
        <w:t>、</w:t>
      </w:r>
      <w:r>
        <w:rPr>
          <w:rFonts w:hint="eastAsia" w:ascii="方正仿宋_GBK" w:hAnsi="方正仿宋_GBK" w:eastAsia="方正仿宋_GBK" w:cs="方正仿宋_GBK"/>
          <w:b/>
          <w:bCs/>
          <w:sz w:val="32"/>
          <w:szCs w:val="32"/>
        </w:rPr>
        <w:t>学生层面</w:t>
      </w:r>
    </w:p>
    <w:p w14:paraId="3797DCD0">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（1）参与度提升：通过兴趣小组、社团活动等形式，激发学生参与研学实践教育活动的积极性，提高活动的参与度。</w:t>
      </w:r>
    </w:p>
    <w:p w14:paraId="1FC02FD0">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（2）体验反馈：建立学生反馈机制，鼓励学生分享活动体验，收集学生意见和建议，用于改进活动设计和提升教育效果。</w:t>
      </w:r>
    </w:p>
    <w:p w14:paraId="73F1DEBE">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（3）安全教育：加强对学生的安全教育，提高学生在研学实践过程中的自我保护意识和能力。</w:t>
      </w:r>
    </w:p>
    <w:p w14:paraId="06A468B1">
      <w:pPr>
        <w:keepNext w:val="0"/>
        <w:keepLines w:val="0"/>
        <w:pageBreakBefore w:val="0"/>
        <w:kinsoku/>
        <w:wordWrap/>
        <w:overflowPunct/>
        <w:topLinePunct w:val="0"/>
        <w:autoSpaceDE/>
        <w:autoSpaceDN/>
        <w:bidi w:val="0"/>
        <w:adjustRightInd/>
        <w:snapToGrid w:val="0"/>
        <w:spacing w:line="560" w:lineRule="atLeast"/>
        <w:ind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4</w:t>
      </w:r>
      <w:r>
        <w:rPr>
          <w:rFonts w:hint="eastAsia" w:ascii="方正仿宋_GBK" w:hAnsi="方正仿宋_GBK" w:eastAsia="方正仿宋_GBK" w:cs="方正仿宋_GBK"/>
          <w:b/>
          <w:bCs/>
          <w:sz w:val="32"/>
          <w:szCs w:val="32"/>
          <w:lang w:eastAsia="zh-CN"/>
        </w:rPr>
        <w:t>、</w:t>
      </w:r>
      <w:r>
        <w:rPr>
          <w:rFonts w:hint="eastAsia" w:ascii="方正仿宋_GBK" w:hAnsi="方正仿宋_GBK" w:eastAsia="方正仿宋_GBK" w:cs="方正仿宋_GBK"/>
          <w:b/>
          <w:bCs/>
          <w:sz w:val="32"/>
          <w:szCs w:val="32"/>
        </w:rPr>
        <w:t>社会层面</w:t>
      </w:r>
    </w:p>
    <w:p w14:paraId="3DF4F24A">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（1）合作与支持：鼓励学校与企事业单位、博物馆、科技馆等社会资源合作，丰富研学实践教育的内容和形式，为学生提供更广阔的实践平台。</w:t>
      </w:r>
    </w:p>
    <w:p w14:paraId="7925D1C4">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（2）宣传与推广：通过媒体、网络等渠道，加大对《研学实践教育规范》的宣传力度，提高社会对研学实践教育的认识和支持。</w:t>
      </w:r>
    </w:p>
    <w:p w14:paraId="045FC496">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（3）政策支持：政府和教育部门应提供政策支持，如资金补助、税收优惠等，鼓励和支持学校开展高质量的研学实践教育活动。</w:t>
      </w:r>
    </w:p>
    <w:p w14:paraId="7AEE0990">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通过上述措施的实施，可以有效推动梅州市《研学实践教育规范》的贯彻执行，促进研学实践教育的健康发展，提升学生综合素质和社会实践能力。</w:t>
      </w:r>
    </w:p>
    <w:p w14:paraId="5DCC1CDB">
      <w:pPr>
        <w:keepNext w:val="0"/>
        <w:keepLines w:val="0"/>
        <w:pageBreakBefore w:val="0"/>
        <w:kinsoku/>
        <w:wordWrap/>
        <w:overflowPunct/>
        <w:topLinePunct w:val="0"/>
        <w:autoSpaceDE/>
        <w:autoSpaceDN/>
        <w:bidi w:val="0"/>
        <w:adjustRightInd/>
        <w:snapToGrid w:val="0"/>
        <w:spacing w:line="560" w:lineRule="atLeast"/>
        <w:ind w:firstLine="640" w:firstLineChars="200"/>
        <w:textAlignment w:val="auto"/>
        <w:rPr>
          <w:rFonts w:hint="default" w:ascii="方正仿宋_GBK" w:hAnsi="方正仿宋_GBK" w:eastAsia="方正仿宋_GBK" w:cs="方正仿宋_GBK"/>
          <w:lang w:val="en-US" w:eastAsia="zh-CN"/>
        </w:rPr>
      </w:pPr>
      <w:r>
        <w:rPr>
          <w:rFonts w:hint="eastAsia" w:ascii="方正楷体_GBK" w:hAnsi="方正楷体_GBK" w:eastAsia="方正楷体_GBK" w:cs="方正楷体_GBK"/>
          <w:sz w:val="32"/>
          <w:szCs w:val="32"/>
        </w:rPr>
        <w:t>（六）其他情况的说明</w:t>
      </w:r>
      <w:r>
        <w:rPr>
          <w:rFonts w:hint="eastAsia" w:ascii="方正楷体_GBK" w:hAnsi="方正楷体_GBK" w:eastAsia="方正楷体_GBK" w:cs="方正楷体_GBK"/>
          <w:sz w:val="32"/>
          <w:szCs w:val="32"/>
          <w:lang w:eastAsia="zh-CN"/>
        </w:rPr>
        <w:t>：</w:t>
      </w:r>
      <w:r>
        <w:rPr>
          <w:rFonts w:hint="eastAsia" w:ascii="方正仿宋_GBK" w:hAnsi="方正仿宋_GBK" w:eastAsia="方正仿宋_GBK" w:cs="方正仿宋_GBK"/>
          <w:sz w:val="32"/>
          <w:szCs w:val="32"/>
          <w:lang w:val="en-US" w:eastAsia="zh-CN"/>
        </w:rPr>
        <w:t>无</w:t>
      </w:r>
    </w:p>
    <w:p w14:paraId="430D0689">
      <w:pPr>
        <w:keepNext w:val="0"/>
        <w:keepLines w:val="0"/>
        <w:pageBreakBefore w:val="0"/>
        <w:kinsoku/>
        <w:wordWrap/>
        <w:overflowPunct/>
        <w:topLinePunct w:val="0"/>
        <w:autoSpaceDE/>
        <w:autoSpaceDN/>
        <w:bidi w:val="0"/>
        <w:adjustRightInd/>
        <w:snapToGrid w:val="0"/>
        <w:spacing w:line="560" w:lineRule="atLeast"/>
        <w:textAlignment w:val="auto"/>
      </w:pPr>
    </w:p>
    <w:p w14:paraId="7032E58C">
      <w:pPr>
        <w:keepNext w:val="0"/>
        <w:keepLines w:val="0"/>
        <w:pageBreakBefore w:val="0"/>
        <w:kinsoku/>
        <w:wordWrap/>
        <w:overflowPunct/>
        <w:topLinePunct w:val="0"/>
        <w:autoSpaceDE/>
        <w:autoSpaceDN/>
        <w:bidi w:val="0"/>
        <w:adjustRightInd/>
        <w:snapToGrid w:val="0"/>
        <w:spacing w:line="560" w:lineRule="atLeast"/>
        <w:ind w:firstLine="640" w:firstLineChars="200"/>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《研学实践教育规范》标准编制组</w:t>
      </w:r>
    </w:p>
    <w:p w14:paraId="5596E649">
      <w:pPr>
        <w:keepNext w:val="0"/>
        <w:keepLines w:val="0"/>
        <w:pageBreakBefore w:val="0"/>
        <w:kinsoku/>
        <w:wordWrap/>
        <w:overflowPunct/>
        <w:topLinePunct w:val="0"/>
        <w:autoSpaceDE/>
        <w:autoSpaceDN/>
        <w:bidi w:val="0"/>
        <w:adjustRightInd/>
        <w:snapToGrid w:val="0"/>
        <w:spacing w:line="560" w:lineRule="atLeast"/>
        <w:ind w:firstLine="640" w:firstLineChars="200"/>
        <w:jc w:val="right"/>
        <w:textAlignment w:val="auto"/>
      </w:pPr>
      <w:r>
        <w:rPr>
          <w:rFonts w:hint="eastAsia" w:ascii="方正仿宋_GBK" w:hAnsi="方正仿宋_GBK" w:eastAsia="方正仿宋_GBK" w:cs="方正仿宋_GBK"/>
          <w:sz w:val="32"/>
          <w:szCs w:val="32"/>
        </w:rPr>
        <w:t xml:space="preserve">  202</w:t>
      </w: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lang w:val="en-US" w:eastAsia="zh-CN"/>
        </w:rPr>
        <w:t>1</w:t>
      </w:r>
      <w:bookmarkStart w:id="0" w:name="_GoBack"/>
      <w:bookmarkEnd w:id="0"/>
      <w:r>
        <w:rPr>
          <w:rFonts w:hint="eastAsia" w:ascii="方正仿宋_GBK" w:hAnsi="方正仿宋_GBK" w:eastAsia="方正仿宋_GBK" w:cs="方正仿宋_GBK"/>
          <w:sz w:val="32"/>
          <w:szCs w:val="32"/>
        </w:rPr>
        <w:t>月</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汉仪中宋简">
    <w:altName w:val="宋体"/>
    <w:panose1 w:val="02010600000101010101"/>
    <w:charset w:val="80"/>
    <w:family w:val="auto"/>
    <w:pitch w:val="default"/>
    <w:sig w:usb0="00000000" w:usb1="00000000" w:usb2="00000012" w:usb3="00000000" w:csb0="00020001" w:csb1="00000000"/>
  </w:font>
  <w:font w:name="汉仪小隶书简">
    <w:altName w:val="隶书"/>
    <w:panose1 w:val="02010600000101010101"/>
    <w:charset w:val="80"/>
    <w:family w:val="auto"/>
    <w:pitch w:val="default"/>
    <w:sig w:usb0="00000000" w:usb1="00000000" w:usb2="00000012" w:usb3="00000000" w:csb0="00020001" w:csb1="00000000"/>
  </w:font>
  <w:font w:name="隶书">
    <w:panose1 w:val="0201050906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5575F4"/>
    <w:multiLevelType w:val="multilevel"/>
    <w:tmpl w:val="A55575F4"/>
    <w:lvl w:ilvl="0" w:tentative="0">
      <w:start w:val="1"/>
      <w:numFmt w:val="decimal"/>
      <w:pStyle w:val="20"/>
      <w:lvlText w:val="%1."/>
      <w:lvlJc w:val="left"/>
      <w:pPr>
        <w:ind w:left="425" w:hanging="425"/>
      </w:pPr>
    </w:lvl>
    <w:lvl w:ilvl="1" w:tentative="0">
      <w:start w:val="1"/>
      <w:numFmt w:val="decimal"/>
      <w:pStyle w:val="14"/>
      <w:lvlText w:val="%1.%2."/>
      <w:lvlJc w:val="left"/>
      <w:pPr>
        <w:ind w:left="567" w:hanging="567"/>
      </w:pPr>
    </w:lvl>
    <w:lvl w:ilvl="2" w:tentative="0">
      <w:start w:val="1"/>
      <w:numFmt w:val="decimal"/>
      <w:pStyle w:val="36"/>
      <w:lvlText w:val="%1.%2.%3."/>
      <w:lvlJc w:val="left"/>
      <w:pPr>
        <w:ind w:left="709" w:hanging="709"/>
      </w:pPr>
    </w:lvl>
    <w:lvl w:ilvl="3" w:tentative="0">
      <w:start w:val="1"/>
      <w:numFmt w:val="decimal"/>
      <w:pStyle w:val="47"/>
      <w:lvlText w:val="%1.%2.%3.%4."/>
      <w:lvlJc w:val="left"/>
      <w:pPr>
        <w:ind w:left="851" w:hanging="851"/>
      </w:pPr>
    </w:lvl>
    <w:lvl w:ilvl="4" w:tentative="0">
      <w:start w:val="1"/>
      <w:numFmt w:val="decimal"/>
      <w:pStyle w:val="65"/>
      <w:lvlText w:val="%1.%2.%3.%4.%5."/>
      <w:lvlJc w:val="left"/>
      <w:pPr>
        <w:ind w:left="2552" w:hanging="992"/>
      </w:pPr>
      <w:rPr>
        <w:color w:val="auto"/>
      </w:r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
    <w:nsid w:val="B2A926D1"/>
    <w:multiLevelType w:val="singleLevel"/>
    <w:tmpl w:val="B2A926D1"/>
    <w:lvl w:ilvl="0" w:tentative="0">
      <w:start w:val="1"/>
      <w:numFmt w:val="bullet"/>
      <w:pStyle w:val="40"/>
      <w:lvlText w:val=""/>
      <w:lvlJc w:val="left"/>
      <w:pPr>
        <w:tabs>
          <w:tab w:val="left" w:pos="839"/>
        </w:tabs>
        <w:ind w:left="839" w:hanging="419"/>
      </w:pPr>
      <w:rPr>
        <w:rFonts w:hint="default" w:ascii="Wingdings" w:hAnsi="Wingdings" w:cs="Wingdings"/>
      </w:rPr>
    </w:lvl>
  </w:abstractNum>
  <w:abstractNum w:abstractNumId="2">
    <w:nsid w:val="B633667C"/>
    <w:multiLevelType w:val="multilevel"/>
    <w:tmpl w:val="B633667C"/>
    <w:lvl w:ilvl="0" w:tentative="0">
      <w:start w:val="1"/>
      <w:numFmt w:val="chineseCounting"/>
      <w:pStyle w:val="3"/>
      <w:suff w:val="nothing"/>
      <w:lvlText w:val="%1、"/>
      <w:lvlJc w:val="left"/>
      <w:pPr>
        <w:tabs>
          <w:tab w:val="left" w:pos="0"/>
        </w:tabs>
        <w:ind w:left="0" w:firstLine="0"/>
      </w:pPr>
      <w:rPr>
        <w:rFonts w:hint="eastAsia" w:ascii="汉仪小隶书简" w:hAnsi="汉仪小隶书简" w:eastAsia="汉仪小隶书简"/>
      </w:rPr>
    </w:lvl>
    <w:lvl w:ilvl="1" w:tentative="0">
      <w:start w:val="1"/>
      <w:numFmt w:val="chineseCounting"/>
      <w:pStyle w:val="4"/>
      <w:suff w:val="nothing"/>
      <w:lvlText w:val="(%2) "/>
      <w:lvlJc w:val="left"/>
      <w:pPr>
        <w:tabs>
          <w:tab w:val="left" w:pos="0"/>
        </w:tabs>
        <w:ind w:left="0" w:firstLine="403"/>
      </w:pPr>
      <w:rPr>
        <w:rFonts w:hint="eastAsia" w:ascii="汉仪小隶书简" w:hAnsi="汉仪小隶书简" w:eastAsia="汉仪小隶书简"/>
      </w:rPr>
    </w:lvl>
    <w:lvl w:ilvl="2" w:tentative="0">
      <w:start w:val="1"/>
      <w:numFmt w:val="decimal"/>
      <w:pStyle w:val="5"/>
      <w:suff w:val="nothing"/>
      <w:lvlText w:val="%3．"/>
      <w:lvlJc w:val="left"/>
      <w:pPr>
        <w:tabs>
          <w:tab w:val="left" w:pos="0"/>
        </w:tabs>
        <w:ind w:left="0" w:firstLine="400"/>
      </w:pPr>
      <w:rPr>
        <w:rFonts w:hint="eastAsia" w:ascii="汉仪小隶书简" w:hAnsi="汉仪小隶书简" w:eastAsia="汉仪小隶书简"/>
      </w:rPr>
    </w:lvl>
    <w:lvl w:ilvl="3" w:tentative="0">
      <w:start w:val="1"/>
      <w:numFmt w:val="decimal"/>
      <w:pStyle w:val="6"/>
      <w:suff w:val="nothing"/>
      <w:lvlText w:val="(%4) "/>
      <w:lvlJc w:val="left"/>
      <w:pPr>
        <w:ind w:left="0" w:firstLine="402"/>
      </w:pPr>
      <w:rPr>
        <w:rFonts w:hint="eastAsia" w:ascii="汉仪小隶书简" w:hAnsi="汉仪小隶书简" w:eastAsia="汉仪小隶书简"/>
      </w:rPr>
    </w:lvl>
    <w:lvl w:ilvl="4" w:tentative="0">
      <w:start w:val="1"/>
      <w:numFmt w:val="lowerRoman"/>
      <w:pStyle w:val="7"/>
      <w:suff w:val="nothing"/>
      <w:lvlText w:val="%5）"/>
      <w:lvlJc w:val="left"/>
      <w:pPr>
        <w:tabs>
          <w:tab w:val="left" w:pos="0"/>
        </w:tabs>
        <w:ind w:left="0" w:firstLine="402"/>
      </w:pPr>
      <w:rPr>
        <w:rFonts w:hint="eastAsia" w:ascii="汉仪小隶书简" w:hAnsi="汉仪小隶书简" w:eastAsia="汉仪小隶书简"/>
      </w:rPr>
    </w:lvl>
    <w:lvl w:ilvl="5" w:tentative="0">
      <w:start w:val="1"/>
      <w:numFmt w:val="decimal"/>
      <w:pStyle w:val="8"/>
      <w:suff w:val="nothing"/>
      <w:lvlText w:val="%6) "/>
      <w:lvlJc w:val="left"/>
      <w:pPr>
        <w:tabs>
          <w:tab w:val="left" w:pos="0"/>
        </w:tabs>
        <w:ind w:left="0" w:firstLine="402"/>
      </w:pPr>
      <w:rPr>
        <w:rFonts w:hint="eastAsia" w:ascii="汉仪小隶书简" w:hAnsi="汉仪小隶书简" w:eastAsia="汉仪小隶书简"/>
      </w:rPr>
    </w:lvl>
    <w:lvl w:ilvl="6" w:tentative="0">
      <w:start w:val="1"/>
      <w:numFmt w:val="lowerLetter"/>
      <w:pStyle w:val="9"/>
      <w:suff w:val="nothing"/>
      <w:lvlText w:val="%7．"/>
      <w:lvlJc w:val="left"/>
      <w:pPr>
        <w:ind w:left="0" w:firstLine="402"/>
      </w:pPr>
      <w:rPr>
        <w:rFonts w:hint="eastAsia" w:ascii="汉仪小隶书简" w:hAnsi="汉仪小隶书简" w:eastAsia="汉仪小隶书简"/>
      </w:rPr>
    </w:lvl>
    <w:lvl w:ilvl="7" w:tentative="0">
      <w:start w:val="1"/>
      <w:numFmt w:val="lowerLetter"/>
      <w:pStyle w:val="10"/>
      <w:suff w:val="nothing"/>
      <w:lvlText w:val="%8）"/>
      <w:lvlJc w:val="left"/>
      <w:pPr>
        <w:ind w:left="0" w:firstLine="402"/>
      </w:pPr>
      <w:rPr>
        <w:rFonts w:hint="eastAsia" w:ascii="汉仪小隶书简" w:hAnsi="汉仪小隶书简" w:eastAsia="汉仪小隶书简"/>
      </w:rPr>
    </w:lvl>
    <w:lvl w:ilvl="8" w:tentative="0">
      <w:start w:val="1"/>
      <w:numFmt w:val="lowerRoman"/>
      <w:pStyle w:val="11"/>
      <w:suff w:val="nothing"/>
      <w:lvlText w:val="%9  "/>
      <w:lvlJc w:val="left"/>
      <w:pPr>
        <w:ind w:left="0" w:firstLine="402"/>
      </w:pPr>
      <w:rPr>
        <w:rFonts w:hint="eastAsia" w:ascii="汉仪小隶书简" w:hAnsi="汉仪小隶书简" w:eastAsia="汉仪小隶书简"/>
      </w:rPr>
    </w:lvl>
  </w:abstractNum>
  <w:abstractNum w:abstractNumId="3">
    <w:nsid w:val="C58435B6"/>
    <w:multiLevelType w:val="singleLevel"/>
    <w:tmpl w:val="C58435B6"/>
    <w:lvl w:ilvl="0" w:tentative="0">
      <w:start w:val="1"/>
      <w:numFmt w:val="bullet"/>
      <w:pStyle w:val="24"/>
      <w:lvlText w:val=""/>
      <w:lvlJc w:val="left"/>
      <w:pPr>
        <w:ind w:left="420" w:firstLine="0"/>
      </w:pPr>
      <w:rPr>
        <w:rFonts w:hint="default" w:ascii="Wingdings" w:hAnsi="Wingdings"/>
      </w:rPr>
    </w:lvl>
  </w:abstractNum>
  <w:abstractNum w:abstractNumId="4">
    <w:nsid w:val="E482BA5D"/>
    <w:multiLevelType w:val="singleLevel"/>
    <w:tmpl w:val="E482BA5D"/>
    <w:lvl w:ilvl="0" w:tentative="0">
      <w:start w:val="1"/>
      <w:numFmt w:val="bullet"/>
      <w:pStyle w:val="46"/>
      <w:lvlText w:val=""/>
      <w:lvlJc w:val="left"/>
      <w:pPr>
        <w:tabs>
          <w:tab w:val="left" w:pos="2098"/>
        </w:tabs>
        <w:ind w:left="2098" w:hanging="1678"/>
      </w:pPr>
      <w:rPr>
        <w:rFonts w:hint="default" w:ascii="Wingdings" w:hAnsi="Wingdings"/>
      </w:rPr>
    </w:lvl>
  </w:abstractNum>
  <w:abstractNum w:abstractNumId="5">
    <w:nsid w:val="FEEA93E5"/>
    <w:multiLevelType w:val="singleLevel"/>
    <w:tmpl w:val="FEEA93E5"/>
    <w:lvl w:ilvl="0" w:tentative="0">
      <w:start w:val="1"/>
      <w:numFmt w:val="bullet"/>
      <w:pStyle w:val="17"/>
      <w:lvlText w:val=""/>
      <w:lvlJc w:val="left"/>
      <w:pPr>
        <w:tabs>
          <w:tab w:val="left" w:pos="1678"/>
        </w:tabs>
        <w:ind w:left="1678" w:hanging="1258"/>
      </w:pPr>
      <w:rPr>
        <w:rFonts w:hint="default" w:ascii="Wingdings" w:hAnsi="Wingdings"/>
      </w:rPr>
    </w:lvl>
  </w:abstractNum>
  <w:abstractNum w:abstractNumId="6">
    <w:nsid w:val="28D3E4A0"/>
    <w:multiLevelType w:val="singleLevel"/>
    <w:tmpl w:val="28D3E4A0"/>
    <w:lvl w:ilvl="0" w:tentative="0">
      <w:start w:val="1"/>
      <w:numFmt w:val="bullet"/>
      <w:pStyle w:val="33"/>
      <w:lvlText w:val=""/>
      <w:lvlJc w:val="left"/>
      <w:pPr>
        <w:tabs>
          <w:tab w:val="left" w:pos="1259"/>
        </w:tabs>
        <w:ind w:left="1259" w:hanging="839"/>
      </w:pPr>
      <w:rPr>
        <w:rFonts w:hint="default" w:ascii="Wingdings" w:hAnsi="Wingdings"/>
      </w:rPr>
    </w:lvl>
  </w:abstractNum>
  <w:num w:numId="1">
    <w:abstractNumId w:val="2"/>
  </w:num>
  <w:num w:numId="2">
    <w:abstractNumId w:val="0"/>
  </w:num>
  <w:num w:numId="3">
    <w:abstractNumId w:val="5"/>
  </w:num>
  <w:num w:numId="4">
    <w:abstractNumId w:val="3"/>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2MDNiMDY4NzNmMGNlYjk3YmE4MzYyNDM4MjU0NTkifQ=="/>
  </w:docVars>
  <w:rsids>
    <w:rsidRoot w:val="5C245C12"/>
    <w:rsid w:val="0856614C"/>
    <w:rsid w:val="09605EF5"/>
    <w:rsid w:val="0FB84D5A"/>
    <w:rsid w:val="34DA3707"/>
    <w:rsid w:val="3D233FF3"/>
    <w:rsid w:val="44EE3756"/>
    <w:rsid w:val="47727F60"/>
    <w:rsid w:val="4D741289"/>
    <w:rsid w:val="58DA3BB7"/>
    <w:rsid w:val="5C245C12"/>
    <w:rsid w:val="67732310"/>
    <w:rsid w:val="6D6976F6"/>
    <w:rsid w:val="6F4212B1"/>
    <w:rsid w:val="77D95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before="93" w:beforeLines="30" w:after="156" w:line="360" w:lineRule="auto"/>
      <w:jc w:val="both"/>
    </w:pPr>
    <w:rPr>
      <w:rFonts w:ascii="汉仪中宋简" w:hAnsi="汉仪中宋简" w:eastAsia="汉仪中宋简" w:cstheme="minorBidi"/>
      <w:kern w:val="2"/>
      <w:sz w:val="24"/>
      <w:szCs w:val="24"/>
      <w:lang w:val="en-US" w:eastAsia="zh-CN" w:bidi="ar-SA"/>
    </w:rPr>
  </w:style>
  <w:style w:type="paragraph" w:styleId="3">
    <w:name w:val="heading 1"/>
    <w:next w:val="1"/>
    <w:qFormat/>
    <w:uiPriority w:val="9"/>
    <w:pPr>
      <w:keepNext/>
      <w:keepLines/>
      <w:numPr>
        <w:ilvl w:val="0"/>
        <w:numId w:val="1"/>
      </w:numPr>
      <w:adjustRightInd w:val="0"/>
      <w:snapToGrid w:val="0"/>
      <w:spacing w:before="50" w:beforeLines="50" w:line="264" w:lineRule="auto"/>
      <w:outlineLvl w:val="0"/>
    </w:pPr>
    <w:rPr>
      <w:rFonts w:ascii="汉仪小隶书简" w:hAnsi="汉仪小隶书简" w:eastAsia="汉仪小隶书简" w:cstheme="minorBidi"/>
      <w:b/>
      <w:bCs/>
      <w:kern w:val="44"/>
      <w:sz w:val="40"/>
      <w:szCs w:val="40"/>
      <w:lang w:val="en-US" w:eastAsia="zh-CN" w:bidi="ar-SA"/>
    </w:rPr>
  </w:style>
  <w:style w:type="paragraph" w:styleId="4">
    <w:name w:val="heading 2"/>
    <w:next w:val="1"/>
    <w:unhideWhenUsed/>
    <w:qFormat/>
    <w:uiPriority w:val="9"/>
    <w:pPr>
      <w:numPr>
        <w:ilvl w:val="1"/>
        <w:numId w:val="1"/>
      </w:numPr>
      <w:adjustRightInd w:val="0"/>
      <w:snapToGrid w:val="0"/>
      <w:spacing w:before="50" w:beforeLines="50" w:line="264" w:lineRule="auto"/>
      <w:ind w:firstLine="0"/>
      <w:outlineLvl w:val="1"/>
    </w:pPr>
    <w:rPr>
      <w:rFonts w:ascii="汉仪小隶书简" w:hAnsi="汉仪小隶书简" w:eastAsia="汉仪小隶书简" w:cstheme="minorBidi"/>
      <w:b/>
      <w:bCs/>
      <w:kern w:val="2"/>
      <w:sz w:val="36"/>
      <w:szCs w:val="36"/>
      <w:lang w:val="en-US" w:eastAsia="zh-CN" w:bidi="ar-SA"/>
    </w:rPr>
  </w:style>
  <w:style w:type="paragraph" w:styleId="5">
    <w:name w:val="heading 3"/>
    <w:next w:val="1"/>
    <w:unhideWhenUsed/>
    <w:qFormat/>
    <w:uiPriority w:val="9"/>
    <w:pPr>
      <w:numPr>
        <w:ilvl w:val="2"/>
        <w:numId w:val="1"/>
      </w:numPr>
      <w:adjustRightInd w:val="0"/>
      <w:snapToGrid w:val="0"/>
      <w:spacing w:before="50" w:beforeLines="50" w:line="264" w:lineRule="auto"/>
      <w:ind w:firstLine="0"/>
      <w:outlineLvl w:val="2"/>
    </w:pPr>
    <w:rPr>
      <w:rFonts w:ascii="汉仪小隶书简" w:hAnsi="汉仪小隶书简" w:eastAsia="汉仪小隶书简" w:cstheme="minorBidi"/>
      <w:b/>
      <w:bCs/>
      <w:kern w:val="2"/>
      <w:sz w:val="32"/>
      <w:szCs w:val="32"/>
      <w:lang w:val="en-US" w:eastAsia="zh-CN" w:bidi="ar-SA"/>
    </w:rPr>
  </w:style>
  <w:style w:type="paragraph" w:styleId="6">
    <w:name w:val="heading 4"/>
    <w:next w:val="1"/>
    <w:unhideWhenUsed/>
    <w:qFormat/>
    <w:uiPriority w:val="9"/>
    <w:pPr>
      <w:numPr>
        <w:ilvl w:val="3"/>
        <w:numId w:val="1"/>
      </w:numPr>
      <w:adjustRightInd w:val="0"/>
      <w:snapToGrid w:val="0"/>
      <w:spacing w:before="50" w:beforeLines="50" w:line="264" w:lineRule="auto"/>
      <w:ind w:firstLine="0"/>
      <w:outlineLvl w:val="3"/>
    </w:pPr>
    <w:rPr>
      <w:rFonts w:ascii="汉仪小隶书简" w:hAnsi="汉仪小隶书简" w:eastAsia="汉仪小隶书简" w:cstheme="minorBidi"/>
      <w:b/>
      <w:bCs/>
      <w:sz w:val="28"/>
      <w:szCs w:val="28"/>
      <w:lang w:val="en-US" w:eastAsia="zh-CN" w:bidi="ar-SA"/>
    </w:rPr>
  </w:style>
  <w:style w:type="paragraph" w:styleId="7">
    <w:name w:val="heading 5"/>
    <w:next w:val="1"/>
    <w:unhideWhenUsed/>
    <w:qFormat/>
    <w:uiPriority w:val="9"/>
    <w:pPr>
      <w:numPr>
        <w:ilvl w:val="4"/>
        <w:numId w:val="1"/>
      </w:numPr>
      <w:tabs>
        <w:tab w:val="left" w:pos="312"/>
        <w:tab w:val="clear" w:pos="0"/>
      </w:tabs>
      <w:adjustRightInd w:val="0"/>
      <w:snapToGrid w:val="0"/>
      <w:spacing w:before="50" w:beforeLines="50" w:line="264" w:lineRule="auto"/>
      <w:ind w:firstLine="0"/>
      <w:outlineLvl w:val="4"/>
    </w:pPr>
    <w:rPr>
      <w:rFonts w:ascii="汉仪小隶书简" w:hAnsi="汉仪小隶书简" w:eastAsia="汉仪小隶书简" w:cstheme="minorBidi"/>
      <w:b/>
      <w:bCs/>
      <w:sz w:val="24"/>
      <w:szCs w:val="24"/>
      <w:lang w:val="en-US" w:eastAsia="zh-CN" w:bidi="ar-SA"/>
    </w:rPr>
  </w:style>
  <w:style w:type="paragraph" w:styleId="8">
    <w:name w:val="heading 6"/>
    <w:next w:val="1"/>
    <w:unhideWhenUsed/>
    <w:qFormat/>
    <w:uiPriority w:val="0"/>
    <w:pPr>
      <w:numPr>
        <w:ilvl w:val="5"/>
        <w:numId w:val="1"/>
      </w:numPr>
      <w:adjustRightInd w:val="0"/>
      <w:snapToGrid w:val="0"/>
      <w:spacing w:before="50" w:beforeLines="50" w:line="264" w:lineRule="auto"/>
      <w:ind w:firstLine="0"/>
      <w:outlineLvl w:val="5"/>
    </w:pPr>
    <w:rPr>
      <w:rFonts w:ascii="汉仪小隶书简" w:hAnsi="汉仪小隶书简" w:eastAsia="汉仪小隶书简" w:cstheme="minorBidi"/>
      <w:b/>
      <w:bCs/>
      <w:sz w:val="24"/>
      <w:szCs w:val="24"/>
      <w:lang w:val="en-US" w:eastAsia="zh-CN" w:bidi="ar-SA"/>
    </w:rPr>
  </w:style>
  <w:style w:type="paragraph" w:styleId="9">
    <w:name w:val="heading 7"/>
    <w:next w:val="1"/>
    <w:unhideWhenUsed/>
    <w:qFormat/>
    <w:uiPriority w:val="0"/>
    <w:pPr>
      <w:numPr>
        <w:ilvl w:val="6"/>
        <w:numId w:val="1"/>
      </w:numPr>
      <w:adjustRightInd w:val="0"/>
      <w:snapToGrid w:val="0"/>
      <w:spacing w:before="50" w:beforeLines="50" w:line="264" w:lineRule="auto"/>
      <w:ind w:firstLine="0"/>
      <w:outlineLvl w:val="6"/>
    </w:pPr>
    <w:rPr>
      <w:rFonts w:ascii="汉仪小隶书简" w:hAnsi="汉仪小隶书简" w:eastAsia="汉仪小隶书简" w:cstheme="minorBidi"/>
      <w:b/>
      <w:bCs/>
      <w:iCs/>
      <w:sz w:val="24"/>
      <w:szCs w:val="24"/>
      <w:lang w:val="en-US" w:eastAsia="zh-CN" w:bidi="ar-SA"/>
    </w:rPr>
  </w:style>
  <w:style w:type="paragraph" w:styleId="10">
    <w:name w:val="heading 8"/>
    <w:next w:val="1"/>
    <w:unhideWhenUsed/>
    <w:qFormat/>
    <w:uiPriority w:val="0"/>
    <w:pPr>
      <w:numPr>
        <w:ilvl w:val="7"/>
        <w:numId w:val="1"/>
      </w:numPr>
      <w:adjustRightInd w:val="0"/>
      <w:snapToGrid w:val="0"/>
      <w:spacing w:before="50" w:beforeLines="50" w:line="264" w:lineRule="auto"/>
      <w:ind w:firstLine="0"/>
      <w:outlineLvl w:val="7"/>
    </w:pPr>
    <w:rPr>
      <w:rFonts w:ascii="汉仪小隶书简" w:hAnsi="汉仪小隶书简" w:eastAsia="汉仪小隶书简" w:cstheme="majorBidi"/>
      <w:b/>
      <w:bCs/>
      <w:sz w:val="24"/>
      <w:szCs w:val="24"/>
      <w:lang w:val="en-US" w:eastAsia="zh-CN" w:bidi="ar-SA"/>
    </w:rPr>
  </w:style>
  <w:style w:type="paragraph" w:styleId="11">
    <w:name w:val="heading 9"/>
    <w:next w:val="1"/>
    <w:unhideWhenUsed/>
    <w:qFormat/>
    <w:uiPriority w:val="0"/>
    <w:pPr>
      <w:numPr>
        <w:ilvl w:val="8"/>
        <w:numId w:val="1"/>
      </w:numPr>
      <w:adjustRightInd w:val="0"/>
      <w:snapToGrid w:val="0"/>
      <w:spacing w:before="50" w:beforeLines="50" w:line="264" w:lineRule="auto"/>
      <w:ind w:firstLine="0"/>
      <w:outlineLvl w:val="8"/>
    </w:pPr>
    <w:rPr>
      <w:rFonts w:ascii="汉仪小隶书简" w:hAnsi="汉仪小隶书简" w:eastAsia="汉仪小隶书简" w:cstheme="majorBidi"/>
      <w:b/>
      <w:bCs/>
      <w:sz w:val="24"/>
      <w:szCs w:val="24"/>
      <w:lang w:val="en-US" w:eastAsia="zh-CN" w:bidi="ar-SA"/>
    </w:rPr>
  </w:style>
  <w:style w:type="character" w:default="1" w:styleId="89">
    <w:name w:val="Default Paragraph Font"/>
    <w:semiHidden/>
    <w:unhideWhenUsed/>
    <w:qFormat/>
    <w:uiPriority w:val="1"/>
  </w:style>
  <w:style w:type="table" w:default="1" w:styleId="88">
    <w:name w:val="Normal Table"/>
    <w:semiHidden/>
    <w:qFormat/>
    <w:uiPriority w:val="0"/>
    <w:tblPr>
      <w:tblCellMar>
        <w:top w:w="0" w:type="dxa"/>
        <w:left w:w="108" w:type="dxa"/>
        <w:bottom w:w="0" w:type="dxa"/>
        <w:right w:w="108" w:type="dxa"/>
      </w:tblCellMar>
    </w:tblPr>
  </w:style>
  <w:style w:type="paragraph" w:styleId="2">
    <w:name w:val="macro"/>
    <w:link w:val="117"/>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spacing w:before="93" w:beforeLines="30" w:after="156"/>
    </w:pPr>
    <w:rPr>
      <w:rFonts w:ascii="Courier New" w:hAnsi="Courier New" w:eastAsia="宋体" w:cs="Courier New"/>
      <w:kern w:val="2"/>
      <w:sz w:val="24"/>
      <w:szCs w:val="24"/>
      <w:lang w:val="en-US" w:eastAsia="zh-CN" w:bidi="ar-SA"/>
    </w:rPr>
  </w:style>
  <w:style w:type="paragraph" w:styleId="12">
    <w:name w:val="List 3"/>
    <w:basedOn w:val="1"/>
    <w:qFormat/>
    <w:uiPriority w:val="0"/>
    <w:pPr>
      <w:ind w:left="100" w:leftChars="400" w:hanging="200" w:hangingChars="200"/>
      <w:contextualSpacing/>
    </w:pPr>
  </w:style>
  <w:style w:type="paragraph" w:styleId="13">
    <w:name w:val="toc 7"/>
    <w:basedOn w:val="1"/>
    <w:next w:val="1"/>
    <w:qFormat/>
    <w:uiPriority w:val="0"/>
    <w:pPr>
      <w:ind w:left="2520" w:leftChars="1200"/>
    </w:pPr>
  </w:style>
  <w:style w:type="paragraph" w:styleId="14">
    <w:name w:val="List Number 2"/>
    <w:basedOn w:val="1"/>
    <w:qFormat/>
    <w:uiPriority w:val="0"/>
    <w:pPr>
      <w:numPr>
        <w:ilvl w:val="1"/>
        <w:numId w:val="2"/>
      </w:numPr>
      <w:ind w:firstLine="0"/>
    </w:pPr>
  </w:style>
  <w:style w:type="paragraph" w:styleId="15">
    <w:name w:val="table of authorities"/>
    <w:basedOn w:val="1"/>
    <w:next w:val="1"/>
    <w:qFormat/>
    <w:uiPriority w:val="0"/>
    <w:pPr>
      <w:ind w:left="420" w:leftChars="200"/>
    </w:pPr>
  </w:style>
  <w:style w:type="paragraph" w:styleId="16">
    <w:name w:val="Note Heading"/>
    <w:basedOn w:val="1"/>
    <w:next w:val="1"/>
    <w:link w:val="137"/>
    <w:qFormat/>
    <w:uiPriority w:val="0"/>
    <w:pPr>
      <w:jc w:val="center"/>
    </w:pPr>
  </w:style>
  <w:style w:type="paragraph" w:styleId="17">
    <w:name w:val="List Bullet 4"/>
    <w:basedOn w:val="1"/>
    <w:qFormat/>
    <w:uiPriority w:val="0"/>
    <w:pPr>
      <w:numPr>
        <w:ilvl w:val="0"/>
        <w:numId w:val="3"/>
      </w:numPr>
      <w:spacing w:before="30"/>
      <w:ind w:left="1701" w:hanging="397"/>
    </w:pPr>
    <w:rPr>
      <w:rFonts w:asciiTheme="minorHAnsi" w:hAnsiTheme="minorHAnsi"/>
    </w:rPr>
  </w:style>
  <w:style w:type="paragraph" w:styleId="18">
    <w:name w:val="index 8"/>
    <w:basedOn w:val="1"/>
    <w:next w:val="1"/>
    <w:qFormat/>
    <w:uiPriority w:val="0"/>
    <w:pPr>
      <w:ind w:left="1400" w:leftChars="1400"/>
    </w:pPr>
  </w:style>
  <w:style w:type="paragraph" w:styleId="19">
    <w:name w:val="E-mail Signature"/>
    <w:basedOn w:val="1"/>
    <w:link w:val="116"/>
    <w:qFormat/>
    <w:uiPriority w:val="0"/>
  </w:style>
  <w:style w:type="paragraph" w:styleId="20">
    <w:name w:val="List Number"/>
    <w:basedOn w:val="1"/>
    <w:qFormat/>
    <w:uiPriority w:val="0"/>
    <w:pPr>
      <w:numPr>
        <w:ilvl w:val="0"/>
        <w:numId w:val="2"/>
      </w:numPr>
      <w:ind w:firstLine="0"/>
    </w:pPr>
  </w:style>
  <w:style w:type="paragraph" w:styleId="21">
    <w:name w:val="Normal Indent"/>
    <w:basedOn w:val="1"/>
    <w:qFormat/>
    <w:uiPriority w:val="0"/>
    <w:pPr>
      <w:ind w:firstLine="420" w:firstLineChars="200"/>
    </w:pPr>
  </w:style>
  <w:style w:type="paragraph" w:styleId="22">
    <w:name w:val="caption"/>
    <w:basedOn w:val="1"/>
    <w:next w:val="1"/>
    <w:unhideWhenUsed/>
    <w:qFormat/>
    <w:uiPriority w:val="0"/>
    <w:rPr>
      <w:sz w:val="20"/>
      <w:szCs w:val="20"/>
    </w:rPr>
  </w:style>
  <w:style w:type="paragraph" w:styleId="23">
    <w:name w:val="index 5"/>
    <w:basedOn w:val="1"/>
    <w:next w:val="1"/>
    <w:qFormat/>
    <w:uiPriority w:val="0"/>
    <w:pPr>
      <w:ind w:left="800" w:leftChars="800"/>
    </w:pPr>
  </w:style>
  <w:style w:type="paragraph" w:styleId="24">
    <w:name w:val="List Bullet"/>
    <w:basedOn w:val="1"/>
    <w:qFormat/>
    <w:uiPriority w:val="0"/>
    <w:pPr>
      <w:numPr>
        <w:ilvl w:val="0"/>
        <w:numId w:val="4"/>
      </w:numPr>
      <w:tabs>
        <w:tab w:val="left" w:pos="420"/>
      </w:tabs>
      <w:spacing w:before="30"/>
      <w:ind w:left="445" w:leftChars="20" w:hanging="397"/>
    </w:pPr>
    <w:rPr>
      <w:rFonts w:asciiTheme="minorHAnsi" w:hAnsiTheme="minorHAnsi"/>
    </w:rPr>
  </w:style>
  <w:style w:type="paragraph" w:styleId="25">
    <w:name w:val="envelope address"/>
    <w:basedOn w:val="1"/>
    <w:qFormat/>
    <w:uiPriority w:val="0"/>
    <w:pPr>
      <w:framePr w:w="7920" w:h="1980" w:hRule="exact" w:hSpace="180" w:wrap="auto" w:vAnchor="margin" w:hAnchor="page" w:xAlign="center" w:yAlign="bottom"/>
      <w:ind w:left="100" w:leftChars="1400"/>
    </w:pPr>
    <w:rPr>
      <w:rFonts w:asciiTheme="majorHAnsi" w:hAnsiTheme="majorHAnsi" w:eastAsiaTheme="majorEastAsia" w:cstheme="majorBidi"/>
    </w:rPr>
  </w:style>
  <w:style w:type="paragraph" w:styleId="26">
    <w:name w:val="Document Map"/>
    <w:basedOn w:val="1"/>
    <w:link w:val="125"/>
    <w:qFormat/>
    <w:uiPriority w:val="0"/>
    <w:rPr>
      <w:rFonts w:ascii="Microsoft YaHei UI" w:eastAsia="Microsoft YaHei UI"/>
      <w:sz w:val="18"/>
      <w:szCs w:val="18"/>
    </w:rPr>
  </w:style>
  <w:style w:type="paragraph" w:styleId="27">
    <w:name w:val="toa heading"/>
    <w:basedOn w:val="1"/>
    <w:next w:val="1"/>
    <w:qFormat/>
    <w:uiPriority w:val="0"/>
    <w:pPr>
      <w:spacing w:before="120"/>
    </w:pPr>
    <w:rPr>
      <w:rFonts w:asciiTheme="majorHAnsi" w:hAnsiTheme="majorHAnsi" w:eastAsiaTheme="majorEastAsia" w:cstheme="majorBidi"/>
    </w:rPr>
  </w:style>
  <w:style w:type="paragraph" w:styleId="28">
    <w:name w:val="annotation text"/>
    <w:basedOn w:val="1"/>
    <w:qFormat/>
    <w:uiPriority w:val="0"/>
    <w:pPr>
      <w:jc w:val="left"/>
    </w:pPr>
  </w:style>
  <w:style w:type="paragraph" w:styleId="29">
    <w:name w:val="index 6"/>
    <w:basedOn w:val="1"/>
    <w:next w:val="1"/>
    <w:qFormat/>
    <w:uiPriority w:val="0"/>
    <w:pPr>
      <w:ind w:left="1000" w:leftChars="1000"/>
    </w:pPr>
  </w:style>
  <w:style w:type="paragraph" w:styleId="30">
    <w:name w:val="Salutation"/>
    <w:basedOn w:val="1"/>
    <w:next w:val="1"/>
    <w:link w:val="114"/>
    <w:qFormat/>
    <w:uiPriority w:val="0"/>
  </w:style>
  <w:style w:type="paragraph" w:styleId="31">
    <w:name w:val="Body Text 3"/>
    <w:basedOn w:val="1"/>
    <w:link w:val="131"/>
    <w:qFormat/>
    <w:uiPriority w:val="0"/>
    <w:pPr>
      <w:spacing w:after="120"/>
    </w:pPr>
    <w:rPr>
      <w:sz w:val="16"/>
      <w:szCs w:val="16"/>
    </w:rPr>
  </w:style>
  <w:style w:type="paragraph" w:styleId="32">
    <w:name w:val="Closing"/>
    <w:basedOn w:val="1"/>
    <w:link w:val="118"/>
    <w:qFormat/>
    <w:uiPriority w:val="0"/>
    <w:pPr>
      <w:ind w:left="100" w:leftChars="2100"/>
    </w:pPr>
  </w:style>
  <w:style w:type="paragraph" w:styleId="33">
    <w:name w:val="List Bullet 3"/>
    <w:basedOn w:val="1"/>
    <w:qFormat/>
    <w:uiPriority w:val="0"/>
    <w:pPr>
      <w:numPr>
        <w:ilvl w:val="0"/>
        <w:numId w:val="5"/>
      </w:numPr>
      <w:tabs>
        <w:tab w:val="clear" w:pos="1259"/>
      </w:tabs>
      <w:spacing w:before="30"/>
      <w:ind w:left="1304" w:hanging="397"/>
    </w:pPr>
    <w:rPr>
      <w:rFonts w:asciiTheme="minorHAnsi" w:hAnsiTheme="minorHAnsi"/>
    </w:rPr>
  </w:style>
  <w:style w:type="paragraph" w:styleId="34">
    <w:name w:val="Body Text"/>
    <w:basedOn w:val="1"/>
    <w:link w:val="109"/>
    <w:qFormat/>
    <w:uiPriority w:val="0"/>
    <w:pPr>
      <w:spacing w:before="50" w:after="50" w:afterLines="50"/>
    </w:pPr>
  </w:style>
  <w:style w:type="paragraph" w:styleId="35">
    <w:name w:val="Body Text Indent"/>
    <w:basedOn w:val="1"/>
    <w:link w:val="133"/>
    <w:qFormat/>
    <w:uiPriority w:val="0"/>
    <w:pPr>
      <w:spacing w:after="120"/>
      <w:ind w:left="420" w:leftChars="200"/>
    </w:pPr>
  </w:style>
  <w:style w:type="paragraph" w:styleId="36">
    <w:name w:val="List Number 3"/>
    <w:basedOn w:val="1"/>
    <w:qFormat/>
    <w:uiPriority w:val="0"/>
    <w:pPr>
      <w:numPr>
        <w:ilvl w:val="2"/>
        <w:numId w:val="2"/>
      </w:numPr>
      <w:ind w:left="850" w:hanging="850"/>
    </w:pPr>
  </w:style>
  <w:style w:type="paragraph" w:styleId="37">
    <w:name w:val="List 2"/>
    <w:basedOn w:val="1"/>
    <w:qFormat/>
    <w:uiPriority w:val="0"/>
    <w:pPr>
      <w:ind w:left="100" w:leftChars="200" w:hanging="200" w:hangingChars="200"/>
      <w:contextualSpacing/>
    </w:pPr>
  </w:style>
  <w:style w:type="paragraph" w:styleId="38">
    <w:name w:val="List Continue"/>
    <w:basedOn w:val="1"/>
    <w:qFormat/>
    <w:uiPriority w:val="0"/>
    <w:pPr>
      <w:spacing w:after="120"/>
      <w:ind w:left="420" w:leftChars="200"/>
      <w:contextualSpacing/>
    </w:pPr>
  </w:style>
  <w:style w:type="paragraph" w:styleId="39">
    <w:name w:val="Block Text"/>
    <w:basedOn w:val="1"/>
    <w:qFormat/>
    <w:uiPriority w:val="0"/>
    <w:pPr>
      <w:spacing w:after="120"/>
      <w:ind w:left="1440" w:leftChars="700" w:right="1440" w:rightChars="700"/>
    </w:pPr>
  </w:style>
  <w:style w:type="paragraph" w:styleId="40">
    <w:name w:val="List Bullet 2"/>
    <w:basedOn w:val="1"/>
    <w:qFormat/>
    <w:uiPriority w:val="0"/>
    <w:pPr>
      <w:numPr>
        <w:ilvl w:val="0"/>
        <w:numId w:val="6"/>
      </w:numPr>
      <w:spacing w:before="30"/>
      <w:ind w:left="850" w:hanging="397"/>
    </w:pPr>
    <w:rPr>
      <w:rFonts w:asciiTheme="minorHAnsi" w:hAnsiTheme="minorHAnsi"/>
    </w:rPr>
  </w:style>
  <w:style w:type="paragraph" w:styleId="41">
    <w:name w:val="HTML Address"/>
    <w:basedOn w:val="1"/>
    <w:link w:val="111"/>
    <w:qFormat/>
    <w:uiPriority w:val="0"/>
    <w:rPr>
      <w:i/>
      <w:iCs/>
    </w:rPr>
  </w:style>
  <w:style w:type="paragraph" w:styleId="42">
    <w:name w:val="index 4"/>
    <w:basedOn w:val="1"/>
    <w:next w:val="1"/>
    <w:qFormat/>
    <w:uiPriority w:val="0"/>
    <w:pPr>
      <w:ind w:left="600" w:leftChars="600"/>
    </w:pPr>
  </w:style>
  <w:style w:type="paragraph" w:styleId="43">
    <w:name w:val="toc 5"/>
    <w:basedOn w:val="1"/>
    <w:next w:val="1"/>
    <w:qFormat/>
    <w:uiPriority w:val="0"/>
    <w:pPr>
      <w:ind w:left="2211"/>
    </w:pPr>
  </w:style>
  <w:style w:type="paragraph" w:styleId="44">
    <w:name w:val="toc 3"/>
    <w:basedOn w:val="1"/>
    <w:next w:val="1"/>
    <w:qFormat/>
    <w:uiPriority w:val="0"/>
    <w:pPr>
      <w:ind w:left="1191"/>
    </w:pPr>
  </w:style>
  <w:style w:type="paragraph" w:styleId="45">
    <w:name w:val="Plain Text"/>
    <w:basedOn w:val="1"/>
    <w:link w:val="115"/>
    <w:qFormat/>
    <w:uiPriority w:val="0"/>
    <w:rPr>
      <w:rFonts w:hAnsi="Courier New" w:cs="Courier New" w:asciiTheme="minorEastAsia" w:eastAsiaTheme="minorEastAsia"/>
    </w:rPr>
  </w:style>
  <w:style w:type="paragraph" w:styleId="46">
    <w:name w:val="List Bullet 5"/>
    <w:basedOn w:val="1"/>
    <w:link w:val="110"/>
    <w:qFormat/>
    <w:uiPriority w:val="0"/>
    <w:pPr>
      <w:numPr>
        <w:ilvl w:val="0"/>
        <w:numId w:val="7"/>
      </w:numPr>
      <w:spacing w:before="30"/>
      <w:ind w:hanging="397"/>
    </w:pPr>
  </w:style>
  <w:style w:type="paragraph" w:styleId="47">
    <w:name w:val="List Number 4"/>
    <w:basedOn w:val="1"/>
    <w:qFormat/>
    <w:uiPriority w:val="0"/>
    <w:pPr>
      <w:numPr>
        <w:ilvl w:val="3"/>
        <w:numId w:val="2"/>
      </w:numPr>
      <w:ind w:left="1134" w:hanging="1134"/>
    </w:pPr>
  </w:style>
  <w:style w:type="paragraph" w:styleId="48">
    <w:name w:val="toc 8"/>
    <w:basedOn w:val="1"/>
    <w:next w:val="1"/>
    <w:qFormat/>
    <w:uiPriority w:val="0"/>
    <w:pPr>
      <w:ind w:left="2940" w:leftChars="1400"/>
    </w:pPr>
  </w:style>
  <w:style w:type="paragraph" w:styleId="49">
    <w:name w:val="index 3"/>
    <w:basedOn w:val="1"/>
    <w:next w:val="1"/>
    <w:qFormat/>
    <w:uiPriority w:val="0"/>
    <w:pPr>
      <w:ind w:left="400" w:leftChars="400"/>
    </w:pPr>
  </w:style>
  <w:style w:type="paragraph" w:styleId="50">
    <w:name w:val="Date"/>
    <w:basedOn w:val="1"/>
    <w:next w:val="1"/>
    <w:link w:val="123"/>
    <w:qFormat/>
    <w:uiPriority w:val="0"/>
    <w:pPr>
      <w:ind w:left="100" w:leftChars="2500"/>
    </w:pPr>
  </w:style>
  <w:style w:type="paragraph" w:styleId="51">
    <w:name w:val="Body Text Indent 2"/>
    <w:basedOn w:val="1"/>
    <w:link w:val="135"/>
    <w:qFormat/>
    <w:uiPriority w:val="0"/>
    <w:pPr>
      <w:spacing w:after="120" w:line="480" w:lineRule="auto"/>
      <w:ind w:left="420" w:leftChars="200"/>
    </w:pPr>
  </w:style>
  <w:style w:type="paragraph" w:styleId="52">
    <w:name w:val="endnote text"/>
    <w:basedOn w:val="1"/>
    <w:qFormat/>
    <w:uiPriority w:val="0"/>
    <w:pPr>
      <w:jc w:val="left"/>
    </w:pPr>
  </w:style>
  <w:style w:type="paragraph" w:styleId="53">
    <w:name w:val="List Continue 5"/>
    <w:basedOn w:val="1"/>
    <w:qFormat/>
    <w:uiPriority w:val="0"/>
    <w:pPr>
      <w:spacing w:after="120"/>
      <w:ind w:left="2100" w:leftChars="1000"/>
      <w:contextualSpacing/>
    </w:pPr>
  </w:style>
  <w:style w:type="paragraph" w:styleId="54">
    <w:name w:val="Balloon Text"/>
    <w:basedOn w:val="1"/>
    <w:qFormat/>
    <w:uiPriority w:val="0"/>
    <w:rPr>
      <w:sz w:val="18"/>
    </w:rPr>
  </w:style>
  <w:style w:type="paragraph" w:styleId="55">
    <w:name w:val="footer"/>
    <w:basedOn w:val="1"/>
    <w:qFormat/>
    <w:uiPriority w:val="0"/>
    <w:pPr>
      <w:tabs>
        <w:tab w:val="center" w:pos="4153"/>
        <w:tab w:val="right" w:pos="8306"/>
      </w:tabs>
      <w:jc w:val="center"/>
    </w:pPr>
    <w:rPr>
      <w:sz w:val="18"/>
    </w:rPr>
  </w:style>
  <w:style w:type="paragraph" w:styleId="56">
    <w:name w:val="envelope return"/>
    <w:basedOn w:val="1"/>
    <w:qFormat/>
    <w:uiPriority w:val="0"/>
    <w:rPr>
      <w:rFonts w:asciiTheme="majorHAnsi" w:hAnsiTheme="majorHAnsi" w:eastAsiaTheme="majorEastAsia" w:cstheme="majorBidi"/>
    </w:rPr>
  </w:style>
  <w:style w:type="paragraph" w:styleId="5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before="30"/>
      <w:jc w:val="center"/>
    </w:pPr>
    <w:rPr>
      <w:sz w:val="18"/>
      <w:szCs w:val="18"/>
    </w:rPr>
  </w:style>
  <w:style w:type="paragraph" w:styleId="58">
    <w:name w:val="Signature"/>
    <w:basedOn w:val="1"/>
    <w:link w:val="122"/>
    <w:qFormat/>
    <w:uiPriority w:val="0"/>
    <w:pPr>
      <w:ind w:left="100" w:leftChars="2100"/>
    </w:pPr>
  </w:style>
  <w:style w:type="paragraph" w:styleId="59">
    <w:name w:val="toc 1"/>
    <w:basedOn w:val="1"/>
    <w:next w:val="1"/>
    <w:qFormat/>
    <w:uiPriority w:val="0"/>
  </w:style>
  <w:style w:type="paragraph" w:styleId="60">
    <w:name w:val="List Continue 4"/>
    <w:basedOn w:val="1"/>
    <w:qFormat/>
    <w:uiPriority w:val="0"/>
    <w:pPr>
      <w:spacing w:after="120"/>
      <w:ind w:left="1680" w:leftChars="800"/>
      <w:contextualSpacing/>
    </w:pPr>
  </w:style>
  <w:style w:type="paragraph" w:styleId="61">
    <w:name w:val="toc 4"/>
    <w:basedOn w:val="1"/>
    <w:next w:val="1"/>
    <w:qFormat/>
    <w:uiPriority w:val="0"/>
    <w:pPr>
      <w:ind w:left="1260" w:leftChars="600"/>
    </w:pPr>
  </w:style>
  <w:style w:type="paragraph" w:styleId="62">
    <w:name w:val="index heading"/>
    <w:basedOn w:val="1"/>
    <w:next w:val="63"/>
    <w:qFormat/>
    <w:uiPriority w:val="0"/>
    <w:rPr>
      <w:rFonts w:asciiTheme="majorHAnsi" w:hAnsiTheme="majorHAnsi" w:eastAsiaTheme="majorEastAsia" w:cstheme="majorBidi"/>
      <w:b/>
      <w:bCs/>
    </w:rPr>
  </w:style>
  <w:style w:type="paragraph" w:styleId="63">
    <w:name w:val="index 1"/>
    <w:basedOn w:val="1"/>
    <w:next w:val="1"/>
    <w:qFormat/>
    <w:uiPriority w:val="0"/>
  </w:style>
  <w:style w:type="paragraph" w:styleId="64">
    <w:name w:val="Subtitle"/>
    <w:qFormat/>
    <w:uiPriority w:val="0"/>
    <w:pPr>
      <w:adjustRightInd w:val="0"/>
      <w:snapToGrid w:val="0"/>
      <w:spacing w:before="50" w:beforeLines="50"/>
      <w:jc w:val="center"/>
      <w:outlineLvl w:val="1"/>
    </w:pPr>
    <w:rPr>
      <w:rFonts w:ascii="汉仪小隶书简" w:hAnsi="汉仪小隶书简" w:eastAsia="汉仪小隶书简" w:cstheme="minorBidi"/>
      <w:b/>
      <w:bCs/>
      <w:kern w:val="28"/>
      <w:sz w:val="44"/>
      <w:szCs w:val="44"/>
      <w:lang w:val="en-US" w:eastAsia="zh-CN" w:bidi="ar-SA"/>
    </w:rPr>
  </w:style>
  <w:style w:type="paragraph" w:styleId="65">
    <w:name w:val="List Number 5"/>
    <w:basedOn w:val="1"/>
    <w:qFormat/>
    <w:uiPriority w:val="0"/>
    <w:pPr>
      <w:numPr>
        <w:ilvl w:val="4"/>
        <w:numId w:val="2"/>
      </w:numPr>
      <w:ind w:left="1417" w:hanging="1417"/>
    </w:pPr>
  </w:style>
  <w:style w:type="paragraph" w:styleId="66">
    <w:name w:val="List"/>
    <w:basedOn w:val="1"/>
    <w:qFormat/>
    <w:uiPriority w:val="0"/>
    <w:pPr>
      <w:ind w:left="200" w:hanging="200" w:hangingChars="200"/>
      <w:contextualSpacing/>
    </w:pPr>
  </w:style>
  <w:style w:type="paragraph" w:styleId="67">
    <w:name w:val="footnote text"/>
    <w:basedOn w:val="1"/>
    <w:qFormat/>
    <w:uiPriority w:val="0"/>
    <w:pPr>
      <w:jc w:val="left"/>
    </w:pPr>
    <w:rPr>
      <w:sz w:val="18"/>
      <w:szCs w:val="18"/>
    </w:rPr>
  </w:style>
  <w:style w:type="paragraph" w:styleId="68">
    <w:name w:val="toc 6"/>
    <w:basedOn w:val="1"/>
    <w:next w:val="1"/>
    <w:qFormat/>
    <w:uiPriority w:val="0"/>
    <w:pPr>
      <w:ind w:left="2100" w:leftChars="1000"/>
    </w:pPr>
  </w:style>
  <w:style w:type="paragraph" w:styleId="69">
    <w:name w:val="List 5"/>
    <w:basedOn w:val="1"/>
    <w:qFormat/>
    <w:uiPriority w:val="0"/>
    <w:pPr>
      <w:ind w:left="100" w:leftChars="800" w:hanging="200" w:hangingChars="200"/>
      <w:contextualSpacing/>
    </w:pPr>
  </w:style>
  <w:style w:type="paragraph" w:styleId="70">
    <w:name w:val="Body Text Indent 3"/>
    <w:basedOn w:val="1"/>
    <w:link w:val="136"/>
    <w:qFormat/>
    <w:uiPriority w:val="0"/>
    <w:pPr>
      <w:spacing w:after="120"/>
      <w:ind w:left="420" w:leftChars="200"/>
    </w:pPr>
    <w:rPr>
      <w:sz w:val="16"/>
      <w:szCs w:val="16"/>
    </w:rPr>
  </w:style>
  <w:style w:type="paragraph" w:styleId="71">
    <w:name w:val="index 7"/>
    <w:basedOn w:val="1"/>
    <w:next w:val="1"/>
    <w:qFormat/>
    <w:uiPriority w:val="0"/>
    <w:pPr>
      <w:ind w:left="1200" w:leftChars="1200"/>
    </w:pPr>
  </w:style>
  <w:style w:type="paragraph" w:styleId="72">
    <w:name w:val="index 9"/>
    <w:basedOn w:val="1"/>
    <w:next w:val="1"/>
    <w:qFormat/>
    <w:uiPriority w:val="0"/>
    <w:pPr>
      <w:ind w:left="1600" w:leftChars="1600"/>
    </w:pPr>
  </w:style>
  <w:style w:type="paragraph" w:styleId="73">
    <w:name w:val="table of figures"/>
    <w:basedOn w:val="1"/>
    <w:next w:val="1"/>
    <w:qFormat/>
    <w:uiPriority w:val="0"/>
    <w:pPr>
      <w:ind w:leftChars="200" w:hanging="200" w:hangingChars="200"/>
    </w:pPr>
  </w:style>
  <w:style w:type="paragraph" w:styleId="74">
    <w:name w:val="toc 2"/>
    <w:basedOn w:val="1"/>
    <w:next w:val="1"/>
    <w:qFormat/>
    <w:uiPriority w:val="0"/>
    <w:pPr>
      <w:ind w:left="624"/>
    </w:pPr>
  </w:style>
  <w:style w:type="paragraph" w:styleId="75">
    <w:name w:val="toc 9"/>
    <w:basedOn w:val="1"/>
    <w:next w:val="1"/>
    <w:qFormat/>
    <w:uiPriority w:val="0"/>
    <w:pPr>
      <w:ind w:left="3360" w:leftChars="1600"/>
    </w:pPr>
  </w:style>
  <w:style w:type="paragraph" w:styleId="76">
    <w:name w:val="Body Text 2"/>
    <w:basedOn w:val="1"/>
    <w:link w:val="130"/>
    <w:qFormat/>
    <w:uiPriority w:val="0"/>
    <w:pPr>
      <w:spacing w:after="120" w:line="480" w:lineRule="auto"/>
    </w:pPr>
  </w:style>
  <w:style w:type="paragraph" w:styleId="77">
    <w:name w:val="List 4"/>
    <w:basedOn w:val="1"/>
    <w:qFormat/>
    <w:uiPriority w:val="0"/>
    <w:pPr>
      <w:ind w:left="100" w:leftChars="600" w:hanging="200" w:hangingChars="200"/>
      <w:contextualSpacing/>
    </w:pPr>
  </w:style>
  <w:style w:type="paragraph" w:styleId="78">
    <w:name w:val="List Continue 2"/>
    <w:basedOn w:val="1"/>
    <w:qFormat/>
    <w:uiPriority w:val="0"/>
    <w:pPr>
      <w:spacing w:after="120"/>
      <w:ind w:left="840" w:leftChars="400"/>
      <w:contextualSpacing/>
    </w:pPr>
  </w:style>
  <w:style w:type="paragraph" w:styleId="79">
    <w:name w:val="Message Header"/>
    <w:basedOn w:val="1"/>
    <w:link w:val="127"/>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rPr>
  </w:style>
  <w:style w:type="paragraph" w:styleId="80">
    <w:name w:val="HTML Preformatted"/>
    <w:basedOn w:val="1"/>
    <w:link w:val="112"/>
    <w:qFormat/>
    <w:uiPriority w:val="0"/>
    <w:rPr>
      <w:rFonts w:ascii="Courier New" w:hAnsi="Courier New" w:cs="Courier New"/>
      <w:sz w:val="20"/>
      <w:szCs w:val="20"/>
    </w:rPr>
  </w:style>
  <w:style w:type="paragraph" w:styleId="81">
    <w:name w:val="Normal (Web)"/>
    <w:basedOn w:val="1"/>
    <w:qFormat/>
    <w:uiPriority w:val="0"/>
    <w:rPr>
      <w:rFonts w:ascii="Times New Roman" w:hAnsi="Times New Roman" w:cs="Times New Roman"/>
    </w:rPr>
  </w:style>
  <w:style w:type="paragraph" w:styleId="82">
    <w:name w:val="List Continue 3"/>
    <w:basedOn w:val="1"/>
    <w:qFormat/>
    <w:uiPriority w:val="0"/>
    <w:pPr>
      <w:spacing w:after="120"/>
      <w:ind w:left="1260" w:leftChars="600"/>
      <w:contextualSpacing/>
    </w:pPr>
  </w:style>
  <w:style w:type="paragraph" w:styleId="83">
    <w:name w:val="index 2"/>
    <w:basedOn w:val="1"/>
    <w:next w:val="1"/>
    <w:qFormat/>
    <w:uiPriority w:val="0"/>
    <w:pPr>
      <w:ind w:left="200" w:leftChars="200"/>
    </w:pPr>
  </w:style>
  <w:style w:type="paragraph" w:styleId="84">
    <w:name w:val="Title"/>
    <w:qFormat/>
    <w:uiPriority w:val="10"/>
    <w:pPr>
      <w:adjustRightInd w:val="0"/>
      <w:snapToGrid w:val="0"/>
      <w:spacing w:before="50" w:beforeLines="50"/>
      <w:jc w:val="center"/>
      <w:outlineLvl w:val="0"/>
    </w:pPr>
    <w:rPr>
      <w:rFonts w:ascii="汉仪小隶书简" w:hAnsi="汉仪小隶书简" w:eastAsia="汉仪小隶书简" w:cstheme="minorBidi"/>
      <w:b/>
      <w:bCs/>
      <w:sz w:val="56"/>
      <w:szCs w:val="56"/>
      <w:lang w:val="en-US" w:eastAsia="zh-CN" w:bidi="ar-SA"/>
    </w:rPr>
  </w:style>
  <w:style w:type="paragraph" w:styleId="85">
    <w:name w:val="annotation subject"/>
    <w:basedOn w:val="28"/>
    <w:next w:val="28"/>
    <w:qFormat/>
    <w:uiPriority w:val="0"/>
    <w:rPr>
      <w:b/>
      <w:bCs/>
    </w:rPr>
  </w:style>
  <w:style w:type="paragraph" w:styleId="86">
    <w:name w:val="Body Text First Indent"/>
    <w:basedOn w:val="34"/>
    <w:link w:val="132"/>
    <w:qFormat/>
    <w:uiPriority w:val="0"/>
    <w:pPr>
      <w:spacing w:before="93" w:after="120" w:afterLines="0"/>
      <w:ind w:firstLine="420" w:firstLineChars="100"/>
    </w:pPr>
  </w:style>
  <w:style w:type="paragraph" w:styleId="87">
    <w:name w:val="Body Text First Indent 2"/>
    <w:basedOn w:val="35"/>
    <w:link w:val="134"/>
    <w:qFormat/>
    <w:uiPriority w:val="0"/>
    <w:pPr>
      <w:ind w:firstLine="420" w:firstLineChars="200"/>
    </w:pPr>
  </w:style>
  <w:style w:type="character" w:styleId="90">
    <w:name w:val="Strong"/>
    <w:basedOn w:val="89"/>
    <w:qFormat/>
    <w:uiPriority w:val="22"/>
    <w:rPr>
      <w:rFonts w:ascii="汉仪中宋简" w:hAnsi="汉仪中宋简" w:eastAsia="汉仪中宋简"/>
      <w:b/>
      <w:bCs/>
      <w:color w:val="auto"/>
      <w:u w:val="none"/>
    </w:rPr>
  </w:style>
  <w:style w:type="character" w:styleId="91">
    <w:name w:val="endnote reference"/>
    <w:basedOn w:val="89"/>
    <w:qFormat/>
    <w:uiPriority w:val="0"/>
    <w:rPr>
      <w:rFonts w:ascii="汉仪中宋简" w:hAnsi="汉仪中宋简" w:eastAsia="汉仪中宋简"/>
      <w:sz w:val="28"/>
      <w:szCs w:val="28"/>
      <w:vertAlign w:val="superscript"/>
    </w:rPr>
  </w:style>
  <w:style w:type="character" w:styleId="92">
    <w:name w:val="page number"/>
    <w:basedOn w:val="89"/>
    <w:qFormat/>
    <w:uiPriority w:val="0"/>
    <w:rPr>
      <w:rFonts w:ascii="汉仪中宋简" w:hAnsi="汉仪中宋简" w:eastAsia="汉仪中宋简"/>
      <w:color w:val="808080" w:themeColor="background1" w:themeShade="80"/>
    </w:rPr>
  </w:style>
  <w:style w:type="character" w:styleId="93">
    <w:name w:val="FollowedHyperlink"/>
    <w:basedOn w:val="89"/>
    <w:qFormat/>
    <w:uiPriority w:val="0"/>
    <w:rPr>
      <w:rFonts w:ascii="汉仪中宋简" w:hAnsi="汉仪中宋简" w:eastAsia="汉仪中宋简" w:cstheme="minorBidi"/>
      <w:color w:val="800080"/>
      <w:kern w:val="2"/>
      <w:sz w:val="24"/>
      <w:szCs w:val="24"/>
      <w:u w:val="single"/>
      <w:lang w:val="en-US" w:eastAsia="zh-CN" w:bidi="ar-SA"/>
    </w:rPr>
  </w:style>
  <w:style w:type="character" w:styleId="94">
    <w:name w:val="Emphasis"/>
    <w:basedOn w:val="89"/>
    <w:qFormat/>
    <w:uiPriority w:val="20"/>
    <w:rPr>
      <w:rFonts w:ascii="汉仪中宋简" w:hAnsi="汉仪中宋简" w:eastAsia="汉仪中宋简"/>
      <w:b/>
      <w:bCs/>
      <w:i/>
      <w:iCs/>
      <w:color w:val="C00000"/>
      <w:sz w:val="24"/>
      <w:szCs w:val="22"/>
    </w:rPr>
  </w:style>
  <w:style w:type="character" w:styleId="95">
    <w:name w:val="Hyperlink"/>
    <w:basedOn w:val="89"/>
    <w:qFormat/>
    <w:uiPriority w:val="0"/>
    <w:rPr>
      <w:rFonts w:ascii="汉仪中宋简" w:hAnsi="汉仪中宋简" w:eastAsia="汉仪中宋简" w:cstheme="minorBidi"/>
      <w:color w:val="0000FF"/>
      <w:kern w:val="2"/>
      <w:sz w:val="24"/>
      <w:szCs w:val="24"/>
      <w:u w:val="single"/>
      <w:lang w:val="en-US" w:eastAsia="zh-CN" w:bidi="ar-SA"/>
    </w:rPr>
  </w:style>
  <w:style w:type="character" w:styleId="96">
    <w:name w:val="annotation reference"/>
    <w:basedOn w:val="89"/>
    <w:qFormat/>
    <w:uiPriority w:val="0"/>
    <w:rPr>
      <w:sz w:val="21"/>
    </w:rPr>
  </w:style>
  <w:style w:type="character" w:styleId="97">
    <w:name w:val="footnote reference"/>
    <w:basedOn w:val="89"/>
    <w:qFormat/>
    <w:uiPriority w:val="0"/>
    <w:rPr>
      <w:rFonts w:ascii="汉仪中宋简" w:hAnsi="汉仪中宋简" w:eastAsia="汉仪中宋简"/>
      <w:sz w:val="28"/>
      <w:szCs w:val="28"/>
      <w:vertAlign w:val="superscript"/>
    </w:rPr>
  </w:style>
  <w:style w:type="paragraph" w:customStyle="1" w:styleId="98">
    <w:name w:val="目录标题"/>
    <w:link w:val="99"/>
    <w:qFormat/>
    <w:uiPriority w:val="0"/>
    <w:pPr>
      <w:jc w:val="center"/>
    </w:pPr>
    <w:rPr>
      <w:rFonts w:ascii="汉仪小隶书简" w:hAnsi="汉仪小隶书简" w:eastAsia="汉仪小隶书简" w:cstheme="minorBidi"/>
      <w:sz w:val="36"/>
      <w:szCs w:val="21"/>
      <w:lang w:val="en-US" w:eastAsia="zh-CN" w:bidi="ar-SA"/>
    </w:rPr>
  </w:style>
  <w:style w:type="character" w:customStyle="1" w:styleId="99">
    <w:name w:val="目录标题 Char"/>
    <w:link w:val="98"/>
    <w:qFormat/>
    <w:uiPriority w:val="0"/>
    <w:rPr>
      <w:rFonts w:ascii="汉仪小隶书简" w:hAnsi="汉仪小隶书简" w:eastAsia="汉仪小隶书简" w:cstheme="minorBidi"/>
      <w:sz w:val="36"/>
      <w:szCs w:val="21"/>
      <w:lang w:val="en-US" w:eastAsia="zh-CN" w:bidi="ar-SA"/>
    </w:rPr>
  </w:style>
  <w:style w:type="paragraph" w:customStyle="1" w:styleId="100">
    <w:name w:val="题注1"/>
    <w:basedOn w:val="1"/>
    <w:qFormat/>
    <w:uiPriority w:val="0"/>
    <w:pPr>
      <w:spacing w:before="50" w:after="50"/>
    </w:pPr>
    <w:rPr>
      <w:rFonts w:hint="eastAsia"/>
      <w:sz w:val="20"/>
      <w:szCs w:val="20"/>
    </w:rPr>
  </w:style>
  <w:style w:type="paragraph" w:customStyle="1" w:styleId="101">
    <w:name w:val="文档说明标题"/>
    <w:next w:val="1"/>
    <w:qFormat/>
    <w:uiPriority w:val="0"/>
    <w:pPr>
      <w:keepNext/>
      <w:keepLines/>
      <w:tabs>
        <w:tab w:val="left" w:pos="0"/>
      </w:tabs>
      <w:adjustRightInd w:val="0"/>
      <w:snapToGrid w:val="0"/>
      <w:spacing w:before="50" w:beforeLines="50"/>
      <w:jc w:val="center"/>
      <w:outlineLvl w:val="0"/>
    </w:pPr>
    <w:rPr>
      <w:rFonts w:ascii="汉仪小隶书简" w:hAnsi="汉仪小隶书简" w:eastAsia="汉仪小隶书简" w:cstheme="minorBidi"/>
      <w:b/>
      <w:bCs/>
      <w:kern w:val="44"/>
      <w:sz w:val="44"/>
      <w:szCs w:val="44"/>
      <w:lang w:val="en-US" w:eastAsia="zh-CN" w:bidi="ar-SA"/>
    </w:rPr>
  </w:style>
  <w:style w:type="paragraph" w:customStyle="1" w:styleId="102">
    <w:name w:val="章标题"/>
    <w:next w:val="1"/>
    <w:qFormat/>
    <w:uiPriority w:val="0"/>
    <w:pPr>
      <w:keepNext/>
      <w:keepLines/>
      <w:tabs>
        <w:tab w:val="left" w:pos="0"/>
      </w:tabs>
      <w:adjustRightInd w:val="0"/>
      <w:snapToGrid w:val="0"/>
      <w:spacing w:before="50" w:beforeLines="50"/>
      <w:jc w:val="center"/>
      <w:outlineLvl w:val="0"/>
    </w:pPr>
    <w:rPr>
      <w:rFonts w:ascii="汉仪小隶书简" w:hAnsi="汉仪小隶书简" w:eastAsia="汉仪小隶书简" w:cstheme="minorBidi"/>
      <w:b/>
      <w:bCs/>
      <w:kern w:val="44"/>
      <w:sz w:val="40"/>
      <w:szCs w:val="40"/>
      <w:lang w:val="en-US" w:eastAsia="zh-CN" w:bidi="ar-SA"/>
    </w:rPr>
  </w:style>
  <w:style w:type="paragraph" w:customStyle="1" w:styleId="103">
    <w:name w:val="节标题"/>
    <w:next w:val="1"/>
    <w:qFormat/>
    <w:uiPriority w:val="0"/>
    <w:pPr>
      <w:tabs>
        <w:tab w:val="left" w:pos="0"/>
      </w:tabs>
      <w:adjustRightInd w:val="0"/>
      <w:snapToGrid w:val="0"/>
      <w:spacing w:before="50" w:beforeLines="50"/>
      <w:jc w:val="center"/>
    </w:pPr>
    <w:rPr>
      <w:rFonts w:ascii="汉仪小隶书简" w:hAnsi="汉仪小隶书简" w:eastAsia="汉仪小隶书简" w:cstheme="minorBidi"/>
      <w:b/>
      <w:bCs/>
      <w:sz w:val="36"/>
      <w:szCs w:val="36"/>
      <w:lang w:val="en-US" w:eastAsia="zh-CN" w:bidi="ar-SA"/>
    </w:rPr>
  </w:style>
  <w:style w:type="paragraph" w:customStyle="1" w:styleId="104">
    <w:name w:val="附录标题"/>
    <w:next w:val="1"/>
    <w:qFormat/>
    <w:uiPriority w:val="0"/>
    <w:pPr>
      <w:keepNext/>
      <w:keepLines/>
      <w:tabs>
        <w:tab w:val="left" w:pos="0"/>
      </w:tabs>
      <w:adjustRightInd w:val="0"/>
      <w:snapToGrid w:val="0"/>
      <w:spacing w:before="50" w:beforeLines="50"/>
      <w:jc w:val="center"/>
      <w:outlineLvl w:val="0"/>
    </w:pPr>
    <w:rPr>
      <w:rFonts w:ascii="汉仪小隶书简" w:hAnsi="汉仪小隶书简" w:eastAsia="汉仪小隶书简" w:cstheme="minorBidi"/>
      <w:b/>
      <w:bCs/>
      <w:kern w:val="44"/>
      <w:sz w:val="40"/>
      <w:szCs w:val="40"/>
      <w:lang w:val="en-US" w:eastAsia="zh-CN" w:bidi="ar-SA"/>
    </w:rPr>
  </w:style>
  <w:style w:type="character" w:customStyle="1" w:styleId="105">
    <w:name w:val="摘要"/>
    <w:basedOn w:val="89"/>
    <w:qFormat/>
    <w:uiPriority w:val="0"/>
    <w:rPr>
      <w:rFonts w:ascii="汉仪中宋简" w:hAnsi="汉仪中宋简" w:eastAsia="汉仪中宋简" w:cs="Times New Roman"/>
      <w:b/>
      <w:bCs/>
      <w:lang w:val="en-US" w:eastAsia="zh-CN"/>
    </w:rPr>
  </w:style>
  <w:style w:type="character" w:customStyle="1" w:styleId="106">
    <w:name w:val="参考文献条目"/>
    <w:basedOn w:val="89"/>
    <w:qFormat/>
    <w:uiPriority w:val="0"/>
    <w:rPr>
      <w:rFonts w:ascii="汉仪中宋简" w:hAnsi="汉仪中宋简" w:eastAsia="汉仪中宋简" w:cs="Times New Roman"/>
      <w:sz w:val="18"/>
      <w:szCs w:val="18"/>
      <w:lang w:val="en-US" w:eastAsia="zh-CN"/>
    </w:rPr>
  </w:style>
  <w:style w:type="character" w:customStyle="1" w:styleId="107">
    <w:name w:val="关键词"/>
    <w:basedOn w:val="89"/>
    <w:qFormat/>
    <w:uiPriority w:val="0"/>
    <w:rPr>
      <w:rFonts w:ascii="汉仪中宋简" w:hAnsi="汉仪中宋简" w:eastAsia="汉仪中宋简" w:cs="Times New Roman"/>
      <w:b/>
      <w:bCs/>
      <w:lang w:val="en-US" w:eastAsia="zh-CN"/>
    </w:rPr>
  </w:style>
  <w:style w:type="character" w:customStyle="1" w:styleId="108">
    <w:name w:val="着重标题"/>
    <w:basedOn w:val="89"/>
    <w:qFormat/>
    <w:uiPriority w:val="0"/>
    <w:rPr>
      <w:rFonts w:ascii="汉仪中宋简" w:hAnsi="汉仪中宋简" w:eastAsia="汉仪中宋简" w:cs="Times New Roman"/>
      <w:lang w:val="en-US" w:eastAsia="zh-CN"/>
    </w:rPr>
  </w:style>
  <w:style w:type="character" w:customStyle="1" w:styleId="109">
    <w:name w:val="正文文本 字符"/>
    <w:basedOn w:val="89"/>
    <w:link w:val="34"/>
    <w:qFormat/>
    <w:uiPriority w:val="0"/>
  </w:style>
  <w:style w:type="character" w:customStyle="1" w:styleId="110">
    <w:name w:val="列表项目符号 5 字符"/>
    <w:link w:val="46"/>
    <w:qFormat/>
    <w:uiPriority w:val="0"/>
  </w:style>
  <w:style w:type="character" w:customStyle="1" w:styleId="111">
    <w:name w:val="HTML 地址 字符"/>
    <w:basedOn w:val="89"/>
    <w:link w:val="41"/>
    <w:qFormat/>
    <w:uiPriority w:val="0"/>
    <w:rPr>
      <w:i/>
      <w:iCs/>
    </w:rPr>
  </w:style>
  <w:style w:type="character" w:customStyle="1" w:styleId="112">
    <w:name w:val="HTML 预设格式 字符"/>
    <w:basedOn w:val="89"/>
    <w:link w:val="80"/>
    <w:qFormat/>
    <w:uiPriority w:val="0"/>
    <w:rPr>
      <w:rFonts w:ascii="Courier New" w:hAnsi="Courier New" w:cs="Courier New"/>
      <w:sz w:val="20"/>
      <w:szCs w:val="20"/>
    </w:rPr>
  </w:style>
  <w:style w:type="paragraph" w:customStyle="1" w:styleId="113">
    <w:name w:val="TOC Heading"/>
    <w:basedOn w:val="3"/>
    <w:next w:val="1"/>
    <w:semiHidden/>
    <w:unhideWhenUsed/>
    <w:qFormat/>
    <w:uiPriority w:val="39"/>
    <w:pPr>
      <w:widowControl w:val="0"/>
      <w:numPr>
        <w:numId w:val="0"/>
      </w:numPr>
      <w:tabs>
        <w:tab w:val="clear" w:pos="0"/>
      </w:tabs>
      <w:spacing w:before="340" w:beforeLines="30" w:after="330" w:line="578" w:lineRule="auto"/>
      <w:jc w:val="both"/>
      <w:outlineLvl w:val="9"/>
    </w:pPr>
    <w:rPr>
      <w:rFonts w:ascii="汉仪中宋简" w:hAnsi="汉仪中宋简" w:eastAsia="汉仪中宋简"/>
      <w:sz w:val="44"/>
      <w:szCs w:val="44"/>
    </w:rPr>
  </w:style>
  <w:style w:type="character" w:customStyle="1" w:styleId="114">
    <w:name w:val="称呼 字符"/>
    <w:basedOn w:val="89"/>
    <w:link w:val="30"/>
    <w:qFormat/>
    <w:uiPriority w:val="0"/>
  </w:style>
  <w:style w:type="character" w:customStyle="1" w:styleId="115">
    <w:name w:val="纯文本 字符"/>
    <w:basedOn w:val="89"/>
    <w:link w:val="45"/>
    <w:qFormat/>
    <w:uiPriority w:val="0"/>
    <w:rPr>
      <w:rFonts w:hAnsi="Courier New" w:cs="Courier New" w:asciiTheme="minorEastAsia" w:eastAsiaTheme="minorEastAsia"/>
    </w:rPr>
  </w:style>
  <w:style w:type="character" w:customStyle="1" w:styleId="116">
    <w:name w:val="电子邮件签名 字符"/>
    <w:basedOn w:val="89"/>
    <w:link w:val="19"/>
    <w:qFormat/>
    <w:uiPriority w:val="0"/>
  </w:style>
  <w:style w:type="character" w:customStyle="1" w:styleId="117">
    <w:name w:val="宏文本 字符"/>
    <w:basedOn w:val="89"/>
    <w:link w:val="2"/>
    <w:qFormat/>
    <w:uiPriority w:val="0"/>
    <w:rPr>
      <w:rFonts w:ascii="Courier New" w:hAnsi="Courier New" w:eastAsia="宋体" w:cs="Courier New"/>
      <w:kern w:val="2"/>
      <w:sz w:val="24"/>
      <w:szCs w:val="24"/>
      <w:lang w:val="en-US" w:eastAsia="zh-CN" w:bidi="ar-SA"/>
    </w:rPr>
  </w:style>
  <w:style w:type="character" w:customStyle="1" w:styleId="118">
    <w:name w:val="结束语 字符"/>
    <w:basedOn w:val="89"/>
    <w:link w:val="32"/>
    <w:qFormat/>
    <w:uiPriority w:val="0"/>
  </w:style>
  <w:style w:type="paragraph" w:styleId="119">
    <w:name w:val="List Paragraph"/>
    <w:basedOn w:val="1"/>
    <w:qFormat/>
    <w:uiPriority w:val="99"/>
    <w:pPr>
      <w:ind w:firstLine="420" w:firstLineChars="200"/>
    </w:pPr>
  </w:style>
  <w:style w:type="paragraph" w:styleId="120">
    <w:name w:val="Intense Quote"/>
    <w:basedOn w:val="1"/>
    <w:next w:val="1"/>
    <w:link w:val="121"/>
    <w:qFormat/>
    <w:uiPriority w:val="99"/>
    <w:pPr>
      <w:pBdr>
        <w:top w:val="single" w:color="4874CB" w:themeColor="accent1" w:sz="4" w:space="10"/>
        <w:bottom w:val="single" w:color="4874CB" w:themeColor="accent1" w:sz="4" w:space="10"/>
      </w:pBdr>
      <w:spacing w:before="360" w:after="360"/>
      <w:ind w:left="864" w:right="864"/>
      <w:jc w:val="center"/>
    </w:pPr>
    <w:rPr>
      <w:i/>
      <w:iCs/>
      <w:color w:val="4874CB" w:themeColor="accent1"/>
      <w14:textFill>
        <w14:solidFill>
          <w14:schemeClr w14:val="accent1"/>
        </w14:solidFill>
      </w14:textFill>
    </w:rPr>
  </w:style>
  <w:style w:type="character" w:customStyle="1" w:styleId="121">
    <w:name w:val="明显引用 字符"/>
    <w:basedOn w:val="89"/>
    <w:link w:val="120"/>
    <w:qFormat/>
    <w:uiPriority w:val="99"/>
    <w:rPr>
      <w:i/>
      <w:iCs/>
      <w:color w:val="4874CB" w:themeColor="accent1"/>
      <w14:textFill>
        <w14:solidFill>
          <w14:schemeClr w14:val="accent1"/>
        </w14:solidFill>
      </w14:textFill>
    </w:rPr>
  </w:style>
  <w:style w:type="character" w:customStyle="1" w:styleId="122">
    <w:name w:val="签名 字符"/>
    <w:basedOn w:val="89"/>
    <w:link w:val="58"/>
    <w:qFormat/>
    <w:uiPriority w:val="0"/>
  </w:style>
  <w:style w:type="character" w:customStyle="1" w:styleId="123">
    <w:name w:val="日期 字符"/>
    <w:basedOn w:val="89"/>
    <w:link w:val="50"/>
    <w:qFormat/>
    <w:uiPriority w:val="0"/>
  </w:style>
  <w:style w:type="paragraph" w:customStyle="1" w:styleId="124">
    <w:name w:val="Bibliography"/>
    <w:basedOn w:val="1"/>
    <w:next w:val="1"/>
    <w:semiHidden/>
    <w:unhideWhenUsed/>
    <w:qFormat/>
    <w:uiPriority w:val="37"/>
  </w:style>
  <w:style w:type="character" w:customStyle="1" w:styleId="125">
    <w:name w:val="文档结构图 字符"/>
    <w:basedOn w:val="89"/>
    <w:link w:val="26"/>
    <w:qFormat/>
    <w:uiPriority w:val="0"/>
    <w:rPr>
      <w:rFonts w:ascii="Microsoft YaHei UI" w:eastAsia="Microsoft YaHei UI"/>
      <w:sz w:val="18"/>
      <w:szCs w:val="18"/>
    </w:rPr>
  </w:style>
  <w:style w:type="paragraph" w:styleId="126">
    <w:name w:val="No Spacing"/>
    <w:qFormat/>
    <w:uiPriority w:val="99"/>
    <w:pPr>
      <w:widowControl w:val="0"/>
      <w:adjustRightInd w:val="0"/>
      <w:snapToGrid w:val="0"/>
      <w:spacing w:beforeLines="30"/>
      <w:jc w:val="both"/>
    </w:pPr>
    <w:rPr>
      <w:rFonts w:ascii="汉仪中宋简" w:hAnsi="汉仪中宋简" w:eastAsia="汉仪中宋简" w:cstheme="minorBidi"/>
      <w:kern w:val="2"/>
      <w:sz w:val="24"/>
      <w:szCs w:val="24"/>
      <w:lang w:val="en-US" w:eastAsia="zh-CN" w:bidi="ar-SA"/>
    </w:rPr>
  </w:style>
  <w:style w:type="character" w:customStyle="1" w:styleId="127">
    <w:name w:val="信息标题 字符"/>
    <w:basedOn w:val="89"/>
    <w:link w:val="79"/>
    <w:qFormat/>
    <w:uiPriority w:val="0"/>
    <w:rPr>
      <w:rFonts w:asciiTheme="majorHAnsi" w:hAnsiTheme="majorHAnsi" w:eastAsiaTheme="majorEastAsia" w:cstheme="majorBidi"/>
    </w:rPr>
  </w:style>
  <w:style w:type="paragraph" w:styleId="128">
    <w:name w:val="Quote"/>
    <w:basedOn w:val="1"/>
    <w:next w:val="1"/>
    <w:link w:val="129"/>
    <w:qFormat/>
    <w:uiPriority w:val="9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129">
    <w:name w:val="引用 字符"/>
    <w:basedOn w:val="89"/>
    <w:link w:val="128"/>
    <w:qFormat/>
    <w:uiPriority w:val="99"/>
    <w:rPr>
      <w:i/>
      <w:iCs/>
      <w:color w:val="404040" w:themeColor="text1" w:themeTint="BF"/>
      <w14:textFill>
        <w14:solidFill>
          <w14:schemeClr w14:val="tx1">
            <w14:lumMod w14:val="75000"/>
            <w14:lumOff w14:val="25000"/>
          </w14:schemeClr>
        </w14:solidFill>
      </w14:textFill>
    </w:rPr>
  </w:style>
  <w:style w:type="character" w:customStyle="1" w:styleId="130">
    <w:name w:val="正文文本 2 字符"/>
    <w:basedOn w:val="89"/>
    <w:link w:val="76"/>
    <w:qFormat/>
    <w:uiPriority w:val="0"/>
  </w:style>
  <w:style w:type="character" w:customStyle="1" w:styleId="131">
    <w:name w:val="正文文本 3 字符"/>
    <w:basedOn w:val="89"/>
    <w:link w:val="31"/>
    <w:qFormat/>
    <w:uiPriority w:val="0"/>
    <w:rPr>
      <w:sz w:val="16"/>
      <w:szCs w:val="16"/>
    </w:rPr>
  </w:style>
  <w:style w:type="character" w:customStyle="1" w:styleId="132">
    <w:name w:val="正文文本首行缩进 字符"/>
    <w:basedOn w:val="109"/>
    <w:link w:val="86"/>
    <w:qFormat/>
    <w:uiPriority w:val="0"/>
  </w:style>
  <w:style w:type="character" w:customStyle="1" w:styleId="133">
    <w:name w:val="正文文本缩进 字符"/>
    <w:basedOn w:val="89"/>
    <w:link w:val="35"/>
    <w:qFormat/>
    <w:uiPriority w:val="0"/>
  </w:style>
  <w:style w:type="character" w:customStyle="1" w:styleId="134">
    <w:name w:val="正文文本首行缩进 2 字符"/>
    <w:basedOn w:val="133"/>
    <w:link w:val="87"/>
    <w:qFormat/>
    <w:uiPriority w:val="0"/>
  </w:style>
  <w:style w:type="character" w:customStyle="1" w:styleId="135">
    <w:name w:val="正文文本缩进 2 字符"/>
    <w:basedOn w:val="89"/>
    <w:link w:val="51"/>
    <w:qFormat/>
    <w:uiPriority w:val="0"/>
  </w:style>
  <w:style w:type="character" w:customStyle="1" w:styleId="136">
    <w:name w:val="正文文本缩进 3 字符"/>
    <w:basedOn w:val="89"/>
    <w:link w:val="70"/>
    <w:qFormat/>
    <w:uiPriority w:val="0"/>
    <w:rPr>
      <w:sz w:val="16"/>
      <w:szCs w:val="16"/>
    </w:rPr>
  </w:style>
  <w:style w:type="character" w:customStyle="1" w:styleId="137">
    <w:name w:val="注释标题 字符"/>
    <w:basedOn w:val="89"/>
    <w:link w:val="1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5086</Words>
  <Characters>5151</Characters>
  <Lines>0</Lines>
  <Paragraphs>0</Paragraphs>
  <TotalTime>27</TotalTime>
  <ScaleCrop>false</ScaleCrop>
  <LinksUpToDate>false</LinksUpToDate>
  <CharactersWithSpaces>5163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2024-07-12T09:53:00Z</dcterms:created>
  <dc:creator>小姚</dc:creator>
  <cp:lastModifiedBy>～*老牛*～</cp:lastModifiedBy>
  <dcterms:modified xsi:type="dcterms:W3CDTF">2025-01-18T01:19:16Z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8E5E67D9263D401587D0D2E1562C70E9_13</vt:lpwstr>
  </property>
  <property fmtid="{D5CDD505-2E9C-101B-9397-08002B2CF9AE}" pid="4" name="KSOTemplateDocerSaveRecord">
    <vt:lpwstr>eyJoZGlkIjoiZWE0NTBmZDEyMmU5OThlYzBjNjAwMjYyY2FkOGZlZTkiLCJ1c2VySWQiOiIzMDk3NzY0MTEifQ==</vt:lpwstr>
  </property>
</Properties>
</file>