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5EB9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val="en-US" w:eastAsia="zh-CN"/>
        </w:rPr>
        <w:t>加强</w:t>
      </w:r>
      <w:r>
        <w:rPr>
          <w:rFonts w:hint="eastAsia" w:ascii="方正小标宋_GBK" w:eastAsia="方正小标宋_GBK"/>
          <w:sz w:val="44"/>
          <w:szCs w:val="44"/>
        </w:rPr>
        <w:t>工程建设项目砂石土余渣利用</w:t>
      </w:r>
    </w:p>
    <w:p w14:paraId="4E18A3A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sz w:val="44"/>
          <w:szCs w:val="44"/>
          <w:shd w:val="clear" w:color="auto" w:fill="FFFFFF"/>
        </w:rPr>
      </w:pPr>
      <w:r>
        <w:rPr>
          <w:rFonts w:hint="eastAsia" w:ascii="方正小标宋_GBK" w:eastAsia="方正小标宋_GBK"/>
          <w:sz w:val="44"/>
          <w:szCs w:val="44"/>
        </w:rPr>
        <w:t>管理的通知（征求意见稿）</w:t>
      </w:r>
    </w:p>
    <w:p w14:paraId="5805D6EB"/>
    <w:p w14:paraId="0A44C7FB">
      <w:pPr>
        <w:overflowPunct w:val="0"/>
        <w:spacing w:line="580" w:lineRule="exact"/>
        <w:ind w:firstLine="0" w:firstLineChars="0"/>
        <w:rPr>
          <w:color w:val="auto"/>
          <w:highlight w:val="none"/>
        </w:rPr>
      </w:pPr>
      <w:r>
        <w:rPr>
          <w:color w:val="auto"/>
          <w:highlight w:val="none"/>
        </w:rPr>
        <w:t>各县（市、区）人民政府，市有关单位：</w:t>
      </w:r>
    </w:p>
    <w:p w14:paraId="42DCAC57">
      <w:pPr>
        <w:overflowPunct w:val="0"/>
        <w:spacing w:line="580" w:lineRule="exact"/>
        <w:rPr>
          <w:color w:val="auto"/>
          <w:highlight w:val="none"/>
        </w:rPr>
      </w:pPr>
      <w:r>
        <w:rPr>
          <w:color w:val="auto"/>
          <w:highlight w:val="none"/>
        </w:rPr>
        <w:t>为进一步</w:t>
      </w:r>
      <w:r>
        <w:rPr>
          <w:rFonts w:hint="eastAsia"/>
          <w:color w:val="auto"/>
          <w:highlight w:val="none"/>
          <w:lang w:val="en-US" w:eastAsia="zh-CN"/>
        </w:rPr>
        <w:t>加强</w:t>
      </w:r>
      <w:r>
        <w:rPr>
          <w:color w:val="auto"/>
          <w:highlight w:val="none"/>
        </w:rPr>
        <w:t>我市工程建设项目砂石土余渣利用管理工作，根据《中华人民共和国矿产资源法》《自然资源部关于规范和完善砂石开采管理的通知》（自然资发〔2023〕57号）、《广东省自然资源厅关于加强我省建筑石料资源保障工作的通知》（粤自然资规字〔2020〕8号）、《广东省自然资源厅关于进一步规范工程建设项目涉砂石土处置工作的通知》（粤自然资函〔2023〕492号）、《广东省自然资源厅关于进一步规范工程建设项目涉砂石土处置工作的补充通知》（粤自然资矿管〔2024〕502号）等文件精神，经市人民政府同意，现就有关事项通知如下：</w:t>
      </w:r>
    </w:p>
    <w:p w14:paraId="76C521EE">
      <w:pPr>
        <w:overflowPunct w:val="0"/>
        <w:spacing w:line="580" w:lineRule="exact"/>
        <w:rPr>
          <w:color w:val="auto"/>
          <w:highlight w:val="none"/>
        </w:rPr>
      </w:pPr>
      <w:r>
        <w:rPr>
          <w:color w:val="auto"/>
          <w:highlight w:val="none"/>
        </w:rPr>
        <w:t>一、本通知所称的工程建设项目是指：一是经自然资源主管部门批准建设用地的项目。二是经有相应项目审批权限的主管部门（以下简称</w:t>
      </w:r>
      <w:r>
        <w:rPr>
          <w:rFonts w:hint="eastAsia"/>
          <w:color w:val="auto"/>
          <w:highlight w:val="none"/>
          <w:lang w:eastAsia="zh-CN"/>
        </w:rPr>
        <w:t>“</w:t>
      </w:r>
      <w:r>
        <w:rPr>
          <w:color w:val="auto"/>
          <w:highlight w:val="none"/>
        </w:rPr>
        <w:t>有权部门</w:t>
      </w:r>
      <w:r>
        <w:rPr>
          <w:rFonts w:hint="eastAsia"/>
          <w:color w:val="auto"/>
          <w:highlight w:val="none"/>
          <w:lang w:eastAsia="zh-CN"/>
        </w:rPr>
        <w:t>”</w:t>
      </w:r>
      <w:r>
        <w:rPr>
          <w:color w:val="auto"/>
          <w:highlight w:val="none"/>
        </w:rPr>
        <w:t>）批准的项目。</w:t>
      </w:r>
    </w:p>
    <w:p w14:paraId="1CC733A4">
      <w:pPr>
        <w:overflowPunct w:val="0"/>
        <w:spacing w:line="580" w:lineRule="exact"/>
        <w:rPr>
          <w:color w:val="auto"/>
          <w:highlight w:val="none"/>
        </w:rPr>
      </w:pPr>
      <w:r>
        <w:rPr>
          <w:color w:val="auto"/>
          <w:highlight w:val="none"/>
        </w:rPr>
        <w:t>工程施工范围是指：自然资源部门批准的建设项目用地（不含临时用地）范围内；经有权部门批准的项目为已批准的施工方案中明确的施工范围。</w:t>
      </w:r>
    </w:p>
    <w:p w14:paraId="7D466D2B">
      <w:pPr>
        <w:overflowPunct w:val="0"/>
        <w:spacing w:line="580" w:lineRule="exact"/>
        <w:rPr>
          <w:color w:val="auto"/>
          <w:highlight w:val="none"/>
        </w:rPr>
      </w:pPr>
      <w:r>
        <w:rPr>
          <w:color w:val="auto"/>
          <w:highlight w:val="none"/>
        </w:rPr>
        <w:t>施工期间是指：已经自然资源部门批准的建设项目用地手续有效期间；经有批准权限部门批准的项目不超过批准的施工方案明确的施工时间。一般不超过3年。</w:t>
      </w:r>
    </w:p>
    <w:p w14:paraId="47EC0400">
      <w:pPr>
        <w:overflowPunct w:val="0"/>
        <w:spacing w:line="580" w:lineRule="exact"/>
        <w:rPr>
          <w:color w:val="auto"/>
          <w:highlight w:val="none"/>
        </w:rPr>
      </w:pPr>
      <w:r>
        <w:rPr>
          <w:color w:val="auto"/>
          <w:highlight w:val="none"/>
        </w:rPr>
        <w:t>工程建设项目自用部分的砂石土是指：在工程建设项目批准占地范围内，因工程项目施工不可避免产生的，不以获取矿产品营利为目的，不将其投入流通领域，只能用于本工程建设项目合理施工需要范围内（一般包括场地平整回填、挡土墙和护坡砌筑等基础用途）</w:t>
      </w:r>
      <w:r>
        <w:rPr>
          <w:rFonts w:hint="eastAsia"/>
          <w:color w:val="auto"/>
          <w:highlight w:val="none"/>
          <w:lang w:eastAsia="zh-CN"/>
        </w:rPr>
        <w:t>，用作普通建筑材料的砂石土</w:t>
      </w:r>
      <w:r>
        <w:rPr>
          <w:color w:val="auto"/>
          <w:highlight w:val="none"/>
        </w:rPr>
        <w:t>。项目自用的砂石土资源应纳入成本管理，在设计施工方案、预算中体现（有关方案应经严格审查批准且已明确工程建设所涉及动用量的砂石土）。</w:t>
      </w:r>
    </w:p>
    <w:p w14:paraId="78D4D28D">
      <w:pPr>
        <w:overflowPunct w:val="0"/>
        <w:spacing w:line="580" w:lineRule="exact"/>
        <w:rPr>
          <w:color w:val="auto"/>
          <w:highlight w:val="none"/>
        </w:rPr>
      </w:pPr>
      <w:r>
        <w:rPr>
          <w:color w:val="auto"/>
          <w:highlight w:val="none"/>
        </w:rPr>
        <w:t>工程建设项目砂石土余渣是指：在工程建设项目施工中不可避免产生的，除本工程自用部分以外的砂石土。</w:t>
      </w:r>
    </w:p>
    <w:p w14:paraId="2BB31100">
      <w:pPr>
        <w:overflowPunct w:val="0"/>
        <w:spacing w:line="580" w:lineRule="exact"/>
        <w:rPr>
          <w:color w:val="auto"/>
          <w:highlight w:val="none"/>
        </w:rPr>
      </w:pPr>
      <w:r>
        <w:rPr>
          <w:color w:val="auto"/>
          <w:highlight w:val="none"/>
        </w:rPr>
        <w:t>二、工程建设项目建设单位（包括代建单位、市政府同意委托的单位等，以下统称</w:t>
      </w:r>
      <w:r>
        <w:rPr>
          <w:rFonts w:hint="eastAsia"/>
          <w:color w:val="auto"/>
          <w:highlight w:val="none"/>
          <w:lang w:eastAsia="zh-CN"/>
        </w:rPr>
        <w:t>“</w:t>
      </w:r>
      <w:r>
        <w:rPr>
          <w:color w:val="auto"/>
          <w:highlight w:val="none"/>
        </w:rPr>
        <w:t>建设单位</w:t>
      </w:r>
      <w:r>
        <w:rPr>
          <w:rFonts w:hint="eastAsia"/>
          <w:color w:val="auto"/>
          <w:highlight w:val="none"/>
          <w:lang w:eastAsia="zh-CN"/>
        </w:rPr>
        <w:t>”</w:t>
      </w:r>
      <w:r>
        <w:rPr>
          <w:color w:val="auto"/>
          <w:highlight w:val="none"/>
        </w:rPr>
        <w:t>）应委托具有相应资质的专业机构进行砂石土余渣量测算及价格评估，按评估价值编制工程建设项目砂石土余渣处置方案。处置方案审批部门按以下方式确定：</w:t>
      </w:r>
    </w:p>
    <w:p w14:paraId="5B5F2B3D">
      <w:pPr>
        <w:overflowPunct w:val="0"/>
        <w:spacing w:line="580" w:lineRule="exact"/>
        <w:rPr>
          <w:color w:val="auto"/>
          <w:highlight w:val="none"/>
        </w:rPr>
      </w:pPr>
      <w:r>
        <w:rPr>
          <w:color w:val="auto"/>
          <w:highlight w:val="none"/>
        </w:rPr>
        <w:t>（一）项目属市级财政或市级国有企业投资的：砂石土余渣量在10万立方米（含）以上的，处置方案由建设项目批准部门</w:t>
      </w:r>
      <w:r>
        <w:rPr>
          <w:rFonts w:hint="eastAsia"/>
          <w:color w:val="auto"/>
          <w:highlight w:val="none"/>
          <w:lang w:eastAsia="zh-CN"/>
        </w:rPr>
        <w:t>直接或</w:t>
      </w:r>
      <w:r>
        <w:rPr>
          <w:color w:val="auto"/>
          <w:highlight w:val="none"/>
        </w:rPr>
        <w:t>督促建设单位报梅州市人民政府审批；砂石土余渣量不足10万立方米的，处置方案由建设单位报建设项目批准部门审批。</w:t>
      </w:r>
    </w:p>
    <w:p w14:paraId="11A47487">
      <w:pPr>
        <w:overflowPunct w:val="0"/>
        <w:spacing w:line="580" w:lineRule="exact"/>
        <w:rPr>
          <w:color w:val="auto"/>
          <w:highlight w:val="none"/>
        </w:rPr>
      </w:pPr>
      <w:r>
        <w:rPr>
          <w:color w:val="auto"/>
          <w:highlight w:val="none"/>
        </w:rPr>
        <w:t>（二）项目属其他投资类型的，由属地县级人民政府或其指定的管理部门审批。</w:t>
      </w:r>
    </w:p>
    <w:p w14:paraId="578B359A">
      <w:pPr>
        <w:overflowPunct w:val="0"/>
        <w:spacing w:line="580" w:lineRule="exact"/>
        <w:rPr>
          <w:color w:val="auto"/>
          <w:highlight w:val="none"/>
        </w:rPr>
      </w:pPr>
      <w:r>
        <w:rPr>
          <w:color w:val="auto"/>
          <w:highlight w:val="none"/>
        </w:rPr>
        <w:t>工程建设项目砂石土余渣处置方案经相关部门批复同意后，方可开展处置工作。工程建设项目砂石土余渣处置方案应确保公开、公平、公正，在提交公共资源交易平台进行公开交易时应通过当地县级以上人民政府网站或者公共资源交易平台网站、交易大厅和当地主要报刊等形式公开发布，并接受社会监督。</w:t>
      </w:r>
    </w:p>
    <w:p w14:paraId="6B753F09">
      <w:pPr>
        <w:overflowPunct w:val="0"/>
        <w:spacing w:line="580" w:lineRule="exact"/>
        <w:rPr>
          <w:color w:val="auto"/>
          <w:highlight w:val="none"/>
        </w:rPr>
      </w:pPr>
      <w:r>
        <w:rPr>
          <w:color w:val="auto"/>
          <w:highlight w:val="none"/>
        </w:rPr>
        <w:t>三、工程建设项目砂石土余渣处置主体为县级以上人民政府或其指定的管理部门，且应通过公共资源交易平台进行公开交易，不得由项目建设主体、项目承担单位、施工单位或个人直接销售。</w:t>
      </w:r>
    </w:p>
    <w:p w14:paraId="71A04B1C">
      <w:pPr>
        <w:overflowPunct w:val="0"/>
        <w:spacing w:line="580" w:lineRule="exact"/>
        <w:rPr>
          <w:rFonts w:hint="eastAsia" w:eastAsia="方正仿宋_GBK"/>
          <w:color w:val="auto"/>
          <w:highlight w:val="none"/>
          <w:lang w:eastAsia="zh-CN"/>
        </w:rPr>
      </w:pPr>
      <w:r>
        <w:rPr>
          <w:color w:val="auto"/>
          <w:highlight w:val="none"/>
        </w:rPr>
        <w:t>工程建设项目砂石土余渣以评估价和市场基准价就高原则为基础，最终按方案经审批部门确定的价格为</w:t>
      </w:r>
      <w:r>
        <w:rPr>
          <w:rFonts w:hint="eastAsia"/>
          <w:color w:val="auto"/>
          <w:highlight w:val="none"/>
          <w:lang w:eastAsia="zh-CN"/>
        </w:rPr>
        <w:t>出让</w:t>
      </w:r>
      <w:r>
        <w:rPr>
          <w:color w:val="auto"/>
          <w:highlight w:val="none"/>
        </w:rPr>
        <w:t>起始价，在公共资源交易平台公开交易处置。</w:t>
      </w:r>
      <w:r>
        <w:rPr>
          <w:rFonts w:hint="eastAsia"/>
          <w:color w:val="auto"/>
          <w:highlight w:val="none"/>
        </w:rPr>
        <w:t>工程建设项目砂石土余渣公开交易结果的涉税信息</w:t>
      </w:r>
      <w:r>
        <w:rPr>
          <w:rFonts w:hint="eastAsia"/>
          <w:color w:val="auto"/>
          <w:highlight w:val="none"/>
          <w:lang w:eastAsia="zh-CN"/>
        </w:rPr>
        <w:t>由处置主体同步</w:t>
      </w:r>
      <w:r>
        <w:rPr>
          <w:rFonts w:hint="eastAsia"/>
          <w:color w:val="auto"/>
          <w:highlight w:val="none"/>
        </w:rPr>
        <w:t>抄送同级税务机关</w:t>
      </w:r>
      <w:r>
        <w:rPr>
          <w:rFonts w:hint="eastAsia"/>
          <w:color w:val="auto"/>
          <w:highlight w:val="none"/>
          <w:lang w:eastAsia="zh-CN"/>
        </w:rPr>
        <w:t>。</w:t>
      </w:r>
    </w:p>
    <w:p w14:paraId="47707F91">
      <w:pPr>
        <w:overflowPunct w:val="0"/>
        <w:spacing w:line="580" w:lineRule="exact"/>
        <w:rPr>
          <w:color w:val="auto"/>
          <w:highlight w:val="none"/>
        </w:rPr>
      </w:pPr>
      <w:r>
        <w:rPr>
          <w:color w:val="auto"/>
          <w:highlight w:val="none"/>
        </w:rPr>
        <w:t>工程建设项目砂石土余渣处置产生的费用由建设单位承担，并在工可阶段列明</w:t>
      </w:r>
      <w:r>
        <w:rPr>
          <w:rFonts w:hint="eastAsia"/>
          <w:color w:val="auto"/>
          <w:highlight w:val="none"/>
        </w:rPr>
        <w:t>，禁止将工程建设项目砂石土开挖的施工费用列为处置费用</w:t>
      </w:r>
      <w:r>
        <w:rPr>
          <w:color w:val="auto"/>
          <w:highlight w:val="none"/>
        </w:rPr>
        <w:t>。</w:t>
      </w:r>
    </w:p>
    <w:p w14:paraId="07845799">
      <w:pPr>
        <w:overflowPunct w:val="0"/>
        <w:spacing w:line="580" w:lineRule="exact"/>
        <w:rPr>
          <w:color w:val="auto"/>
          <w:highlight w:val="none"/>
        </w:rPr>
      </w:pPr>
      <w:r>
        <w:rPr>
          <w:color w:val="auto"/>
          <w:highlight w:val="none"/>
        </w:rPr>
        <w:t>四、有条件的县（市、区）可探索统一堆放、统一运输、统一加工处理、统一销售等的处置管理模式。</w:t>
      </w:r>
    </w:p>
    <w:p w14:paraId="4FBA64AB">
      <w:pPr>
        <w:overflowPunct w:val="0"/>
        <w:spacing w:line="580" w:lineRule="exact"/>
        <w:rPr>
          <w:color w:val="auto"/>
          <w:highlight w:val="none"/>
        </w:rPr>
      </w:pPr>
      <w:r>
        <w:rPr>
          <w:color w:val="auto"/>
          <w:highlight w:val="none"/>
        </w:rPr>
        <w:t>五、工程建设项目砂石土余渣处置收益</w:t>
      </w:r>
      <w:r>
        <w:rPr>
          <w:rFonts w:hint="eastAsia"/>
          <w:color w:val="auto"/>
          <w:highlight w:val="none"/>
          <w:lang w:eastAsia="zh-CN"/>
        </w:rPr>
        <w:t>归政府所有，按以下方式进行分配</w:t>
      </w:r>
      <w:r>
        <w:rPr>
          <w:color w:val="auto"/>
          <w:highlight w:val="none"/>
        </w:rPr>
        <w:t>。</w:t>
      </w:r>
    </w:p>
    <w:p w14:paraId="4A81B13E">
      <w:pPr>
        <w:overflowPunct w:val="0"/>
        <w:spacing w:line="580" w:lineRule="exact"/>
        <w:rPr>
          <w:color w:val="auto"/>
          <w:highlight w:val="none"/>
        </w:rPr>
      </w:pPr>
      <w:r>
        <w:rPr>
          <w:color w:val="auto"/>
          <w:highlight w:val="none"/>
        </w:rPr>
        <w:t>（一）项目由市级财政或市属国有企业投资为主的，处置收益归市级财政。其中，对归属梅江区</w:t>
      </w:r>
      <w:r>
        <w:rPr>
          <w:rFonts w:hint="eastAsia"/>
          <w:color w:val="auto"/>
          <w:highlight w:val="none"/>
          <w:lang w:eastAsia="zh-CN"/>
        </w:rPr>
        <w:t>（梅州市经开区）</w:t>
      </w:r>
      <w:r>
        <w:rPr>
          <w:color w:val="auto"/>
          <w:highlight w:val="none"/>
        </w:rPr>
        <w:t>范围内收储的土地开发工程项目砂石土余渣收益，由市级财政和梅江区</w:t>
      </w:r>
      <w:r>
        <w:rPr>
          <w:rFonts w:hint="eastAsia"/>
          <w:color w:val="auto"/>
          <w:highlight w:val="none"/>
          <w:lang w:eastAsia="zh-CN"/>
        </w:rPr>
        <w:t>（梅州市经开区）</w:t>
      </w:r>
      <w:r>
        <w:rPr>
          <w:color w:val="auto"/>
          <w:highlight w:val="none"/>
        </w:rPr>
        <w:t>财政按</w:t>
      </w:r>
      <w:r>
        <w:rPr>
          <w:rFonts w:hint="eastAsia"/>
          <w:bCs/>
          <w:color w:val="auto"/>
          <w:highlight w:val="none"/>
          <w:lang w:val="en-US" w:eastAsia="zh-CN"/>
        </w:rPr>
        <w:t>7</w:t>
      </w:r>
      <w:r>
        <w:rPr>
          <w:rFonts w:hint="eastAsia" w:ascii="文星仿宋" w:hAnsi="文星仿宋" w:eastAsia="文星仿宋" w:cs="文星仿宋"/>
          <w:bCs/>
          <w:color w:val="auto"/>
          <w:highlight w:val="none"/>
          <w:lang w:eastAsia="zh-CN"/>
        </w:rPr>
        <w:t>∶</w:t>
      </w:r>
      <w:r>
        <w:rPr>
          <w:rFonts w:hint="eastAsia"/>
          <w:bCs/>
          <w:color w:val="auto"/>
          <w:highlight w:val="none"/>
          <w:lang w:val="en-US" w:eastAsia="zh-CN"/>
        </w:rPr>
        <w:t>3</w:t>
      </w:r>
      <w:r>
        <w:rPr>
          <w:color w:val="auto"/>
          <w:highlight w:val="none"/>
        </w:rPr>
        <w:t>的比例进行分成。</w:t>
      </w:r>
    </w:p>
    <w:p w14:paraId="456600C0">
      <w:pPr>
        <w:overflowPunct w:val="0"/>
        <w:spacing w:line="580" w:lineRule="exact"/>
        <w:rPr>
          <w:color w:val="auto"/>
          <w:highlight w:val="none"/>
        </w:rPr>
      </w:pPr>
      <w:r>
        <w:rPr>
          <w:color w:val="auto"/>
          <w:highlight w:val="none"/>
        </w:rPr>
        <w:t>（二）项目由县级及县级以下财政或其下属国有企业投资为主的，处置收益归县级财政。</w:t>
      </w:r>
    </w:p>
    <w:p w14:paraId="38104F3C">
      <w:pPr>
        <w:overflowPunct w:val="0"/>
        <w:spacing w:line="580" w:lineRule="exact"/>
        <w:rPr>
          <w:color w:val="auto"/>
          <w:highlight w:val="none"/>
        </w:rPr>
      </w:pPr>
      <w:r>
        <w:rPr>
          <w:color w:val="auto"/>
          <w:highlight w:val="none"/>
        </w:rPr>
        <w:t>（三）项目由国家、省财政，央企、省企、外资、集体或民营企业及其他经济组织投资的，</w:t>
      </w:r>
      <w:r>
        <w:rPr>
          <w:rFonts w:hint="eastAsia"/>
          <w:color w:val="auto"/>
          <w:highlight w:val="none"/>
        </w:rPr>
        <w:t>处置收益由项目所在地的县（市、区）财政与市财政按5</w:t>
      </w:r>
      <w:r>
        <w:rPr>
          <w:rFonts w:hint="eastAsia" w:ascii="文星仿宋" w:hAnsi="文星仿宋" w:eastAsia="文星仿宋" w:cs="文星仿宋"/>
          <w:bCs/>
          <w:color w:val="auto"/>
          <w:highlight w:val="none"/>
          <w:lang w:eastAsia="zh-CN"/>
        </w:rPr>
        <w:t>∶</w:t>
      </w:r>
      <w:r>
        <w:rPr>
          <w:rFonts w:hint="eastAsia"/>
          <w:color w:val="auto"/>
          <w:highlight w:val="none"/>
        </w:rPr>
        <w:t>5比例分配，缴入市、县（市、区）国库。</w:t>
      </w:r>
    </w:p>
    <w:p w14:paraId="5A870754">
      <w:pPr>
        <w:overflowPunct w:val="0"/>
        <w:spacing w:line="580" w:lineRule="exact"/>
        <w:rPr>
          <w:color w:val="auto"/>
          <w:highlight w:val="none"/>
        </w:rPr>
      </w:pPr>
      <w:r>
        <w:rPr>
          <w:color w:val="auto"/>
          <w:highlight w:val="none"/>
        </w:rPr>
        <w:t>六、工程建设项目砂石土余渣处置竞得人不得违规转包、分包。工程建设项目砂石土余渣处置竞得人、项目建设单位、施工单位等，不得在工程建设项目批准占地范围内搭建碎石生产线或砂石料加工场等。砂石土余渣确需加工利用或临时堆放的，工程建设项目砂石土余渣处置竞得人应编制加工利用或临时堆放方案报主管部门备案，按规定办理临时用地审批等手续，做好安全、环保、水土保持等措施，并主动接受相关部门的监管。鼓励现有矿山企业及有能力解决砂石土堆放场地单位参与竞买。</w:t>
      </w:r>
    </w:p>
    <w:p w14:paraId="2DAF370C">
      <w:pPr>
        <w:overflowPunct w:val="0"/>
        <w:spacing w:line="580" w:lineRule="exact"/>
        <w:rPr>
          <w:color w:val="auto"/>
          <w:highlight w:val="none"/>
        </w:rPr>
      </w:pPr>
      <w:r>
        <w:rPr>
          <w:color w:val="auto"/>
          <w:highlight w:val="none"/>
        </w:rPr>
        <w:t>七、加强工程建设项目砂石土余渣利用监管。</w:t>
      </w:r>
      <w:r>
        <w:rPr>
          <w:rFonts w:hint="eastAsia"/>
          <w:color w:val="auto"/>
          <w:highlight w:val="none"/>
          <w:lang w:eastAsia="zh-CN"/>
        </w:rPr>
        <w:t>县（市、区）政府统筹组织自然资源、住建、交通、科工商务等部门加强对工程建设项目砂石土余渣利用进行监管。</w:t>
      </w:r>
      <w:r>
        <w:rPr>
          <w:color w:val="auto"/>
          <w:highlight w:val="none"/>
        </w:rPr>
        <w:t>建设单位落实砂石土余渣利用管理主体责任，建设项目批准部门按照“谁审批、谁负责”“谁批准、谁监管”的原则落实监管责任。属地镇（街）政府按照“属地管理”原则落实属地管理责任，共同监督落实砂石土余渣处置工作</w:t>
      </w:r>
      <w:r>
        <w:rPr>
          <w:rFonts w:hint="eastAsia"/>
          <w:color w:val="auto"/>
          <w:highlight w:val="none"/>
          <w:lang w:eastAsia="zh-CN"/>
        </w:rPr>
        <w:t>，</w:t>
      </w:r>
      <w:r>
        <w:rPr>
          <w:rFonts w:hint="eastAsia"/>
          <w:color w:val="auto"/>
          <w:highlight w:val="none"/>
        </w:rPr>
        <w:t>建设单位将未经公共资源交易平台公开</w:t>
      </w:r>
      <w:r>
        <w:rPr>
          <w:rFonts w:hint="eastAsia"/>
          <w:color w:val="auto"/>
          <w:highlight w:val="none"/>
          <w:lang w:eastAsia="zh-CN"/>
        </w:rPr>
        <w:t>处置</w:t>
      </w:r>
      <w:r>
        <w:rPr>
          <w:rFonts w:hint="eastAsia"/>
          <w:color w:val="auto"/>
          <w:highlight w:val="none"/>
        </w:rPr>
        <w:t>的砂石土余渣外运的，列入工程项目所在地镇（街）政府巡查监管范围。</w:t>
      </w:r>
      <w:r>
        <w:rPr>
          <w:color w:val="auto"/>
          <w:highlight w:val="none"/>
        </w:rPr>
        <w:t>对超出工程建设项目批准占地范围和标高采挖砂、石、土的，建设项目批准部门和建设单位应当及时制止和责令恢复治理，并将有关情况报告属地镇（街）政府和</w:t>
      </w:r>
      <w:r>
        <w:rPr>
          <w:rFonts w:hint="eastAsia"/>
          <w:color w:val="auto"/>
          <w:highlight w:val="none"/>
          <w:lang w:eastAsia="zh-CN"/>
        </w:rPr>
        <w:t>县（市、区）</w:t>
      </w:r>
      <w:r>
        <w:rPr>
          <w:color w:val="auto"/>
          <w:highlight w:val="none"/>
        </w:rPr>
        <w:t>自然资源主管部门，构成违法行为的依法查处。</w:t>
      </w:r>
    </w:p>
    <w:p w14:paraId="6C2B47F3">
      <w:pPr>
        <w:overflowPunct w:val="0"/>
        <w:spacing w:line="580" w:lineRule="exact"/>
        <w:rPr>
          <w:color w:val="auto"/>
          <w:highlight w:val="none"/>
        </w:rPr>
      </w:pPr>
      <w:r>
        <w:rPr>
          <w:color w:val="auto"/>
          <w:highlight w:val="none"/>
        </w:rPr>
        <w:t>八、本通知发布前存在的未依法依规处置的工程建设项目砂石土余渣按本通知规定方式处置。县级政府组织对辖区内的</w:t>
      </w:r>
      <w:r>
        <w:rPr>
          <w:rFonts w:hint="eastAsia"/>
          <w:color w:val="auto"/>
          <w:highlight w:val="none"/>
        </w:rPr>
        <w:t>洗砂场、建筑石料破碎场进行全面排查，对用砂、用石没有合法来源以及没有环评、用地、用林审批手续的，由镇（街）联合县级相关职能部门依法</w:t>
      </w:r>
      <w:r>
        <w:rPr>
          <w:rFonts w:hint="eastAsia"/>
          <w:color w:val="auto"/>
          <w:highlight w:val="none"/>
          <w:lang w:eastAsia="zh-CN"/>
        </w:rPr>
        <w:t>处置，并通告供电部门，</w:t>
      </w:r>
      <w:r>
        <w:rPr>
          <w:rFonts w:hint="eastAsia"/>
          <w:color w:val="auto"/>
          <w:highlight w:val="none"/>
        </w:rPr>
        <w:t>供电部门不得为违法洗砂场、建筑石料破碎场供电。</w:t>
      </w:r>
    </w:p>
    <w:p w14:paraId="77EA9185">
      <w:pPr>
        <w:overflowPunct w:val="0"/>
        <w:spacing w:line="580" w:lineRule="exact"/>
        <w:rPr>
          <w:color w:val="auto"/>
          <w:highlight w:val="none"/>
        </w:rPr>
      </w:pPr>
      <w:r>
        <w:rPr>
          <w:color w:val="auto"/>
          <w:highlight w:val="none"/>
        </w:rPr>
        <w:t>九、本通知自印发之日起实施，有效期三年，由梅州市自然资源局负责解释。本通知与相关法律、法规、上级政策规定有冲突的，以相关法律、法规、上级政策规定为准。</w:t>
      </w:r>
    </w:p>
    <w:p w14:paraId="3B7EC3B6">
      <w:pPr>
        <w:overflowPunct w:val="0"/>
        <w:spacing w:line="580" w:lineRule="exact"/>
        <w:ind w:left="0" w:leftChars="0" w:firstLine="0" w:firstLineChars="0"/>
        <w:rPr>
          <w:color w:val="auto"/>
          <w:highlight w:val="none"/>
        </w:rPr>
      </w:pPr>
    </w:p>
    <w:p w14:paraId="791ACB32">
      <w:pPr>
        <w:overflowPunct w:val="0"/>
        <w:spacing w:line="580" w:lineRule="exact"/>
        <w:ind w:left="0" w:leftChars="0" w:right="960" w:firstLine="0" w:firstLineChars="0"/>
        <w:jc w:val="both"/>
        <w:rPr>
          <w:color w:val="auto"/>
          <w:highlight w:val="none"/>
        </w:rPr>
      </w:pPr>
      <w:bookmarkStart w:id="0" w:name="_GoBack"/>
      <w:bookmarkEnd w:id="0"/>
      <w:r>
        <w:rPr>
          <w:color w:val="auto"/>
          <w:highlight w:val="none"/>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35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9F6CDA8-9E07-47A2-A21C-DE25587B35A8}"/>
  </w:font>
  <w:font w:name="方正仿宋_GBK">
    <w:panose1 w:val="02000000000000000000"/>
    <w:charset w:val="86"/>
    <w:family w:val="auto"/>
    <w:pitch w:val="default"/>
    <w:sig w:usb0="00000001" w:usb1="080E0000" w:usb2="00000000" w:usb3="00000000" w:csb0="00040000" w:csb1="00000000"/>
    <w:embedRegular r:id="rId2" w:fontKey="{263F209C-E888-40FD-8608-27EC2EAC00F4}"/>
  </w:font>
  <w:font w:name="方正小标宋_GBK">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embedRegular r:id="rId3" w:fontKey="{BD74AA5C-E57F-4964-A397-A1801FBAD6C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933550"/>
      <w:docPartObj>
        <w:docPartGallery w:val="autotext"/>
      </w:docPartObj>
    </w:sdtPr>
    <w:sdtContent>
      <w:p w14:paraId="6B4E2E14">
        <w:pPr>
          <w:pStyle w:val="2"/>
          <w:jc w:val="center"/>
        </w:pPr>
        <w:r>
          <w:fldChar w:fldCharType="begin"/>
        </w:r>
        <w:r>
          <w:instrText xml:space="preserve">PAGE   \* MERGEFORMAT</w:instrText>
        </w:r>
        <w:r>
          <w:fldChar w:fldCharType="separate"/>
        </w:r>
        <w:r>
          <w:rPr>
            <w:lang w:val="zh-CN"/>
          </w:rPr>
          <w:t>3</w:t>
        </w:r>
        <w:r>
          <w:fldChar w:fldCharType="end"/>
        </w:r>
      </w:p>
    </w:sdtContent>
  </w:sdt>
  <w:p w14:paraId="0C30501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47A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E66A">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1B51">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17B6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82F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jViZmMyMmMxMDRkYzM2YzBkYTdjNmM3MmZlNDQifQ=="/>
  </w:docVars>
  <w:rsids>
    <w:rsidRoot w:val="00465C3A"/>
    <w:rsid w:val="00045DD1"/>
    <w:rsid w:val="00150509"/>
    <w:rsid w:val="00194493"/>
    <w:rsid w:val="001C2ACF"/>
    <w:rsid w:val="00207C5A"/>
    <w:rsid w:val="002139C9"/>
    <w:rsid w:val="002209C3"/>
    <w:rsid w:val="00236BEB"/>
    <w:rsid w:val="00294239"/>
    <w:rsid w:val="002D5FC5"/>
    <w:rsid w:val="00315EC0"/>
    <w:rsid w:val="003462E3"/>
    <w:rsid w:val="003E57CE"/>
    <w:rsid w:val="00436016"/>
    <w:rsid w:val="00465C3A"/>
    <w:rsid w:val="004E6BC1"/>
    <w:rsid w:val="005A6180"/>
    <w:rsid w:val="005E18B3"/>
    <w:rsid w:val="00616BD3"/>
    <w:rsid w:val="006221D3"/>
    <w:rsid w:val="006257C1"/>
    <w:rsid w:val="006316C7"/>
    <w:rsid w:val="006B2B24"/>
    <w:rsid w:val="006F75AF"/>
    <w:rsid w:val="00763E92"/>
    <w:rsid w:val="00A37DE0"/>
    <w:rsid w:val="00A63FD5"/>
    <w:rsid w:val="00B53486"/>
    <w:rsid w:val="00B5589C"/>
    <w:rsid w:val="00BC52A6"/>
    <w:rsid w:val="00C37473"/>
    <w:rsid w:val="00C75FD9"/>
    <w:rsid w:val="00D306DD"/>
    <w:rsid w:val="00D97198"/>
    <w:rsid w:val="00DA2049"/>
    <w:rsid w:val="00DE435A"/>
    <w:rsid w:val="00F41D65"/>
    <w:rsid w:val="00F43DA1"/>
    <w:rsid w:val="07EF17DC"/>
    <w:rsid w:val="0D663809"/>
    <w:rsid w:val="14F83C37"/>
    <w:rsid w:val="17B538EA"/>
    <w:rsid w:val="2258795C"/>
    <w:rsid w:val="25843CAE"/>
    <w:rsid w:val="29831DD3"/>
    <w:rsid w:val="3081675F"/>
    <w:rsid w:val="33BC61E2"/>
    <w:rsid w:val="38E2075A"/>
    <w:rsid w:val="3AE1793E"/>
    <w:rsid w:val="43B829A3"/>
    <w:rsid w:val="445A4216"/>
    <w:rsid w:val="4EA419C0"/>
    <w:rsid w:val="501C4BE6"/>
    <w:rsid w:val="59C72E88"/>
    <w:rsid w:val="5BC45233"/>
    <w:rsid w:val="60F17CF0"/>
    <w:rsid w:val="682C7077"/>
    <w:rsid w:val="69782D5D"/>
    <w:rsid w:val="79F04156"/>
    <w:rsid w:val="7F37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0" w:firstLineChars="20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www.sdgho.com</Company>
  <Pages>5</Pages>
  <Words>2451</Words>
  <Characters>2475</Characters>
  <Lines>17</Lines>
  <Paragraphs>4</Paragraphs>
  <TotalTime>14</TotalTime>
  <ScaleCrop>false</ScaleCrop>
  <LinksUpToDate>false</LinksUpToDate>
  <CharactersWithSpaces>2478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2024-12-16T02:46:00Z</dcterms:created>
  <dc:creator>深度技术团队</dc:creator>
  <cp:lastModifiedBy>辉</cp:lastModifiedBy>
  <cp:lastPrinted>2025-01-15T01:06:00Z</cp:lastPrinted>
  <dcterms:modified xsi:type="dcterms:W3CDTF">2025-02-25T08:16:31Z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eyJoZGlkIjoiMjllOTMxMTI4YzFjNGNhYjhjMzMzOGZlZTFiODE4NDEiLCJ1c2VySWQiOiIzNDA3NzE1MjcifQ==</vt:lpwstr>
  </property>
  <property fmtid="{D5CDD505-2E9C-101B-9397-08002B2CF9AE}" pid="3" name="KSOProductBuildVer">
    <vt:lpwstr>2052-12.1.0.20305</vt:lpwstr>
  </property>
  <property fmtid="{D5CDD505-2E9C-101B-9397-08002B2CF9AE}" pid="4" name="ICV">
    <vt:lpwstr>38CEFB95B4B94893809B6E03F7310E33_13</vt:lpwstr>
  </property>
</Properties>
</file>