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ageBreakBefore w:val="0"/>
        <w:numPr>
          <w:ilvl w:val="0"/>
          <w:numId w:val="0"/>
        </w:numPr>
        <w:kinsoku/>
        <w:wordWrap/>
        <w:overflowPunct/>
        <w:topLinePunct w:val="0"/>
        <w:autoSpaceDE/>
        <w:autoSpaceDN/>
        <w:bidi w:val="0"/>
        <w:spacing w:before="0" w:beforeLines="0" w:beforeAutospacing="0" w:after="0" w:afterLines="0" w:afterAutospacing="0" w:line="540" w:lineRule="exact"/>
        <w:ind w:left="0" w:firstLine="0"/>
        <w:jc w:val="both"/>
        <w:textAlignment w:val="auto"/>
        <w:rPr>
          <w:rFonts w:hint="eastAsia"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eastAsia="zh-CN"/>
        </w:rPr>
        <w:t>附件</w:t>
      </w:r>
      <w:r>
        <w:rPr>
          <w:rFonts w:hint="eastAsia" w:ascii="黑体" w:hAnsi="黑体" w:eastAsia="黑体" w:cs="黑体"/>
          <w:snapToGrid w:val="0"/>
          <w:kern w:val="0"/>
          <w:sz w:val="32"/>
          <w:szCs w:val="32"/>
          <w:lang w:val="en-US" w:eastAsia="zh-CN"/>
        </w:rPr>
        <w:t>1</w:t>
      </w:r>
    </w:p>
    <w:p>
      <w:pPr>
        <w:pStyle w:val="7"/>
        <w:pageBreakBefore w:val="0"/>
        <w:numPr>
          <w:ilvl w:val="0"/>
          <w:numId w:val="0"/>
        </w:numPr>
        <w:kinsoku/>
        <w:wordWrap/>
        <w:overflowPunct/>
        <w:topLinePunct w:val="0"/>
        <w:autoSpaceDE/>
        <w:autoSpaceDN/>
        <w:bidi w:val="0"/>
        <w:spacing w:before="0" w:beforeLines="0" w:beforeAutospacing="0" w:after="0" w:afterLines="0" w:afterAutospacing="0" w:line="540" w:lineRule="exact"/>
        <w:ind w:left="0" w:firstLine="0"/>
        <w:textAlignment w:val="auto"/>
        <w:rPr>
          <w:rFonts w:hint="eastAsia" w:ascii="方正小标宋简体" w:hAnsi="方正小标宋简体" w:eastAsia="方正小标宋简体" w:cs="方正小标宋简体"/>
          <w:snapToGrid w:val="0"/>
          <w:kern w:val="0"/>
          <w:sz w:val="44"/>
          <w:szCs w:val="44"/>
        </w:rPr>
      </w:pPr>
    </w:p>
    <w:p>
      <w:pPr>
        <w:pStyle w:val="7"/>
        <w:pageBreakBefore w:val="0"/>
        <w:numPr>
          <w:ilvl w:val="0"/>
          <w:numId w:val="0"/>
        </w:numPr>
        <w:kinsoku/>
        <w:wordWrap/>
        <w:overflowPunct/>
        <w:topLinePunct w:val="0"/>
        <w:autoSpaceDE/>
        <w:autoSpaceDN/>
        <w:bidi w:val="0"/>
        <w:spacing w:before="0" w:beforeLines="0" w:beforeAutospacing="0" w:after="0" w:afterLines="0" w:afterAutospacing="0" w:line="540" w:lineRule="exact"/>
        <w:ind w:left="0" w:firstLine="0"/>
        <w:textAlignment w:val="auto"/>
        <w:rPr>
          <w:rFonts w:hint="eastAsia" w:ascii="方正小标宋简体" w:hAnsi="方正小标宋简体" w:eastAsia="方正小标宋简体" w:cs="方正小标宋简体"/>
          <w:color w:val="auto"/>
          <w:kern w:val="44"/>
          <w:sz w:val="44"/>
          <w:szCs w:val="44"/>
          <w:shd w:val="clear" w:color="auto" w:fill="FFFFFF"/>
        </w:rPr>
      </w:pPr>
      <w:r>
        <w:rPr>
          <w:rFonts w:hint="eastAsia" w:ascii="方正小标宋简体" w:hAnsi="方正小标宋简体" w:eastAsia="方正小标宋简体" w:cs="方正小标宋简体"/>
          <w:snapToGrid w:val="0"/>
          <w:kern w:val="0"/>
          <w:sz w:val="44"/>
          <w:szCs w:val="44"/>
          <w:lang w:eastAsia="zh-CN"/>
        </w:rPr>
        <w:t>专利侵权纠纷行政裁决</w:t>
      </w:r>
      <w:r>
        <w:rPr>
          <w:rFonts w:hint="eastAsia" w:ascii="方正小标宋简体" w:hAnsi="方正小标宋简体" w:eastAsia="方正小标宋简体" w:cs="方正小标宋简体"/>
          <w:color w:val="auto"/>
          <w:kern w:val="44"/>
          <w:sz w:val="44"/>
          <w:szCs w:val="44"/>
          <w:shd w:val="clear" w:color="auto" w:fill="FFFFFF"/>
        </w:rPr>
        <w:t>项目</w:t>
      </w:r>
    </w:p>
    <w:p>
      <w:pPr>
        <w:pStyle w:val="7"/>
        <w:pageBreakBefore w:val="0"/>
        <w:numPr>
          <w:ilvl w:val="0"/>
          <w:numId w:val="0"/>
        </w:numPr>
        <w:kinsoku/>
        <w:wordWrap/>
        <w:overflowPunct/>
        <w:topLinePunct w:val="0"/>
        <w:autoSpaceDE/>
        <w:autoSpaceDN/>
        <w:bidi w:val="0"/>
        <w:spacing w:before="0" w:beforeLines="0" w:beforeAutospacing="0" w:after="0" w:afterLines="0" w:afterAutospacing="0" w:line="540" w:lineRule="exact"/>
        <w:ind w:left="0" w:firstLine="0"/>
        <w:textAlignment w:val="auto"/>
        <w:rPr>
          <w:rFonts w:hint="eastAsia" w:ascii="方正小标宋简体" w:hAnsi="方正小标宋简体" w:eastAsia="方正小标宋简体" w:cs="方正小标宋简体"/>
          <w:color w:val="auto"/>
          <w:kern w:val="44"/>
          <w:sz w:val="44"/>
          <w:szCs w:val="44"/>
          <w:shd w:val="clear" w:color="auto" w:fill="FFFFFF"/>
        </w:rPr>
      </w:pPr>
      <w:r>
        <w:rPr>
          <w:rFonts w:hint="eastAsia" w:ascii="方正小标宋简体" w:hAnsi="方正小标宋简体" w:eastAsia="方正小标宋简体" w:cs="方正小标宋简体"/>
          <w:color w:val="auto"/>
          <w:kern w:val="44"/>
          <w:sz w:val="44"/>
          <w:szCs w:val="44"/>
          <w:shd w:val="clear" w:color="auto" w:fill="FFFFFF"/>
        </w:rPr>
        <w:t>申报指南</w:t>
      </w: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left"/>
        <w:textAlignment w:val="auto"/>
        <w:rPr>
          <w:rFonts w:hint="eastAsia" w:ascii="方正小标宋简体" w:hAnsi="方正小标宋简体" w:eastAsia="方正小标宋简体" w:cs="方正小标宋简体"/>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snapToGrid w:val="0"/>
          <w:kern w:val="0"/>
          <w:sz w:val="32"/>
          <w:szCs w:val="32"/>
          <w:lang w:eastAsia="zh-CN"/>
        </w:rPr>
      </w:pPr>
      <w:r>
        <w:rPr>
          <w:rFonts w:hint="eastAsia" w:ascii="黑体" w:hAnsi="黑体" w:eastAsia="黑体" w:cs="黑体"/>
          <w:b w:val="0"/>
          <w:bCs w:val="0"/>
          <w:snapToGrid w:val="0"/>
          <w:kern w:val="0"/>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专利侵权纠纷行政裁决项目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二、项目目标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推动专利侵权纠纷行政裁决与市场监管综合行政执法融合，加强知识产权行政裁决队伍专业化、职业化建设，加大专利侵权纠纷行政裁决力度，提升行政裁决效能。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snapToGrid w:val="0"/>
          <w:kern w:val="0"/>
          <w:sz w:val="32"/>
          <w:szCs w:val="32"/>
          <w:lang w:eastAsia="zh-CN"/>
        </w:rPr>
      </w:pPr>
      <w:r>
        <w:rPr>
          <w:rFonts w:hint="eastAsia" w:ascii="黑体" w:hAnsi="黑体" w:eastAsia="黑体" w:cs="黑体"/>
          <w:b w:val="0"/>
          <w:bCs w:val="0"/>
          <w:snapToGrid w:val="0"/>
          <w:kern w:val="0"/>
          <w:sz w:val="32"/>
          <w:szCs w:val="32"/>
          <w:lang w:eastAsia="zh-CN"/>
        </w:rPr>
        <w:t>三、项目任务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（一）协助我市知识产权行政管理部门加强专利侵权纠纷行政裁决工作宣传，以印发专利侵权纠纷行政裁决工作宣传手册或举办宣传咨询活动等方式，提升创新主体利用行政裁决途径解决专利侵权纠纷的意识。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（二）根据我市知识产权行政管理部门工作需求，组织举办专利侵权纠纷行政裁决培训班不少于1场次，培训人数不少于</w:t>
      </w:r>
      <w:r>
        <w:rPr>
          <w:rFonts w:hint="eastAsia" w:ascii="仿宋_GB2312" w:hAnsi="仿宋_GB2312" w:eastAsia="仿宋_GB2312" w:cs="仿宋_GB2312"/>
          <w:sz w:val="32"/>
          <w:szCs w:val="32"/>
          <w:lang w:val="en-US" w:eastAsia="zh-CN"/>
        </w:rPr>
        <w:t>50人，</w:t>
      </w:r>
      <w:r>
        <w:rPr>
          <w:rFonts w:hint="eastAsia" w:ascii="仿宋_GB2312" w:hAnsi="仿宋_GB2312" w:eastAsia="仿宋_GB2312" w:cs="仿宋_GB2312"/>
          <w:sz w:val="32"/>
          <w:szCs w:val="32"/>
          <w:lang w:eastAsia="zh-CN"/>
        </w:rPr>
        <w:t>有效提升行政管理人员的行政裁决能力和水平。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（三）协助我市知识产权行政管理部门持续完善我市专利侵权纠纷行政裁决工作机制，在细化取证、固证等证据规则和技术调查、检验鉴定工作举措等方面提供专业意见。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（四）协助我市知识产权行政管理部门组织开展专利侵权纠纷行政裁决案例评选活动及办案经验交流活动各不少于1次。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（五）根据我市知识产权行政管理部门工作需要，为专利侵权判定提供技术咨询服务，搭建知识产权行政管理部门与企业之间的法律咨询服务桥梁。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（六）开展专利侵权纠纷专题调研，了解并收集企业关于专利侵权纠纷的相关诉求，形成专题调研分析报告，</w:t>
      </w:r>
      <w:bookmarkStart w:id="0" w:name="_GoBack"/>
      <w:bookmarkEnd w:id="0"/>
      <w:r>
        <w:rPr>
          <w:rFonts w:hint="eastAsia" w:ascii="仿宋_GB2312" w:hAnsi="仿宋_GB2312" w:eastAsia="仿宋_GB2312" w:cs="仿宋_GB2312"/>
          <w:sz w:val="32"/>
          <w:szCs w:val="32"/>
          <w:lang w:val="en-US" w:eastAsia="zh-CN"/>
        </w:rPr>
        <w:t>提供专利侵权纠纷线索8条以上。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四、申报条件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sz w:val="32"/>
        </w:rPr>
        <w:t>境内依法登记注册、具备合法资质的企事业单位、社会组织、非法人组织等，拥有开展知识产权纠纷化解工作的实践经验，具备提供专利侵权判定技术咨询服务以及邀请专家开展相关培训的能力。</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申报材料</w:t>
      </w:r>
    </w:p>
    <w:p>
      <w:pPr>
        <w:pStyle w:val="2"/>
        <w:keepNext/>
        <w:keepLines/>
        <w:pageBreakBefore w:val="0"/>
        <w:widowControl w:val="0"/>
        <w:numPr>
          <w:ilvl w:val="0"/>
          <w:numId w:val="0"/>
        </w:numPr>
        <w:kinsoku/>
        <w:wordWrap/>
        <w:overflowPunct/>
        <w:topLinePunct w:val="0"/>
        <w:autoSpaceDE/>
        <w:autoSpaceDN/>
        <w:bidi w:val="0"/>
        <w:adjustRightInd/>
        <w:snapToGrid/>
        <w:ind w:leftChars="0" w:firstLine="612" w:firstLineChars="200"/>
        <w:textAlignment w:val="auto"/>
        <w:rPr>
          <w:rFonts w:hint="eastAsia"/>
          <w:lang w:eastAsia="zh-CN"/>
        </w:rPr>
      </w:pPr>
      <w:r>
        <w:rPr>
          <w:rFonts w:hint="eastAsia" w:ascii="Times New Roman" w:hAnsi="Times New Roman" w:eastAsia="仿宋_GB2312" w:cs="Times New Roman"/>
          <w:b w:val="0"/>
          <w:bCs/>
          <w:color w:val="auto"/>
          <w:spacing w:val="-7"/>
          <w:kern w:val="0"/>
          <w:sz w:val="32"/>
          <w:szCs w:val="32"/>
          <w:lang w:val="en-US" w:eastAsia="zh-CN" w:bidi="ar-SA"/>
        </w:rPr>
        <w:t>申报单位通过“粤财扶助”梅州平台（网址：https://czbt.czt.gd.gov.cn/）申报。未注册的单位应参照登录界面的操作说明先行注册。</w:t>
      </w:r>
      <w:r>
        <w:rPr>
          <w:rFonts w:hint="eastAsia" w:eastAsia="仿宋_GB2312" w:cs="Times New Roman"/>
          <w:b w:val="0"/>
          <w:bCs/>
          <w:color w:val="auto"/>
          <w:spacing w:val="-7"/>
          <w:kern w:val="0"/>
          <w:sz w:val="32"/>
          <w:szCs w:val="32"/>
          <w:lang w:val="en-US" w:eastAsia="zh-CN" w:bidi="ar-SA"/>
        </w:rPr>
        <w:t>提交材料如下：</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Theme="minorEastAsia"/>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）《梅州市202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年省下放市县知识产权专项资金知识产权保护类项目申报书》；（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）主体资格登记证书复印件、银行开户许可证复印件；（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）近两年的财务报表；（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）申报条件要求的资质和经验证明材料；</w:t>
      </w:r>
      <w:r>
        <w:rPr>
          <w:rFonts w:hint="eastAsia" w:eastAsia="仿宋_GB2312"/>
          <w:kern w:val="2"/>
          <w:sz w:val="32"/>
          <w:szCs w:val="32"/>
          <w:lang w:eastAsia="zh-CN"/>
        </w:rPr>
        <w:t>（</w:t>
      </w:r>
      <w:r>
        <w:rPr>
          <w:rFonts w:hint="eastAsia" w:eastAsia="仿宋_GB2312"/>
          <w:kern w:val="2"/>
          <w:sz w:val="32"/>
          <w:szCs w:val="32"/>
          <w:lang w:val="en-US" w:eastAsia="zh-CN"/>
        </w:rPr>
        <w:t>5</w:t>
      </w:r>
      <w:r>
        <w:rPr>
          <w:rFonts w:hint="eastAsia" w:ascii="仿宋_GB2312" w:hAnsi="仿宋_GB2312" w:eastAsia="仿宋_GB2312" w:cs="仿宋_GB2312"/>
          <w:kern w:val="2"/>
          <w:sz w:val="32"/>
          <w:szCs w:val="32"/>
          <w:lang w:val="en-US" w:eastAsia="zh-CN"/>
        </w:rPr>
        <w:t>）其他证明申报单位优势的佐证材料；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eastAsia="仿宋_GB2312"/>
          <w:kern w:val="2"/>
          <w:sz w:val="32"/>
          <w:szCs w:val="32"/>
        </w:rPr>
        <w:t>真实性承诺函</w:t>
      </w:r>
      <w:r>
        <w:rPr>
          <w:rFonts w:hint="eastAsia" w:eastAsia="仿宋_GB2312"/>
          <w:kern w:val="2"/>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上述材料均需加盖公章并在申报材料加盖骑缝章。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ascii="Times New Roman" w:hAnsi="Times New Roman" w:eastAsia="仿宋_GB2312" w:cs="仿宋_GB2312"/>
          <w:bCs w:val="0"/>
          <w:spacing w:val="0"/>
          <w:kern w:val="2"/>
          <w:sz w:val="32"/>
          <w:szCs w:val="32"/>
          <w:shd w:val="clear" w:color="auto" w:fill="FFFFFF"/>
          <w:lang w:val="en-US" w:eastAsia="zh-CN" w:bidi="ar-SA"/>
        </w:rPr>
        <w:t>项目申报办理联系人：陈曦</w:t>
      </w:r>
      <w:r>
        <w:rPr>
          <w:rFonts w:hint="eastAsia" w:eastAsia="仿宋_GB2312"/>
          <w:color w:val="auto"/>
          <w:sz w:val="32"/>
          <w:lang w:val="en-US" w:eastAsia="zh-CN"/>
        </w:rPr>
        <w:t>，</w:t>
      </w:r>
      <w:r>
        <w:rPr>
          <w:rFonts w:hint="eastAsia" w:eastAsia="仿宋_GB2312"/>
          <w:color w:val="auto"/>
          <w:sz w:val="32"/>
          <w:lang w:eastAsia="zh-CN"/>
        </w:rPr>
        <w:t>电话：0753-2</w:t>
      </w:r>
      <w:r>
        <w:rPr>
          <w:rFonts w:hint="eastAsia" w:eastAsia="仿宋_GB2312"/>
          <w:color w:val="auto"/>
          <w:sz w:val="32"/>
          <w:lang w:val="en-US" w:eastAsia="zh-CN"/>
        </w:rPr>
        <w:t>187192，</w:t>
      </w:r>
      <w:r>
        <w:rPr>
          <w:rFonts w:hint="eastAsia" w:eastAsia="仿宋_GB2312"/>
          <w:color w:val="auto"/>
          <w:sz w:val="32"/>
          <w:lang w:eastAsia="zh-CN"/>
        </w:rPr>
        <w:t>地址：广东省梅州市梅江区彬芳大道82号梅州市市场监督管理局知识产权保护科。</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六、</w:t>
      </w:r>
      <w:r>
        <w:rPr>
          <w:rFonts w:hint="eastAsia" w:ascii="黑体" w:hAnsi="黑体" w:eastAsia="黑体"/>
          <w:color w:val="auto"/>
          <w:sz w:val="32"/>
          <w:lang w:eastAsia="zh-CN"/>
        </w:rPr>
        <w:t>支持方式及额度、实施期限</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支持项目</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项，支持额度</w:t>
      </w:r>
      <w:r>
        <w:rPr>
          <w:rFonts w:hint="eastAsia" w:ascii="仿宋_GB2312" w:hAnsi="仿宋_GB2312" w:eastAsia="仿宋_GB2312" w:cs="仿宋_GB2312"/>
          <w:color w:val="auto"/>
          <w:sz w:val="32"/>
          <w:szCs w:val="32"/>
          <w:lang w:val="en-US" w:eastAsia="zh-CN"/>
        </w:rPr>
        <w:t>2</w:t>
      </w:r>
      <w:r>
        <w:rPr>
          <w:rFonts w:hint="eastAsia" w:ascii="仿宋_GB2312" w:hAnsi="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万元；所有项目任务原则上需在20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lang w:eastAsia="zh-CN"/>
        </w:rPr>
        <w:t>年完成。</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我局将组织专家对申报项目进行资格审查和评审，按照评审结果列入省下放市县知识产权专项资金项目库。</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_GB2312" w:hAnsi="仿宋_GB2312" w:eastAsia="仿宋_GB2312" w:cs="仿宋_GB2312"/>
          <w:color w:val="auto"/>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小标宋">
    <w:altName w:val="宋体"/>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2142A"/>
    <w:multiLevelType w:val="singleLevel"/>
    <w:tmpl w:val="AAA2142A"/>
    <w:lvl w:ilvl="0" w:tentative="0">
      <w:start w:val="5"/>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YTRmMDcxMjE0ZmZkNzY5NTY4YzM4ZDg0MTBmNjAifQ=="/>
  </w:docVars>
  <w:rsids>
    <w:rsidRoot w:val="58964188"/>
    <w:rsid w:val="0588057C"/>
    <w:rsid w:val="08CA494F"/>
    <w:rsid w:val="0E4B3D25"/>
    <w:rsid w:val="0E5276D3"/>
    <w:rsid w:val="0FDF4A0C"/>
    <w:rsid w:val="11144883"/>
    <w:rsid w:val="147F3BAB"/>
    <w:rsid w:val="150B0C12"/>
    <w:rsid w:val="1A9E63EF"/>
    <w:rsid w:val="1B6A08B4"/>
    <w:rsid w:val="1D2708C4"/>
    <w:rsid w:val="297D0F5C"/>
    <w:rsid w:val="41A0123F"/>
    <w:rsid w:val="45BBE8E4"/>
    <w:rsid w:val="49214376"/>
    <w:rsid w:val="4F900E60"/>
    <w:rsid w:val="55ED2F1E"/>
    <w:rsid w:val="58143782"/>
    <w:rsid w:val="58964188"/>
    <w:rsid w:val="5E7EF0FE"/>
    <w:rsid w:val="610756F7"/>
    <w:rsid w:val="63FF0356"/>
    <w:rsid w:val="66C27CD0"/>
    <w:rsid w:val="6B71389E"/>
    <w:rsid w:val="6E0826F0"/>
    <w:rsid w:val="6EB556F9"/>
    <w:rsid w:val="70FFFEC5"/>
    <w:rsid w:val="74FBE75F"/>
    <w:rsid w:val="753FA8E2"/>
    <w:rsid w:val="7A3E05ED"/>
    <w:rsid w:val="CBCF4E2F"/>
    <w:rsid w:val="CEFBB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样式1"/>
    <w:basedOn w:val="2"/>
    <w:unhideWhenUsed/>
    <w:qFormat/>
    <w:uiPriority w:val="0"/>
    <w:pPr>
      <w:widowControl/>
      <w:adjustRightInd w:val="0"/>
      <w:snapToGrid w:val="0"/>
      <w:spacing w:before="100" w:beforeLines="0" w:beforeAutospacing="1" w:after="100" w:afterLines="0" w:afterAutospacing="1" w:line="640" w:lineRule="exact"/>
      <w:jc w:val="center"/>
    </w:pPr>
    <w:rPr>
      <w:rFonts w:hint="eastAsia" w:ascii="小标宋" w:eastAsia="小标宋"/>
      <w:color w:val="000000"/>
      <w:kern w:val="0"/>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河源市市场监管局</Company>
  <Pages>3</Pages>
  <Words>0</Words>
  <Characters>0</Characters>
  <Lines>0</Lines>
  <Paragraphs>0</Paragraphs>
  <TotalTime>0</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2023-10-29T16:32:00Z</dcterms:created>
  <dc:creator>陈明</dc:creator>
  <cp:lastModifiedBy>greatwall</cp:lastModifiedBy>
  <cp:lastPrinted>2024-02-24T23:34:00Z</cp:lastPrinted>
  <dcterms:modified xsi:type="dcterms:W3CDTF">2025-03-25T08:58:02Z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B0BBCD9248E64ED98CA5CDCD29702DA8</vt:lpwstr>
  </property>
</Properties>
</file>