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60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1</w:t>
      </w:r>
    </w:p>
    <w:p>
      <w:pPr>
        <w:keepNext w:val="0"/>
        <w:keepLines w:val="0"/>
        <w:pageBreakBefore w:val="0"/>
        <w:kinsoku/>
        <w:overflowPunct/>
        <w:autoSpaceDE/>
        <w:autoSpaceDN/>
        <w:bidi w:val="0"/>
        <w:adjustRightInd/>
        <w:snapToGrid/>
        <w:spacing w:line="600" w:lineRule="exact"/>
        <w:jc w:val="center"/>
        <w:textAlignment w:val="auto"/>
        <w:rPr>
          <w:rFonts w:hint="eastAsia" w:ascii="仿宋_GB2312" w:hAnsi="仿宋" w:eastAsia="仿宋_GB2312" w:cs="仿宋"/>
          <w:color w:val="000000" w:themeColor="text1"/>
          <w:sz w:val="36"/>
          <w:szCs w:val="44"/>
          <w14:textFill>
            <w14:solidFill>
              <w14:schemeClr w14:val="tx1"/>
            </w14:solidFill>
          </w14:textFill>
        </w:rPr>
      </w:pPr>
      <w:bookmarkStart w:id="2" w:name="_GoBack"/>
      <w:bookmarkEnd w:id="2"/>
    </w:p>
    <w:p>
      <w:pPr>
        <w:keepNext w:val="0"/>
        <w:keepLines w:val="0"/>
        <w:pageBreakBefore w:val="0"/>
        <w:kinsoku/>
        <w:overflow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梅州市基本医疗保险</w:t>
      </w:r>
      <w:r>
        <w:rPr>
          <w:rFonts w:hint="eastAsia" w:ascii="Times New Roman" w:hAnsi="Times New Roman" w:eastAsia="方正小标宋简体" w:cs="Times New Roman"/>
          <w:sz w:val="44"/>
          <w:szCs w:val="48"/>
        </w:rPr>
        <w:t>DIP2.0</w:t>
      </w:r>
      <w:r>
        <w:rPr>
          <w:rFonts w:hint="eastAsia" w:ascii="方正小标宋_GBK" w:hAnsi="方正小标宋_GBK" w:eastAsia="方正小标宋_GBK" w:cs="方正小标宋_GBK"/>
          <w:sz w:val="44"/>
          <w:szCs w:val="48"/>
        </w:rPr>
        <w:t>版分值库</w:t>
      </w:r>
    </w:p>
    <w:p>
      <w:pPr>
        <w:keepNext w:val="0"/>
        <w:keepLines w:val="0"/>
        <w:pageBreakBefore w:val="0"/>
        <w:kinsoku/>
        <w:overflow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w:t>
      </w:r>
      <w:r>
        <w:rPr>
          <w:rFonts w:hint="eastAsia" w:ascii="Times New Roman" w:hAnsi="Times New Roman" w:eastAsia="方正小标宋简体" w:cs="Times New Roman"/>
          <w:sz w:val="44"/>
          <w:szCs w:val="48"/>
        </w:rPr>
        <w:t>2025</w:t>
      </w:r>
      <w:r>
        <w:rPr>
          <w:rFonts w:hint="eastAsia" w:ascii="方正小标宋_GBK" w:hAnsi="方正小标宋_GBK" w:eastAsia="方正小标宋_GBK" w:cs="方正小标宋_GBK"/>
          <w:sz w:val="44"/>
          <w:szCs w:val="48"/>
        </w:rPr>
        <w:t>年）及定点医疗机构</w:t>
      </w:r>
    </w:p>
    <w:p>
      <w:pPr>
        <w:keepNext w:val="0"/>
        <w:keepLines w:val="0"/>
        <w:pageBreakBefore w:val="0"/>
        <w:kinsoku/>
        <w:overflowPunct/>
        <w:autoSpaceDE/>
        <w:autoSpaceDN/>
        <w:bidi w:val="0"/>
        <w:adjustRightInd/>
        <w:snapToGrid/>
        <w:spacing w:line="600" w:lineRule="exact"/>
        <w:jc w:val="center"/>
        <w:textAlignment w:val="auto"/>
        <w:rPr>
          <w:rFonts w:ascii="Times New Roman" w:hAnsi="Times New Roman" w:eastAsia="方正小标宋简体" w:cs="Times New Roman"/>
          <w:sz w:val="40"/>
          <w:szCs w:val="44"/>
        </w:rPr>
      </w:pPr>
      <w:r>
        <w:rPr>
          <w:rFonts w:hint="eastAsia" w:ascii="方正小标宋_GBK" w:hAnsi="方正小标宋_GBK" w:eastAsia="方正小标宋_GBK" w:cs="方正小标宋_GBK"/>
          <w:sz w:val="44"/>
          <w:szCs w:val="48"/>
        </w:rPr>
        <w:t>基本系数的编制说明</w:t>
      </w:r>
    </w:p>
    <w:p>
      <w:pPr>
        <w:keepNext w:val="0"/>
        <w:keepLines w:val="0"/>
        <w:pageBreakBefore w:val="0"/>
        <w:kinsoku/>
        <w:overflowPunct/>
        <w:autoSpaceDE/>
        <w:autoSpaceDN/>
        <w:bidi w:val="0"/>
        <w:adjustRightInd/>
        <w:snapToGrid/>
        <w:spacing w:line="600" w:lineRule="exact"/>
        <w:jc w:val="center"/>
        <w:textAlignment w:val="auto"/>
        <w:rPr>
          <w:rFonts w:hint="eastAsia" w:ascii="仿宋_GB2312" w:hAnsi="仿宋" w:eastAsia="仿宋_GB2312" w:cs="仿宋"/>
          <w:b/>
          <w:bCs/>
          <w:color w:val="000000" w:themeColor="text1"/>
          <w:sz w:val="40"/>
          <w:szCs w:val="44"/>
          <w14:textFill>
            <w14:solidFill>
              <w14:schemeClr w14:val="tx1"/>
            </w14:solidFill>
          </w14:textFill>
        </w:rPr>
      </w:pPr>
    </w:p>
    <w:p>
      <w:pPr>
        <w:keepNext w:val="0"/>
        <w:keepLines w:val="0"/>
        <w:pageBreakBefore w:val="0"/>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为进一步推进我市医保支付制度改革，建立和完善管用高效的医保支付机制，根据国家按病种分值付费（</w:t>
      </w:r>
      <w:r>
        <w:rPr>
          <w:rFonts w:hint="eastAsia" w:ascii="Times New Roman" w:hAnsi="Times New Roman" w:eastAsia="仿宋_GB2312" w:cs="Times New Roman"/>
          <w:color w:val="000000"/>
          <w:kern w:val="0"/>
          <w:sz w:val="32"/>
          <w:szCs w:val="32"/>
        </w:rPr>
        <w:t>DIP</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kern w:val="0"/>
          <w:sz w:val="32"/>
          <w:szCs w:val="32"/>
        </w:rPr>
        <w:t>2.0</w:t>
      </w:r>
      <w:r>
        <w:rPr>
          <w:rFonts w:hint="eastAsia" w:ascii="方正仿宋_GBK" w:hAnsi="方正仿宋_GBK" w:eastAsia="方正仿宋_GBK" w:cs="方正仿宋_GBK"/>
          <w:color w:val="000000" w:themeColor="text1"/>
          <w:sz w:val="32"/>
          <w:szCs w:val="32"/>
          <w14:textFill>
            <w14:solidFill>
              <w14:schemeClr w14:val="tx1"/>
            </w14:solidFill>
          </w14:textFill>
        </w:rPr>
        <w:t>版相关规则及技术规范要求，结合我市实际，形成了梅州市基本医疗保险</w:t>
      </w:r>
      <w:r>
        <w:rPr>
          <w:rFonts w:hint="eastAsia" w:ascii="Times New Roman" w:hAnsi="Times New Roman" w:eastAsia="仿宋_GB2312" w:cs="Times New Roman"/>
          <w:color w:val="000000"/>
          <w:kern w:val="0"/>
          <w:sz w:val="32"/>
          <w:szCs w:val="32"/>
        </w:rPr>
        <w:t>DIP2.0</w:t>
      </w:r>
      <w:r>
        <w:rPr>
          <w:rFonts w:hint="eastAsia" w:ascii="方正仿宋_GBK" w:hAnsi="方正仿宋_GBK" w:eastAsia="方正仿宋_GBK" w:cs="方正仿宋_GBK"/>
          <w:color w:val="000000" w:themeColor="text1"/>
          <w:sz w:val="32"/>
          <w:szCs w:val="32"/>
          <w14:textFill>
            <w14:solidFill>
              <w14:schemeClr w14:val="tx1"/>
            </w14:solidFill>
          </w14:textFill>
        </w:rPr>
        <w:t>版分值库（</w:t>
      </w:r>
      <w:r>
        <w:rPr>
          <w:rFonts w:hint="eastAsia" w:ascii="Times New Roman" w:hAnsi="Times New Roman" w:eastAsia="仿宋_GB2312" w:cs="Times New Roman"/>
          <w:color w:val="000000"/>
          <w:kern w:val="0"/>
          <w:sz w:val="32"/>
          <w:szCs w:val="32"/>
        </w:rPr>
        <w:t>2025</w:t>
      </w:r>
      <w:r>
        <w:rPr>
          <w:rFonts w:hint="eastAsia" w:ascii="方正仿宋_GBK" w:hAnsi="方正仿宋_GBK" w:eastAsia="方正仿宋_GBK" w:cs="方正仿宋_GBK"/>
          <w:color w:val="000000" w:themeColor="text1"/>
          <w:sz w:val="32"/>
          <w:szCs w:val="32"/>
          <w14:textFill>
            <w14:solidFill>
              <w14:schemeClr w14:val="tx1"/>
            </w14:solidFill>
          </w14:textFill>
        </w:rPr>
        <w:t>年）及定点医疗机构基本系数，编制情况说明如下。</w:t>
      </w:r>
    </w:p>
    <w:p>
      <w:pPr>
        <w:keepNext w:val="0"/>
        <w:keepLines w:val="0"/>
        <w:pageBreakBefore w:val="0"/>
        <w:kinsoku/>
        <w:overflowPunct/>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一、病种库和定点医疗机构基本系数</w:t>
      </w:r>
    </w:p>
    <w:p>
      <w:pPr>
        <w:keepNext w:val="0"/>
        <w:keepLines w:val="0"/>
        <w:pageBreakBefore w:val="0"/>
        <w:kinsoku/>
        <w:overflow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（一）病种库。</w:t>
      </w:r>
      <w:r>
        <w:rPr>
          <w:rFonts w:hint="eastAsia" w:ascii="方正仿宋_GBK" w:hAnsi="方正仿宋_GBK" w:eastAsia="方正仿宋_GBK" w:cs="方正仿宋_GBK"/>
          <w:color w:val="000000" w:themeColor="text1"/>
          <w:sz w:val="32"/>
          <w:szCs w:val="32"/>
          <w14:textFill>
            <w14:solidFill>
              <w14:schemeClr w14:val="tx1"/>
            </w14:solidFill>
          </w14:textFill>
        </w:rPr>
        <w:t>采用标准化法聚类疾病与治疗方式的共性特征，形成本市病种组合共</w:t>
      </w:r>
      <w:r>
        <w:rPr>
          <w:rFonts w:hint="eastAsia" w:ascii="Times New Roman" w:hAnsi="Times New Roman" w:eastAsia="仿宋_GB2312" w:cs="Times New Roman"/>
          <w:color w:val="000000"/>
          <w:kern w:val="0"/>
          <w:sz w:val="32"/>
          <w:szCs w:val="32"/>
        </w:rPr>
        <w:t>4477</w:t>
      </w:r>
      <w:r>
        <w:rPr>
          <w:rFonts w:hint="eastAsia" w:ascii="方正仿宋_GBK" w:hAnsi="方正仿宋_GBK" w:eastAsia="方正仿宋_GBK" w:cs="方正仿宋_GBK"/>
          <w:color w:val="000000" w:themeColor="text1"/>
          <w:sz w:val="32"/>
          <w:szCs w:val="32"/>
          <w14:textFill>
            <w14:solidFill>
              <w14:schemeClr w14:val="tx1"/>
            </w14:solidFill>
          </w14:textFill>
        </w:rPr>
        <w:t>组，其中有</w:t>
      </w:r>
      <w:r>
        <w:rPr>
          <w:rFonts w:hint="eastAsia" w:ascii="Times New Roman" w:hAnsi="Times New Roman" w:eastAsia="仿宋_GB2312" w:cs="Times New Roman"/>
          <w:color w:val="000000"/>
          <w:kern w:val="0"/>
          <w:sz w:val="32"/>
          <w:szCs w:val="32"/>
        </w:rPr>
        <w:t>3646</w:t>
      </w:r>
      <w:r>
        <w:rPr>
          <w:rFonts w:hint="eastAsia" w:ascii="方正仿宋_GBK" w:hAnsi="方正仿宋_GBK" w:eastAsia="方正仿宋_GBK" w:cs="方正仿宋_GBK"/>
          <w:color w:val="000000" w:themeColor="text1"/>
          <w:sz w:val="32"/>
          <w:szCs w:val="32"/>
          <w14:textFill>
            <w14:solidFill>
              <w14:schemeClr w14:val="tx1"/>
            </w14:solidFill>
          </w14:textFill>
        </w:rPr>
        <w:t>组核心病种（基层病种</w:t>
      </w:r>
      <w:r>
        <w:rPr>
          <w:rFonts w:hint="eastAsia" w:ascii="Times New Roman" w:hAnsi="Times New Roman" w:eastAsia="仿宋_GB2312" w:cs="Times New Roman"/>
          <w:color w:val="000000"/>
          <w:kern w:val="0"/>
          <w:sz w:val="32"/>
          <w:szCs w:val="32"/>
        </w:rPr>
        <w:t>500</w:t>
      </w:r>
      <w:r>
        <w:rPr>
          <w:rFonts w:hint="eastAsia" w:ascii="方正仿宋_GBK" w:hAnsi="方正仿宋_GBK" w:eastAsia="方正仿宋_GBK" w:cs="方正仿宋_GBK"/>
          <w:color w:val="000000" w:themeColor="text1"/>
          <w:sz w:val="32"/>
          <w:szCs w:val="32"/>
          <w14:textFill>
            <w14:solidFill>
              <w14:schemeClr w14:val="tx1"/>
            </w14:solidFill>
          </w14:textFill>
        </w:rPr>
        <w:t>组）、</w:t>
      </w:r>
      <w:r>
        <w:rPr>
          <w:rFonts w:hint="eastAsia" w:ascii="Times New Roman" w:hAnsi="Times New Roman" w:eastAsia="仿宋_GB2312" w:cs="Times New Roman"/>
          <w:color w:val="000000"/>
          <w:kern w:val="0"/>
          <w:sz w:val="32"/>
          <w:szCs w:val="32"/>
        </w:rPr>
        <w:t>793</w:t>
      </w:r>
      <w:r>
        <w:rPr>
          <w:rFonts w:hint="eastAsia" w:ascii="方正仿宋_GBK" w:hAnsi="方正仿宋_GBK" w:eastAsia="方正仿宋_GBK" w:cs="方正仿宋_GBK"/>
          <w:color w:val="000000" w:themeColor="text1"/>
          <w:sz w:val="32"/>
          <w:szCs w:val="32"/>
          <w14:textFill>
            <w14:solidFill>
              <w14:schemeClr w14:val="tx1"/>
            </w14:solidFill>
          </w14:textFill>
        </w:rPr>
        <w:t>组综合病种，</w:t>
      </w:r>
      <w:r>
        <w:rPr>
          <w:rFonts w:hint="eastAsia" w:ascii="Times New Roman" w:hAnsi="Times New Roman" w:eastAsia="仿宋_GB2312" w:cs="Times New Roman"/>
          <w:color w:val="000000"/>
          <w:kern w:val="0"/>
          <w:sz w:val="32"/>
          <w:szCs w:val="32"/>
        </w:rPr>
        <w:t>37</w:t>
      </w:r>
      <w:r>
        <w:rPr>
          <w:rFonts w:hint="eastAsia" w:ascii="方正仿宋_GBK" w:hAnsi="方正仿宋_GBK" w:eastAsia="方正仿宋_GBK" w:cs="方正仿宋_GBK"/>
          <w:color w:val="000000" w:themeColor="text1"/>
          <w:sz w:val="32"/>
          <w:szCs w:val="32"/>
          <w14:textFill>
            <w14:solidFill>
              <w14:schemeClr w14:val="tx1"/>
            </w14:solidFill>
          </w14:textFill>
        </w:rPr>
        <w:t>组中医优势病种，</w:t>
      </w:r>
      <w:r>
        <w:rPr>
          <w:rFonts w:hint="eastAsia" w:ascii="Times New Roman" w:hAnsi="Times New Roman" w:eastAsia="仿宋_GB2312" w:cs="Times New Roman"/>
          <w:color w:val="000000"/>
          <w:kern w:val="0"/>
          <w:sz w:val="32"/>
          <w:szCs w:val="32"/>
        </w:rPr>
        <w:t>1</w:t>
      </w:r>
      <w:r>
        <w:rPr>
          <w:rFonts w:hint="eastAsia" w:ascii="方正仿宋_GBK" w:hAnsi="方正仿宋_GBK" w:eastAsia="方正仿宋_GBK" w:cs="方正仿宋_GBK"/>
          <w:color w:val="000000" w:themeColor="text1"/>
          <w:sz w:val="32"/>
          <w:szCs w:val="32"/>
          <w14:textFill>
            <w14:solidFill>
              <w14:schemeClr w14:val="tx1"/>
            </w14:solidFill>
          </w14:textFill>
        </w:rPr>
        <w:t>组床日病种（精神病）。</w:t>
      </w:r>
    </w:p>
    <w:p>
      <w:pPr>
        <w:keepNext w:val="0"/>
        <w:keepLines w:val="0"/>
        <w:pageBreakBefore w:val="0"/>
        <w:kinsoku/>
        <w:overflow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（二）基准病种。</w:t>
      </w:r>
      <w:r>
        <w:rPr>
          <w:rFonts w:hint="eastAsia" w:ascii="方正仿宋_GBK" w:hAnsi="方正仿宋_GBK" w:eastAsia="方正仿宋_GBK" w:cs="方正仿宋_GBK"/>
          <w:color w:val="000000" w:themeColor="text1"/>
          <w:sz w:val="32"/>
          <w:szCs w:val="32"/>
          <w14:textFill>
            <w14:solidFill>
              <w14:schemeClr w14:val="tx1"/>
            </w14:solidFill>
          </w14:textFill>
        </w:rPr>
        <w:t>主要诊断为急性阑尾炎伴弥漫性腹膜炎和主要手术腹腔镜下阑尾切除术（病种编码组合</w:t>
      </w:r>
      <w:r>
        <w:rPr>
          <w:rFonts w:hint="eastAsia" w:ascii="Times New Roman" w:hAnsi="Times New Roman" w:eastAsia="仿宋_GB2312" w:cs="Times New Roman"/>
          <w:color w:val="000000"/>
          <w:kern w:val="0"/>
          <w:sz w:val="32"/>
          <w:szCs w:val="32"/>
        </w:rPr>
        <w:t>K35.2：47.0100</w:t>
      </w:r>
      <w:r>
        <w:rPr>
          <w:rFonts w:hint="eastAsia" w:ascii="方正仿宋_GBK" w:hAnsi="方正仿宋_GBK" w:eastAsia="方正仿宋_GBK" w:cs="方正仿宋_GBK"/>
          <w:color w:val="000000" w:themeColor="text1"/>
          <w:sz w:val="32"/>
          <w:szCs w:val="32"/>
          <w14:textFill>
            <w14:solidFill>
              <w14:schemeClr w14:val="tx1"/>
            </w14:solidFill>
          </w14:textFill>
        </w:rPr>
        <w:t>）的病种作为基准病种，其分值确定为</w:t>
      </w:r>
      <w:r>
        <w:rPr>
          <w:rFonts w:hint="eastAsia" w:ascii="Times New Roman" w:hAnsi="Times New Roman" w:eastAsia="仿宋_GB2312" w:cs="Times New Roman"/>
          <w:color w:val="000000"/>
          <w:kern w:val="0"/>
          <w:sz w:val="32"/>
          <w:szCs w:val="32"/>
        </w:rPr>
        <w:t>1000</w:t>
      </w:r>
      <w:r>
        <w:rPr>
          <w:rFonts w:hint="eastAsia" w:ascii="方正仿宋_GBK" w:hAnsi="方正仿宋_GBK" w:eastAsia="方正仿宋_GBK" w:cs="方正仿宋_GBK"/>
          <w:color w:val="000000" w:themeColor="text1"/>
          <w:sz w:val="32"/>
          <w:szCs w:val="32"/>
          <w14:textFill>
            <w14:solidFill>
              <w14:schemeClr w14:val="tx1"/>
            </w14:solidFill>
          </w14:textFill>
        </w:rPr>
        <w:t>分，基准病种年度次均费用作为病种分值调节的计算依据。</w:t>
      </w:r>
    </w:p>
    <w:p>
      <w:pPr>
        <w:keepNext w:val="0"/>
        <w:keepLines w:val="0"/>
        <w:pageBreakBefore w:val="0"/>
        <w:kinsoku/>
        <w:overflow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（三）基层病种。</w:t>
      </w:r>
      <w:r>
        <w:rPr>
          <w:rFonts w:hint="eastAsia" w:ascii="方正仿宋_GBK" w:hAnsi="方正仿宋_GBK" w:eastAsia="方正仿宋_GBK" w:cs="方正仿宋_GBK"/>
          <w:color w:val="000000" w:themeColor="text1"/>
          <w:sz w:val="32"/>
          <w:szCs w:val="32"/>
          <w14:textFill>
            <w14:solidFill>
              <w14:schemeClr w14:val="tx1"/>
            </w14:solidFill>
          </w14:textFill>
        </w:rPr>
        <w:t>为促进分级诊疗，对基层普遍可以开展治疗且费用区分度较小的病种纳入基层病种，基层病种增加到</w:t>
      </w:r>
      <w:r>
        <w:rPr>
          <w:rFonts w:hint="eastAsia" w:ascii="Times New Roman" w:hAnsi="Times New Roman" w:eastAsia="仿宋_GB2312" w:cs="Times New Roman"/>
          <w:color w:val="000000"/>
          <w:kern w:val="0"/>
          <w:sz w:val="32"/>
          <w:szCs w:val="32"/>
        </w:rPr>
        <w:t>500</w:t>
      </w:r>
      <w:r>
        <w:rPr>
          <w:rFonts w:hint="eastAsia" w:ascii="方正仿宋_GBK" w:hAnsi="方正仿宋_GBK" w:eastAsia="方正仿宋_GBK" w:cs="方正仿宋_GBK"/>
          <w:color w:val="000000" w:themeColor="text1"/>
          <w:sz w:val="32"/>
          <w:szCs w:val="32"/>
          <w14:textFill>
            <w14:solidFill>
              <w14:schemeClr w14:val="tx1"/>
            </w14:solidFill>
          </w14:textFill>
        </w:rPr>
        <w:t>组。</w:t>
      </w:r>
    </w:p>
    <w:p>
      <w:pPr>
        <w:keepNext w:val="0"/>
        <w:keepLines w:val="0"/>
        <w:pageBreakBefore w:val="0"/>
        <w:kinsoku/>
        <w:overflow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（四）中医优势病种。</w:t>
      </w:r>
      <w:r>
        <w:rPr>
          <w:rFonts w:hint="eastAsia" w:ascii="方正仿宋_GBK" w:hAnsi="方正仿宋_GBK" w:eastAsia="方正仿宋_GBK" w:cs="方正仿宋_GBK"/>
          <w:color w:val="000000" w:themeColor="text1"/>
          <w:sz w:val="32"/>
          <w:szCs w:val="32"/>
          <w14:textFill>
            <w14:solidFill>
              <w14:schemeClr w14:val="tx1"/>
            </w14:solidFill>
          </w14:textFill>
        </w:rPr>
        <w:t>支持中医药传承创新发展，中医优势病种增加到</w:t>
      </w:r>
      <w:r>
        <w:rPr>
          <w:rFonts w:hint="eastAsia" w:ascii="Times New Roman" w:hAnsi="Times New Roman" w:eastAsia="仿宋_GB2312" w:cs="Times New Roman"/>
          <w:color w:val="000000"/>
          <w:kern w:val="0"/>
          <w:sz w:val="32"/>
          <w:szCs w:val="32"/>
        </w:rPr>
        <w:t>37</w:t>
      </w:r>
      <w:r>
        <w:rPr>
          <w:rFonts w:hint="eastAsia" w:ascii="方正仿宋_GBK" w:hAnsi="方正仿宋_GBK" w:eastAsia="方正仿宋_GBK" w:cs="方正仿宋_GBK"/>
          <w:color w:val="000000" w:themeColor="text1"/>
          <w:sz w:val="32"/>
          <w:szCs w:val="32"/>
          <w14:textFill>
            <w14:solidFill>
              <w14:schemeClr w14:val="tx1"/>
            </w14:solidFill>
          </w14:textFill>
        </w:rPr>
        <w:t>组，对符合条件入组的中医优势病种分值提高</w:t>
      </w:r>
      <w:r>
        <w:rPr>
          <w:rFonts w:hint="eastAsia" w:ascii="Times New Roman" w:hAnsi="Times New Roman" w:eastAsia="仿宋_GB2312" w:cs="Times New Roman"/>
          <w:color w:val="000000"/>
          <w:kern w:val="0"/>
          <w:sz w:val="32"/>
          <w:szCs w:val="32"/>
        </w:rPr>
        <w:t>5%</w:t>
      </w:r>
      <w:r>
        <w:rPr>
          <w:rFonts w:hint="eastAsia" w:ascii="方正仿宋_GBK" w:hAnsi="方正仿宋_GBK" w:eastAsia="方正仿宋_GBK" w:cs="方正仿宋_GBK"/>
          <w:color w:val="000000" w:themeColor="text1"/>
          <w:sz w:val="32"/>
          <w:szCs w:val="32"/>
          <w14:textFill>
            <w14:solidFill>
              <w14:schemeClr w14:val="tx1"/>
            </w14:solidFill>
          </w14:textFill>
        </w:rPr>
        <w:t>，实施同病同治同分值，直接计入各等级定点医疗机构年度分值总和。</w:t>
      </w:r>
    </w:p>
    <w:p>
      <w:pPr>
        <w:keepNext w:val="0"/>
        <w:keepLines w:val="0"/>
        <w:pageBreakBefore w:val="0"/>
        <w:kinsoku/>
        <w:overflow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（五）</w:t>
      </w:r>
      <w:bookmarkStart w:id="0" w:name="OLE_LINK14"/>
      <w:r>
        <w:rPr>
          <w:rFonts w:hint="eastAsia" w:ascii="方正楷体_GBK" w:hAnsi="方正楷体_GBK" w:eastAsia="方正楷体_GBK" w:cs="方正楷体_GBK"/>
          <w:b/>
          <w:color w:val="000000" w:themeColor="text1"/>
          <w:sz w:val="32"/>
          <w:szCs w:val="32"/>
          <w14:textFill>
            <w14:solidFill>
              <w14:schemeClr w14:val="tx1"/>
            </w14:solidFill>
          </w14:textFill>
        </w:rPr>
        <w:t>床日病种</w:t>
      </w:r>
      <w:bookmarkEnd w:id="0"/>
      <w:r>
        <w:rPr>
          <w:rFonts w:hint="eastAsia" w:ascii="方正楷体_GBK" w:hAnsi="方正楷体_GBK" w:eastAsia="方正楷体_GBK" w:cs="方正楷体_GBK"/>
          <w:b/>
          <w:color w:val="000000" w:themeColor="text1"/>
          <w:sz w:val="32"/>
          <w:szCs w:val="32"/>
          <w14:textFill>
            <w14:solidFill>
              <w14:schemeClr w14:val="tx1"/>
            </w14:solidFill>
          </w14:textFill>
        </w:rPr>
        <w:t>（精神病）。</w:t>
      </w:r>
      <w:r>
        <w:rPr>
          <w:rFonts w:hint="eastAsia" w:ascii="方正仿宋_GBK" w:hAnsi="方正仿宋_GBK" w:eastAsia="方正仿宋_GBK" w:cs="方正仿宋_GBK"/>
          <w:color w:val="000000" w:themeColor="text1"/>
          <w:sz w:val="32"/>
          <w:szCs w:val="32"/>
          <w14:textFill>
            <w14:solidFill>
              <w14:schemeClr w14:val="tx1"/>
            </w14:solidFill>
          </w14:textFill>
        </w:rPr>
        <w:t>根据医院不同等级和功能定位，全市精神类定点医疗机构的床日分值分为三个标准：一级及未定级、二级、三级。</w:t>
      </w:r>
    </w:p>
    <w:p>
      <w:pPr>
        <w:keepNext w:val="0"/>
        <w:keepLines w:val="0"/>
        <w:pageBreakBefore w:val="0"/>
        <w:kinsoku/>
        <w:wordWrap w:val="0"/>
        <w:overflowPunct/>
        <w:topLine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（六）</w:t>
      </w:r>
      <w:r>
        <w:rPr>
          <w:rFonts w:hint="eastAsia" w:ascii="Times New Roman" w:hAnsi="Times New Roman" w:eastAsia="仿宋_GB2312" w:cs="Times New Roman"/>
          <w:b/>
          <w:bCs/>
          <w:color w:val="000000"/>
          <w:kern w:val="0"/>
          <w:sz w:val="32"/>
          <w:szCs w:val="32"/>
        </w:rPr>
        <w:t>DIP</w:t>
      </w:r>
      <w:r>
        <w:rPr>
          <w:rFonts w:hint="eastAsia" w:ascii="方正楷体_GBK" w:hAnsi="方正楷体_GBK" w:eastAsia="方正楷体_GBK" w:cs="方正楷体_GBK"/>
          <w:b/>
          <w:color w:val="000000" w:themeColor="text1"/>
          <w:sz w:val="32"/>
          <w:szCs w:val="32"/>
          <w14:textFill>
            <w14:solidFill>
              <w14:schemeClr w14:val="tx1"/>
            </w14:solidFill>
          </w14:textFill>
        </w:rPr>
        <w:t>付费与部分医疗服务项目衔接。</w:t>
      </w:r>
      <w:bookmarkStart w:id="1" w:name="OLE_LINK16"/>
      <w:r>
        <w:rPr>
          <w:rFonts w:hint="default" w:ascii="方正仿宋_GBK" w:hAnsi="方正仿宋_GBK" w:eastAsia="方正仿宋_GBK" w:cs="方正仿宋_GBK"/>
          <w:color w:val="000000" w:themeColor="text1"/>
          <w:sz w:val="32"/>
          <w:szCs w:val="32"/>
          <w14:textFill>
            <w14:solidFill>
              <w14:schemeClr w14:val="tx1"/>
            </w14:solidFill>
          </w14:textFill>
        </w:rPr>
        <w:t>支持新技术、新项目的开展，确保群众基本医疗服务前提下满足群众不同层次医疗需求，保证我市</w:t>
      </w:r>
      <w:r>
        <w:rPr>
          <w:rFonts w:hint="default" w:ascii="Times New Roman" w:hAnsi="Times New Roman" w:eastAsia="仿宋_GB2312" w:cs="Times New Roman"/>
          <w:color w:val="000000"/>
          <w:kern w:val="0"/>
          <w:sz w:val="32"/>
          <w:szCs w:val="32"/>
        </w:rPr>
        <w:t>DIP</w:t>
      </w:r>
      <w:r>
        <w:rPr>
          <w:rFonts w:hint="default" w:ascii="方正仿宋_GBK" w:hAnsi="方正仿宋_GBK" w:eastAsia="方正仿宋_GBK" w:cs="方正仿宋_GBK"/>
          <w:color w:val="000000" w:themeColor="text1"/>
          <w:sz w:val="32"/>
          <w:szCs w:val="32"/>
          <w14:textFill>
            <w14:solidFill>
              <w14:schemeClr w14:val="tx1"/>
            </w14:solidFill>
          </w14:textFill>
        </w:rPr>
        <w:t>付费合理性</w:t>
      </w:r>
      <w:r>
        <w:rPr>
          <w:rFonts w:hint="eastAsia" w:ascii="方正仿宋_GBK" w:hAnsi="方正仿宋_GBK" w:eastAsia="方正仿宋_GBK" w:cs="方正仿宋_GBK"/>
          <w:color w:val="000000" w:themeColor="text1"/>
          <w:sz w:val="32"/>
          <w:szCs w:val="32"/>
          <w14:textFill>
            <w14:solidFill>
              <w14:schemeClr w14:val="tx1"/>
            </w14:solidFill>
          </w14:textFill>
        </w:rPr>
        <w:t>，对参保人住院期间发生的“免陪照护服务”项目、特需住院诊查费（</w:t>
      </w:r>
      <w:r>
        <w:rPr>
          <w:rFonts w:hint="eastAsia" w:ascii="Times New Roman" w:hAnsi="Times New Roman" w:eastAsia="仿宋_GB2312" w:cs="Times New Roman"/>
          <w:color w:val="000000"/>
          <w:kern w:val="0"/>
          <w:sz w:val="32"/>
          <w:szCs w:val="32"/>
        </w:rPr>
        <w:t>001102000050000-110200005T</w:t>
      </w:r>
      <w:r>
        <w:rPr>
          <w:rFonts w:hint="eastAsia" w:ascii="方正仿宋_GBK" w:hAnsi="方正仿宋_GBK" w:eastAsia="方正仿宋_GBK" w:cs="方正仿宋_GBK"/>
          <w:color w:val="000000" w:themeColor="text1"/>
          <w:sz w:val="32"/>
          <w:szCs w:val="32"/>
          <w14:textFill>
            <w14:solidFill>
              <w14:schemeClr w14:val="tx1"/>
            </w14:solidFill>
          </w14:textFill>
        </w:rPr>
        <w:t>）、床位费（</w:t>
      </w:r>
      <w:r>
        <w:rPr>
          <w:rFonts w:hint="eastAsia" w:ascii="Times New Roman" w:hAnsi="Times New Roman" w:eastAsia="仿宋_GB2312" w:cs="Times New Roman"/>
          <w:color w:val="000000"/>
          <w:kern w:val="0"/>
          <w:sz w:val="32"/>
          <w:szCs w:val="32"/>
        </w:rPr>
        <w:t>001109000010500-110700002F</w:t>
      </w:r>
      <w:r>
        <w:rPr>
          <w:rFonts w:hint="eastAsia" w:ascii="方正仿宋_GBK" w:hAnsi="方正仿宋_GBK" w:eastAsia="方正仿宋_GBK" w:cs="方正仿宋_GBK"/>
          <w:color w:val="000000" w:themeColor="text1"/>
          <w:sz w:val="32"/>
          <w:szCs w:val="32"/>
          <w14:textFill>
            <w14:solidFill>
              <w14:schemeClr w14:val="tx1"/>
            </w14:solidFill>
          </w14:textFill>
        </w:rPr>
        <w:t>）不纳入本次住院的医疗总费用核算范围。</w:t>
      </w:r>
    </w:p>
    <w:bookmarkEnd w:id="1"/>
    <w:p>
      <w:pPr>
        <w:keepNext w:val="0"/>
        <w:keepLines w:val="0"/>
        <w:pageBreakBefore w:val="0"/>
        <w:kinsoku/>
        <w:overflowPunct/>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（七）定点医疗机构基本系数。一是</w:t>
      </w:r>
      <w:r>
        <w:rPr>
          <w:rFonts w:hint="eastAsia" w:ascii="方正仿宋_GBK" w:hAnsi="方正仿宋_GBK" w:eastAsia="方正仿宋_GBK" w:cs="方正仿宋_GBK"/>
          <w:color w:val="000000" w:themeColor="text1"/>
          <w:sz w:val="32"/>
          <w:szCs w:val="32"/>
          <w14:textFill>
            <w14:solidFill>
              <w14:schemeClr w14:val="tx1"/>
            </w14:solidFill>
          </w14:textFill>
        </w:rPr>
        <w:t>定点医疗机构基本系数采用等级系数法确定，沿用现有医疗机构分档原则，提取各类定点医疗机构近三年按病种分值结算数据，剔除病种费用中严重偏大或偏小的异常数据，按历史费用和结算分值的比值关系计算制订各类定点医疗机构的基本系数。</w:t>
      </w:r>
      <w:r>
        <w:rPr>
          <w:rFonts w:hint="eastAsia" w:ascii="方正楷体_GBK" w:hAnsi="方正楷体_GBK" w:eastAsia="方正楷体_GBK" w:cs="方正楷体_GBK"/>
          <w:b/>
          <w:color w:val="000000" w:themeColor="text1"/>
          <w:sz w:val="32"/>
          <w:szCs w:val="32"/>
          <w14:textFill>
            <w14:solidFill>
              <w14:schemeClr w14:val="tx1"/>
            </w14:solidFill>
          </w14:textFill>
        </w:rPr>
        <w:t>二是</w:t>
      </w:r>
      <w:r>
        <w:rPr>
          <w:rFonts w:hint="eastAsia" w:ascii="方正仿宋_GBK" w:hAnsi="方正仿宋_GBK" w:eastAsia="方正仿宋_GBK" w:cs="方正仿宋_GBK"/>
          <w:color w:val="000000" w:themeColor="text1"/>
          <w:sz w:val="32"/>
          <w:szCs w:val="32"/>
          <w14:textFill>
            <w14:solidFill>
              <w14:schemeClr w14:val="tx1"/>
            </w14:solidFill>
          </w14:textFill>
        </w:rPr>
        <w:t>为支持分级诊疗，对获得国家“优质服务基层行”推荐标准的机构，年度清算时，按第</w:t>
      </w:r>
      <w:r>
        <w:rPr>
          <w:rFonts w:hint="eastAsia" w:ascii="Times New Roman" w:hAnsi="Times New Roman" w:eastAsia="仿宋_GB2312" w:cs="Times New Roman"/>
          <w:color w:val="000000"/>
          <w:kern w:val="0"/>
          <w:sz w:val="32"/>
          <w:szCs w:val="32"/>
        </w:rPr>
        <w:t>5</w:t>
      </w:r>
      <w:r>
        <w:rPr>
          <w:rFonts w:hint="eastAsia" w:ascii="方正仿宋_GBK" w:hAnsi="方正仿宋_GBK" w:eastAsia="方正仿宋_GBK" w:cs="方正仿宋_GBK"/>
          <w:color w:val="000000" w:themeColor="text1"/>
          <w:sz w:val="32"/>
          <w:szCs w:val="32"/>
          <w14:textFill>
            <w14:solidFill>
              <w14:schemeClr w14:val="tx1"/>
            </w14:solidFill>
          </w14:textFill>
        </w:rPr>
        <w:t>档医疗机构基本系数执行。</w:t>
      </w:r>
    </w:p>
    <w:p>
      <w:pPr>
        <w:keepNext w:val="0"/>
        <w:keepLines w:val="0"/>
        <w:pageBreakBefore w:val="0"/>
        <w:kinsoku/>
        <w:overflowPunct/>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二、入组规则</w:t>
      </w:r>
    </w:p>
    <w:p>
      <w:pPr>
        <w:keepNext w:val="0"/>
        <w:keepLines w:val="0"/>
        <w:pageBreakBefore w:val="0"/>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医疗机构应当按照《医疗保障基金结算清单填写规范》上传统一的医保结算清单，国家医疗保障平台按照先核心病种、后综合病种的顺序进行系统入组，具体规则如下：</w:t>
      </w:r>
    </w:p>
    <w:p>
      <w:pPr>
        <w:pStyle w:val="11"/>
        <w:keepNext w:val="0"/>
        <w:keepLines w:val="0"/>
        <w:pageBreakBefore w:val="0"/>
        <w:widowControl/>
        <w:numPr>
          <w:ilvl w:val="0"/>
          <w:numId w:val="1"/>
        </w:numPr>
        <w:kinsoku/>
        <w:overflowPunct/>
        <w:autoSpaceDE/>
        <w:autoSpaceDN/>
        <w:bidi w:val="0"/>
        <w:adjustRightInd/>
        <w:snapToGrid/>
        <w:spacing w:line="600" w:lineRule="exact"/>
        <w:ind w:firstLineChars="0"/>
        <w:jc w:val="left"/>
        <w:textAlignment w:val="auto"/>
        <w:rPr>
          <w:rFonts w:hint="eastAsia" w:ascii="方正楷体_GBK" w:hAnsi="方正楷体_GBK" w:eastAsia="方正楷体_GBK" w:cs="方正楷体_GBK"/>
          <w:b/>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color w:val="000000" w:themeColor="text1"/>
          <w:kern w:val="2"/>
          <w:sz w:val="32"/>
          <w:szCs w:val="32"/>
          <w:lang w:val="en-US" w:eastAsia="zh-CN" w:bidi="ar-SA"/>
          <w14:textFill>
            <w14:solidFill>
              <w14:schemeClr w14:val="tx1"/>
            </w14:solidFill>
          </w14:textFill>
        </w:rPr>
        <w:t>核心病种。</w:t>
      </w:r>
    </w:p>
    <w:p>
      <w:pPr>
        <w:keepNext w:val="0"/>
        <w:keepLines w:val="0"/>
        <w:pageBreakBefore w:val="0"/>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医保结算清单中主要诊断、主要手术操作和其他操作与核心病种能完全匹配时，入组唯一匹配的病种。满足入组多个核心病种组时，分为下列两种情形：</w:t>
      </w:r>
    </w:p>
    <w:p>
      <w:pPr>
        <w:keepNext w:val="0"/>
        <w:keepLines w:val="0"/>
        <w:pageBreakBefore w:val="0"/>
        <w:widowControl/>
        <w:kinsoku/>
        <w:overflowPunct/>
        <w:autoSpaceDE/>
        <w:autoSpaceDN/>
        <w:bidi w:val="0"/>
        <w:adjustRightInd/>
        <w:snapToGrid/>
        <w:spacing w:line="600" w:lineRule="exact"/>
        <w:ind w:firstLine="707" w:firstLineChars="221"/>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仿宋_GB2312" w:cs="Times New Roman"/>
          <w:sz w:val="32"/>
          <w:szCs w:val="32"/>
        </w:rPr>
        <w:t>1.</w:t>
      </w:r>
      <w:r>
        <w:rPr>
          <w:rFonts w:hint="eastAsia" w:ascii="方正仿宋_GBK" w:hAnsi="方正仿宋_GBK" w:eastAsia="方正仿宋_GBK" w:cs="方正仿宋_GBK"/>
          <w:color w:val="000000" w:themeColor="text1"/>
          <w:sz w:val="32"/>
          <w:szCs w:val="32"/>
          <w14:textFill>
            <w14:solidFill>
              <w14:schemeClr w14:val="tx1"/>
            </w14:solidFill>
          </w14:textFill>
        </w:rPr>
        <w:t>当主要诊断和主要操作完全匹配时，优先入组其他操作匹配数量最多的病种；</w:t>
      </w:r>
    </w:p>
    <w:p>
      <w:pPr>
        <w:keepNext w:val="0"/>
        <w:keepLines w:val="0"/>
        <w:pageBreakBefore w:val="0"/>
        <w:widowControl/>
        <w:kinsoku/>
        <w:overflowPunct/>
        <w:autoSpaceDE/>
        <w:autoSpaceDN/>
        <w:bidi w:val="0"/>
        <w:adjustRightInd/>
        <w:snapToGrid/>
        <w:spacing w:line="600" w:lineRule="exact"/>
        <w:ind w:firstLine="707" w:firstLineChars="221"/>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仿宋_GB2312" w:cs="Times New Roman"/>
          <w:sz w:val="32"/>
          <w:szCs w:val="32"/>
        </w:rPr>
        <w:t>2.</w:t>
      </w:r>
      <w:r>
        <w:rPr>
          <w:rFonts w:hint="eastAsia" w:ascii="方正仿宋_GBK" w:hAnsi="方正仿宋_GBK" w:eastAsia="方正仿宋_GBK" w:cs="方正仿宋_GBK"/>
          <w:color w:val="000000" w:themeColor="text1"/>
          <w:sz w:val="32"/>
          <w:szCs w:val="32"/>
          <w14:textFill>
            <w14:solidFill>
              <w14:schemeClr w14:val="tx1"/>
            </w14:solidFill>
          </w14:textFill>
        </w:rPr>
        <w:t>当所匹配的病种（入组的其他操作数量一致时）存在两个或以上时，优先入组病种分值最高的病种；</w:t>
      </w:r>
    </w:p>
    <w:p>
      <w:pPr>
        <w:keepNext w:val="0"/>
        <w:keepLines w:val="0"/>
        <w:pageBreakBefore w:val="0"/>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上传的结算清单中主要手术操作编码应符合国家《按病种分值（</w:t>
      </w:r>
      <w:r>
        <w:rPr>
          <w:rFonts w:hint="eastAsia" w:ascii="Times New Roman" w:hAnsi="Times New Roman" w:eastAsia="仿宋_GB2312" w:cs="Times New Roman"/>
          <w:color w:val="000000"/>
          <w:kern w:val="0"/>
          <w:sz w:val="32"/>
          <w:szCs w:val="32"/>
        </w:rPr>
        <w:t>DIP</w:t>
      </w:r>
      <w:r>
        <w:rPr>
          <w:rFonts w:hint="eastAsia" w:ascii="方正仿宋_GBK" w:hAnsi="方正仿宋_GBK" w:eastAsia="方正仿宋_GBK" w:cs="方正仿宋_GBK"/>
          <w:color w:val="000000" w:themeColor="text1"/>
          <w:sz w:val="32"/>
          <w:szCs w:val="32"/>
          <w14:textFill>
            <w14:solidFill>
              <w14:schemeClr w14:val="tx1"/>
            </w14:solidFill>
          </w14:textFill>
        </w:rPr>
        <w:t>）付费病种库（</w:t>
      </w:r>
      <w:r>
        <w:rPr>
          <w:rFonts w:hint="eastAsia" w:ascii="Times New Roman" w:hAnsi="Times New Roman" w:eastAsia="仿宋_GB2312" w:cs="Times New Roman"/>
          <w:color w:val="000000"/>
          <w:kern w:val="0"/>
          <w:sz w:val="32"/>
          <w:szCs w:val="32"/>
        </w:rPr>
        <w:t>2.0</w:t>
      </w:r>
      <w:r>
        <w:rPr>
          <w:rFonts w:hint="eastAsia" w:ascii="方正仿宋_GBK" w:hAnsi="方正仿宋_GBK" w:eastAsia="方正仿宋_GBK" w:cs="方正仿宋_GBK"/>
          <w:color w:val="000000" w:themeColor="text1"/>
          <w:sz w:val="32"/>
          <w:szCs w:val="32"/>
          <w14:textFill>
            <w14:solidFill>
              <w14:schemeClr w14:val="tx1"/>
            </w14:solidFill>
          </w14:textFill>
        </w:rPr>
        <w:t>版）》的手术操作编码规范要求，否则按优先级入组对应主诊断的核心病种</w:t>
      </w:r>
      <w:r>
        <w:rPr>
          <w:rFonts w:hint="eastAsia" w:ascii="Times New Roman" w:hAnsi="Times New Roman" w:eastAsia="仿宋_GB2312" w:cs="Times New Roman"/>
          <w:color w:val="000000"/>
          <w:kern w:val="0"/>
          <w:sz w:val="32"/>
          <w:szCs w:val="32"/>
        </w:rPr>
        <w:t>nan</w:t>
      </w:r>
      <w:r>
        <w:rPr>
          <w:rFonts w:hint="eastAsia" w:ascii="方正仿宋_GBK" w:hAnsi="方正仿宋_GBK" w:eastAsia="方正仿宋_GBK" w:cs="方正仿宋_GBK"/>
          <w:color w:val="000000" w:themeColor="text1"/>
          <w:sz w:val="32"/>
          <w:szCs w:val="32"/>
          <w14:textFill>
            <w14:solidFill>
              <w14:schemeClr w14:val="tx1"/>
            </w14:solidFill>
          </w14:textFill>
        </w:rPr>
        <w:t>组（保守治疗组），如没有核心病种</w:t>
      </w:r>
      <w:r>
        <w:rPr>
          <w:rFonts w:hint="eastAsia" w:ascii="Times New Roman" w:hAnsi="Times New Roman" w:eastAsia="仿宋_GB2312" w:cs="Times New Roman"/>
          <w:color w:val="000000"/>
          <w:kern w:val="0"/>
          <w:sz w:val="32"/>
          <w:szCs w:val="32"/>
        </w:rPr>
        <w:t>nan</w:t>
      </w:r>
      <w:r>
        <w:rPr>
          <w:rFonts w:hint="eastAsia" w:ascii="方正仿宋_GBK" w:hAnsi="方正仿宋_GBK" w:eastAsia="方正仿宋_GBK" w:cs="方正仿宋_GBK"/>
          <w:color w:val="000000" w:themeColor="text1"/>
          <w:sz w:val="32"/>
          <w:szCs w:val="32"/>
          <w14:textFill>
            <w14:solidFill>
              <w14:schemeClr w14:val="tx1"/>
            </w14:solidFill>
          </w14:textFill>
        </w:rPr>
        <w:t>组，则入相关的综合病种</w:t>
      </w:r>
      <w:r>
        <w:rPr>
          <w:rFonts w:hint="eastAsia" w:ascii="Times New Roman" w:hAnsi="Times New Roman" w:eastAsia="仿宋_GB2312" w:cs="Times New Roman"/>
          <w:color w:val="000000"/>
          <w:kern w:val="0"/>
          <w:sz w:val="32"/>
          <w:szCs w:val="32"/>
        </w:rPr>
        <w:t>nan</w:t>
      </w:r>
      <w:r>
        <w:rPr>
          <w:rFonts w:hint="eastAsia" w:ascii="方正仿宋_GBK" w:hAnsi="方正仿宋_GBK" w:eastAsia="方正仿宋_GBK" w:cs="方正仿宋_GBK"/>
          <w:color w:val="000000" w:themeColor="text1"/>
          <w:sz w:val="32"/>
          <w:szCs w:val="32"/>
          <w14:textFill>
            <w14:solidFill>
              <w14:schemeClr w14:val="tx1"/>
            </w14:solidFill>
          </w14:textFill>
        </w:rPr>
        <w:t>组。</w:t>
      </w:r>
    </w:p>
    <w:p>
      <w:pPr>
        <w:keepNext w:val="0"/>
        <w:keepLines w:val="0"/>
        <w:pageBreakBefore w:val="0"/>
        <w:widowControl/>
        <w:kinsoku/>
        <w:overflowPunct/>
        <w:autoSpaceDE/>
        <w:autoSpaceDN/>
        <w:bidi w:val="0"/>
        <w:adjustRightInd/>
        <w:snapToGrid/>
        <w:spacing w:line="600" w:lineRule="exact"/>
        <w:ind w:firstLine="709" w:firstLineChars="221"/>
        <w:jc w:val="left"/>
        <w:textAlignment w:val="auto"/>
        <w:rPr>
          <w:rFonts w:hint="eastAsia" w:ascii="楷体" w:hAnsi="楷体" w:eastAsia="楷体" w:cs="微软雅黑"/>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（二）综合病种。</w:t>
      </w:r>
    </w:p>
    <w:p>
      <w:pPr>
        <w:keepNext w:val="0"/>
        <w:keepLines w:val="0"/>
        <w:pageBreakBefore w:val="0"/>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对于</w:t>
      </w:r>
      <w:r>
        <w:rPr>
          <w:rFonts w:hint="eastAsia" w:ascii="Times New Roman" w:hAnsi="Times New Roman" w:eastAsia="仿宋_GB2312" w:cs="Times New Roman"/>
          <w:color w:val="000000"/>
          <w:kern w:val="0"/>
          <w:sz w:val="32"/>
          <w:szCs w:val="32"/>
        </w:rPr>
        <w:t>DIP</w:t>
      </w:r>
      <w:r>
        <w:rPr>
          <w:rFonts w:hint="eastAsia" w:ascii="方正仿宋_GBK" w:hAnsi="方正仿宋_GBK" w:eastAsia="方正仿宋_GBK" w:cs="方正仿宋_GBK"/>
          <w:color w:val="000000" w:themeColor="text1"/>
          <w:sz w:val="32"/>
          <w:szCs w:val="32"/>
          <w14:textFill>
            <w14:solidFill>
              <w14:schemeClr w14:val="tx1"/>
            </w14:solidFill>
          </w14:textFill>
        </w:rPr>
        <w:t>病例未入组核心病种，且医保结算清单中主要诊断代码能匹配综合病种的，以主要手术操作类型作为入组依据，分为下列四种情形：</w:t>
      </w:r>
    </w:p>
    <w:p>
      <w:pPr>
        <w:keepNext w:val="0"/>
        <w:keepLines w:val="0"/>
        <w:pageBreakBefore w:val="0"/>
        <w:widowControl/>
        <w:kinsoku/>
        <w:overflowPunct/>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1.</w:t>
      </w:r>
      <w:r>
        <w:rPr>
          <w:rFonts w:hint="eastAsia" w:ascii="方正仿宋_GBK" w:hAnsi="方正仿宋_GBK" w:eastAsia="方正仿宋_GBK" w:cs="方正仿宋_GBK"/>
          <w:color w:val="000000" w:themeColor="text1"/>
          <w:sz w:val="32"/>
          <w:szCs w:val="32"/>
          <w14:textFill>
            <w14:solidFill>
              <w14:schemeClr w14:val="tx1"/>
            </w14:solidFill>
          </w14:textFill>
        </w:rPr>
        <w:t>当主要操作代码为手术或介入操作时，入组相关手术组；</w:t>
      </w:r>
    </w:p>
    <w:p>
      <w:pPr>
        <w:keepNext w:val="0"/>
        <w:keepLines w:val="0"/>
        <w:pageBreakBefore w:val="0"/>
        <w:widowControl/>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仿宋_GB2312" w:cs="Times New Roman"/>
          <w:color w:val="000000"/>
          <w:kern w:val="0"/>
          <w:sz w:val="32"/>
          <w:szCs w:val="32"/>
        </w:rPr>
        <w:t>2.</w:t>
      </w:r>
      <w:r>
        <w:rPr>
          <w:rFonts w:hint="eastAsia" w:ascii="方正仿宋_GBK" w:hAnsi="方正仿宋_GBK" w:eastAsia="方正仿宋_GBK" w:cs="方正仿宋_GBK"/>
          <w:color w:val="000000" w:themeColor="text1"/>
          <w:sz w:val="32"/>
          <w:szCs w:val="32"/>
          <w14:textFill>
            <w14:solidFill>
              <w14:schemeClr w14:val="tx1"/>
            </w14:solidFill>
          </w14:textFill>
        </w:rPr>
        <w:t>当主要操作为治疗性操作，入组治疗性操作组；</w:t>
      </w:r>
    </w:p>
    <w:p>
      <w:pPr>
        <w:keepNext w:val="0"/>
        <w:keepLines w:val="0"/>
        <w:pageBreakBefore w:val="0"/>
        <w:widowControl/>
        <w:kinsoku/>
        <w:overflowPunct/>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3.</w:t>
      </w:r>
      <w:r>
        <w:rPr>
          <w:rFonts w:hint="eastAsia" w:ascii="方正仿宋_GBK" w:hAnsi="方正仿宋_GBK" w:eastAsia="方正仿宋_GBK" w:cs="方正仿宋_GBK"/>
          <w:color w:val="000000" w:themeColor="text1"/>
          <w:sz w:val="32"/>
          <w:szCs w:val="32"/>
          <w14:textFill>
            <w14:solidFill>
              <w14:schemeClr w14:val="tx1"/>
            </w14:solidFill>
          </w14:textFill>
        </w:rPr>
        <w:t>当主要操作为诊断性操作时，入组诊断性操作组；</w:t>
      </w:r>
    </w:p>
    <w:p>
      <w:pPr>
        <w:keepNext w:val="0"/>
        <w:keepLines w:val="0"/>
        <w:pageBreakBefore w:val="0"/>
        <w:widowControl/>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仿宋_GB2312" w:cs="Times New Roman"/>
          <w:color w:val="000000"/>
          <w:kern w:val="0"/>
          <w:sz w:val="32"/>
          <w:szCs w:val="32"/>
        </w:rPr>
        <w:t>4.</w:t>
      </w:r>
      <w:r>
        <w:rPr>
          <w:rFonts w:hint="eastAsia" w:ascii="方正仿宋_GBK" w:hAnsi="方正仿宋_GBK" w:eastAsia="方正仿宋_GBK" w:cs="方正仿宋_GBK"/>
          <w:color w:val="000000" w:themeColor="text1"/>
          <w:sz w:val="32"/>
          <w:szCs w:val="32"/>
          <w14:textFill>
            <w14:solidFill>
              <w14:schemeClr w14:val="tx1"/>
            </w14:solidFill>
          </w14:textFill>
        </w:rPr>
        <w:t>按上述规则均不能入组的病例归入保守治疗组，代码为</w:t>
      </w:r>
      <w:r>
        <w:rPr>
          <w:rFonts w:hint="eastAsia" w:ascii="Times New Roman" w:hAnsi="Times New Roman" w:eastAsia="仿宋_GB2312" w:cs="Times New Roman"/>
          <w:color w:val="000000"/>
          <w:kern w:val="0"/>
          <w:sz w:val="32"/>
          <w:szCs w:val="32"/>
        </w:rPr>
        <w:t>A</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kern w:val="0"/>
          <w:sz w:val="32"/>
          <w:szCs w:val="32"/>
        </w:rPr>
        <w:t>nan/B：nan...Z：nan</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kinsoku/>
        <w:overflowPunct/>
        <w:autoSpaceDE/>
        <w:autoSpaceDN/>
        <w:bidi w:val="0"/>
        <w:adjustRightInd/>
        <w:snapToGrid/>
        <w:spacing w:line="600" w:lineRule="exact"/>
        <w:ind w:firstLine="709" w:firstLineChars="221"/>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（三）中医优势病种。</w:t>
      </w:r>
      <w:r>
        <w:rPr>
          <w:rFonts w:hint="eastAsia" w:ascii="方正仿宋_GBK" w:hAnsi="方正仿宋_GBK" w:eastAsia="方正仿宋_GBK" w:cs="方正仿宋_GBK"/>
          <w:color w:val="000000" w:themeColor="text1"/>
          <w:sz w:val="32"/>
          <w:szCs w:val="32"/>
          <w14:textFill>
            <w14:solidFill>
              <w14:schemeClr w14:val="tx1"/>
            </w14:solidFill>
          </w14:textFill>
        </w:rPr>
        <w:t>中医优势病种主要体现以中医药治疗为主特色，入组必须同时满足两个条件：住院综合治疗费用占比</w:t>
      </w:r>
      <w:r>
        <w:rPr>
          <w:rFonts w:hint="eastAsia" w:ascii="Times New Roman" w:hAnsi="Times New Roman" w:eastAsia="仿宋_GB2312" w:cs="Times New Roman"/>
          <w:color w:val="000000"/>
          <w:kern w:val="0"/>
          <w:sz w:val="32"/>
          <w:szCs w:val="32"/>
        </w:rPr>
        <w:t>&gt;55%</w:t>
      </w:r>
      <w:r>
        <w:rPr>
          <w:rFonts w:hint="eastAsia" w:ascii="方正仿宋_GBK" w:hAnsi="方正仿宋_GBK" w:eastAsia="方正仿宋_GBK" w:cs="方正仿宋_GBK"/>
          <w:color w:val="000000" w:themeColor="text1"/>
          <w:sz w:val="32"/>
          <w:szCs w:val="32"/>
          <w14:textFill>
            <w14:solidFill>
              <w14:schemeClr w14:val="tx1"/>
            </w14:solidFill>
          </w14:textFill>
        </w:rPr>
        <w:t>；中医综合治疗占比</w:t>
      </w:r>
      <w:r>
        <w:rPr>
          <w:rFonts w:hint="eastAsia" w:ascii="Times New Roman" w:hAnsi="Times New Roman" w:eastAsia="仿宋_GB2312" w:cs="Times New Roman"/>
          <w:color w:val="000000"/>
          <w:kern w:val="0"/>
          <w:sz w:val="32"/>
          <w:szCs w:val="32"/>
        </w:rPr>
        <w:t>&gt;55%</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overflowPunct/>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住院综合治疗费用占比是指住院综合治疗费用（西药费、中成药费、中药饮片费，治疗费，手术费之和）与总费用的比值。中医综合治疗费用占比指的是中医综合治疗费用（中成药费、中药饮片费，中医及民族医诊疗类项目费用之和）与住院综合治疗费用的比值。</w:t>
      </w:r>
    </w:p>
    <w:p>
      <w:pPr>
        <w:keepNext w:val="0"/>
        <w:keepLines w:val="0"/>
        <w:pageBreakBefore w:val="0"/>
        <w:widowControl/>
        <w:kinsoku/>
        <w:overflowPunct/>
        <w:autoSpaceDE/>
        <w:autoSpaceDN/>
        <w:bidi w:val="0"/>
        <w:adjustRightInd/>
        <w:snapToGrid/>
        <w:spacing w:line="600" w:lineRule="exact"/>
        <w:ind w:firstLine="709" w:firstLineChars="221"/>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（四）精神病床日病种。</w:t>
      </w:r>
      <w:r>
        <w:rPr>
          <w:rFonts w:hint="eastAsia" w:ascii="方正仿宋_GBK" w:hAnsi="方正仿宋_GBK" w:eastAsia="方正仿宋_GBK" w:cs="方正仿宋_GBK"/>
          <w:color w:val="000000" w:themeColor="text1"/>
          <w:sz w:val="32"/>
          <w:szCs w:val="32"/>
          <w14:textFill>
            <w14:solidFill>
              <w14:schemeClr w14:val="tx1"/>
            </w14:solidFill>
          </w14:textFill>
        </w:rPr>
        <w:t>按照精神病床日病种结算标记进行入组赋分。</w:t>
      </w:r>
    </w:p>
    <w:sectPr>
      <w:pgSz w:w="11906" w:h="16838"/>
      <w:pgMar w:top="2098" w:right="1474" w:bottom="1984" w:left="1587"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E1B04"/>
    <w:multiLevelType w:val="multilevel"/>
    <w:tmpl w:val="024E1B04"/>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90" w:hanging="440"/>
      </w:pPr>
    </w:lvl>
    <w:lvl w:ilvl="2" w:tentative="0">
      <w:start w:val="1"/>
      <w:numFmt w:val="lowerRoman"/>
      <w:lvlText w:val="%3."/>
      <w:lvlJc w:val="right"/>
      <w:pPr>
        <w:ind w:left="2030" w:hanging="440"/>
      </w:pPr>
    </w:lvl>
    <w:lvl w:ilvl="3" w:tentative="0">
      <w:start w:val="1"/>
      <w:numFmt w:val="decimal"/>
      <w:lvlText w:val="%4."/>
      <w:lvlJc w:val="left"/>
      <w:pPr>
        <w:ind w:left="2470" w:hanging="440"/>
      </w:pPr>
    </w:lvl>
    <w:lvl w:ilvl="4" w:tentative="0">
      <w:start w:val="1"/>
      <w:numFmt w:val="lowerLetter"/>
      <w:lvlText w:val="%5)"/>
      <w:lvlJc w:val="left"/>
      <w:pPr>
        <w:ind w:left="2910" w:hanging="440"/>
      </w:pPr>
    </w:lvl>
    <w:lvl w:ilvl="5" w:tentative="0">
      <w:start w:val="1"/>
      <w:numFmt w:val="lowerRoman"/>
      <w:lvlText w:val="%6."/>
      <w:lvlJc w:val="right"/>
      <w:pPr>
        <w:ind w:left="3350" w:hanging="440"/>
      </w:pPr>
    </w:lvl>
    <w:lvl w:ilvl="6" w:tentative="0">
      <w:start w:val="1"/>
      <w:numFmt w:val="decimal"/>
      <w:lvlText w:val="%7."/>
      <w:lvlJc w:val="left"/>
      <w:pPr>
        <w:ind w:left="3790" w:hanging="440"/>
      </w:pPr>
    </w:lvl>
    <w:lvl w:ilvl="7" w:tentative="0">
      <w:start w:val="1"/>
      <w:numFmt w:val="lowerLetter"/>
      <w:lvlText w:val="%8)"/>
      <w:lvlJc w:val="left"/>
      <w:pPr>
        <w:ind w:left="4230" w:hanging="440"/>
      </w:pPr>
    </w:lvl>
    <w:lvl w:ilvl="8" w:tentative="0">
      <w:start w:val="1"/>
      <w:numFmt w:val="lowerRoman"/>
      <w:lvlText w:val="%9."/>
      <w:lvlJc w:val="right"/>
      <w:pPr>
        <w:ind w:left="46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MzY0OTdlYWRiNWY3NmY3YjQ3MDc1ZDRjYTMwZjEifQ=="/>
  </w:docVars>
  <w:rsids>
    <w:rsidRoot w:val="00A951E3"/>
    <w:rsid w:val="00012E07"/>
    <w:rsid w:val="00013347"/>
    <w:rsid w:val="00027D77"/>
    <w:rsid w:val="00061CC6"/>
    <w:rsid w:val="00091532"/>
    <w:rsid w:val="000D30EE"/>
    <w:rsid w:val="000F13EC"/>
    <w:rsid w:val="00107845"/>
    <w:rsid w:val="001330F2"/>
    <w:rsid w:val="001438E5"/>
    <w:rsid w:val="00151E0A"/>
    <w:rsid w:val="00151F17"/>
    <w:rsid w:val="001735C6"/>
    <w:rsid w:val="0019510E"/>
    <w:rsid w:val="0019704B"/>
    <w:rsid w:val="001A77AC"/>
    <w:rsid w:val="001D1D47"/>
    <w:rsid w:val="002061E3"/>
    <w:rsid w:val="00235C96"/>
    <w:rsid w:val="002369F8"/>
    <w:rsid w:val="0024392B"/>
    <w:rsid w:val="00255D68"/>
    <w:rsid w:val="002633E4"/>
    <w:rsid w:val="002777A7"/>
    <w:rsid w:val="002A6DD4"/>
    <w:rsid w:val="002B36C4"/>
    <w:rsid w:val="002C489E"/>
    <w:rsid w:val="002D147E"/>
    <w:rsid w:val="002D2C74"/>
    <w:rsid w:val="002E2D49"/>
    <w:rsid w:val="002E3C3C"/>
    <w:rsid w:val="002F061D"/>
    <w:rsid w:val="002F2C00"/>
    <w:rsid w:val="00302728"/>
    <w:rsid w:val="00324A9A"/>
    <w:rsid w:val="003B4F97"/>
    <w:rsid w:val="00426671"/>
    <w:rsid w:val="004960C8"/>
    <w:rsid w:val="004A21E1"/>
    <w:rsid w:val="004A3D34"/>
    <w:rsid w:val="004B555B"/>
    <w:rsid w:val="004E208F"/>
    <w:rsid w:val="0050301E"/>
    <w:rsid w:val="0050314D"/>
    <w:rsid w:val="00504102"/>
    <w:rsid w:val="00506DB8"/>
    <w:rsid w:val="00550B6A"/>
    <w:rsid w:val="00591843"/>
    <w:rsid w:val="005F51DC"/>
    <w:rsid w:val="006676EE"/>
    <w:rsid w:val="00667C87"/>
    <w:rsid w:val="0068097C"/>
    <w:rsid w:val="006A72F7"/>
    <w:rsid w:val="006B03A0"/>
    <w:rsid w:val="006B0A22"/>
    <w:rsid w:val="006B4F15"/>
    <w:rsid w:val="00704A4B"/>
    <w:rsid w:val="00711544"/>
    <w:rsid w:val="00712FC4"/>
    <w:rsid w:val="00715F9A"/>
    <w:rsid w:val="00736E95"/>
    <w:rsid w:val="007411F1"/>
    <w:rsid w:val="007469E9"/>
    <w:rsid w:val="00747567"/>
    <w:rsid w:val="00755819"/>
    <w:rsid w:val="00767136"/>
    <w:rsid w:val="00790313"/>
    <w:rsid w:val="0079606B"/>
    <w:rsid w:val="007A632F"/>
    <w:rsid w:val="007C0883"/>
    <w:rsid w:val="007D2635"/>
    <w:rsid w:val="007E1F9C"/>
    <w:rsid w:val="008334AF"/>
    <w:rsid w:val="00872D57"/>
    <w:rsid w:val="008955DE"/>
    <w:rsid w:val="008C5115"/>
    <w:rsid w:val="0094785F"/>
    <w:rsid w:val="00956BA3"/>
    <w:rsid w:val="00975656"/>
    <w:rsid w:val="00982305"/>
    <w:rsid w:val="00983AFC"/>
    <w:rsid w:val="009917ED"/>
    <w:rsid w:val="009C72DF"/>
    <w:rsid w:val="00A27C7D"/>
    <w:rsid w:val="00A406F8"/>
    <w:rsid w:val="00A65022"/>
    <w:rsid w:val="00A742B3"/>
    <w:rsid w:val="00A77C85"/>
    <w:rsid w:val="00A8039B"/>
    <w:rsid w:val="00A85CFE"/>
    <w:rsid w:val="00A951E3"/>
    <w:rsid w:val="00AE4365"/>
    <w:rsid w:val="00AF39B4"/>
    <w:rsid w:val="00B1273C"/>
    <w:rsid w:val="00B21374"/>
    <w:rsid w:val="00B22C1F"/>
    <w:rsid w:val="00B565F2"/>
    <w:rsid w:val="00B8773F"/>
    <w:rsid w:val="00B97FC6"/>
    <w:rsid w:val="00BB0D42"/>
    <w:rsid w:val="00BB109C"/>
    <w:rsid w:val="00BB7CC6"/>
    <w:rsid w:val="00BE28CB"/>
    <w:rsid w:val="00BF337D"/>
    <w:rsid w:val="00C049A8"/>
    <w:rsid w:val="00C12FD2"/>
    <w:rsid w:val="00C279AC"/>
    <w:rsid w:val="00C355AF"/>
    <w:rsid w:val="00C37FE2"/>
    <w:rsid w:val="00C477FA"/>
    <w:rsid w:val="00C622DD"/>
    <w:rsid w:val="00C64D7E"/>
    <w:rsid w:val="00C75072"/>
    <w:rsid w:val="00C94784"/>
    <w:rsid w:val="00C96879"/>
    <w:rsid w:val="00CB1129"/>
    <w:rsid w:val="00CC6549"/>
    <w:rsid w:val="00CD0DD9"/>
    <w:rsid w:val="00CF2623"/>
    <w:rsid w:val="00D4436A"/>
    <w:rsid w:val="00D449EA"/>
    <w:rsid w:val="00D67D40"/>
    <w:rsid w:val="00D97194"/>
    <w:rsid w:val="00DA3068"/>
    <w:rsid w:val="00DA5A0C"/>
    <w:rsid w:val="00DC1625"/>
    <w:rsid w:val="00DC1B80"/>
    <w:rsid w:val="00DD15EA"/>
    <w:rsid w:val="00DE0814"/>
    <w:rsid w:val="00E05956"/>
    <w:rsid w:val="00E112F8"/>
    <w:rsid w:val="00E32B77"/>
    <w:rsid w:val="00E43995"/>
    <w:rsid w:val="00E76D35"/>
    <w:rsid w:val="00EB1B89"/>
    <w:rsid w:val="00EC4446"/>
    <w:rsid w:val="00EE23E0"/>
    <w:rsid w:val="00EE7E04"/>
    <w:rsid w:val="00EF2D9C"/>
    <w:rsid w:val="00EF5D08"/>
    <w:rsid w:val="00F04CF7"/>
    <w:rsid w:val="00FC42BE"/>
    <w:rsid w:val="00FC7E1D"/>
    <w:rsid w:val="020255DA"/>
    <w:rsid w:val="024D0FCD"/>
    <w:rsid w:val="03AF2547"/>
    <w:rsid w:val="05525DEB"/>
    <w:rsid w:val="06EE69EC"/>
    <w:rsid w:val="0A0D25EA"/>
    <w:rsid w:val="0A426D43"/>
    <w:rsid w:val="0A586063"/>
    <w:rsid w:val="0CD112E9"/>
    <w:rsid w:val="19634AB9"/>
    <w:rsid w:val="19816DB3"/>
    <w:rsid w:val="1B2304CB"/>
    <w:rsid w:val="227D20A1"/>
    <w:rsid w:val="24AD2DB9"/>
    <w:rsid w:val="26084B7D"/>
    <w:rsid w:val="26E611AA"/>
    <w:rsid w:val="33E20216"/>
    <w:rsid w:val="36771768"/>
    <w:rsid w:val="3CF4186F"/>
    <w:rsid w:val="3F1779A1"/>
    <w:rsid w:val="407277C5"/>
    <w:rsid w:val="46D74F3A"/>
    <w:rsid w:val="485F2529"/>
    <w:rsid w:val="52B939D6"/>
    <w:rsid w:val="5315103E"/>
    <w:rsid w:val="59E7033A"/>
    <w:rsid w:val="5BA800EC"/>
    <w:rsid w:val="5EE96902"/>
    <w:rsid w:val="5FF65D18"/>
    <w:rsid w:val="62C236F2"/>
    <w:rsid w:val="65B74A2E"/>
    <w:rsid w:val="6A672D00"/>
    <w:rsid w:val="6C922387"/>
    <w:rsid w:val="6F173018"/>
    <w:rsid w:val="6F3D03B5"/>
    <w:rsid w:val="71080E6A"/>
    <w:rsid w:val="73FC6E02"/>
    <w:rsid w:val="746D446A"/>
    <w:rsid w:val="7B3C11EF"/>
    <w:rsid w:val="EDF7E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宋体" w:cs="宋体"/>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0"/>
    <w:rPr>
      <w:rFonts w:ascii="Calibri" w:hAnsi="Calibri" w:eastAsia="宋体" w:cs="宋体"/>
    </w:rPr>
  </w:style>
  <w:style w:type="paragraph" w:styleId="11">
    <w:name w:val="List Paragraph"/>
    <w:basedOn w:val="1"/>
    <w:unhideWhenUsed/>
    <w:qFormat/>
    <w:uiPriority w:val="99"/>
    <w:pPr>
      <w:ind w:firstLine="420" w:firstLineChars="200"/>
    </w:pPr>
  </w:style>
  <w:style w:type="character" w:customStyle="1" w:styleId="12">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Words>
  <Characters>1477</Characters>
  <Lines>12</Lines>
  <Paragraphs>3</Paragraphs>
  <TotalTime>61</TotalTime>
  <ScaleCrop>false</ScaleCrop>
  <LinksUpToDate>false</LinksUpToDate>
  <CharactersWithSpaces>1733</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2025-04-11T23:00:00Z</dcterms:created>
  <dc:creator>picc01</dc:creator>
  <cp:lastModifiedBy>greatwall</cp:lastModifiedBy>
  <cp:lastPrinted>2025-04-12T00:23:00Z</cp:lastPrinted>
  <dcterms:modified xsi:type="dcterms:W3CDTF">2025-04-14T14:52:40Z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B38B2EFEB8BD4B9CAF44BDEE856AB726_13</vt:lpwstr>
  </property>
  <property fmtid="{D5CDD505-2E9C-101B-9397-08002B2CF9AE}" pid="4" name="KSOTemplateDocerSaveRecord">
    <vt:lpwstr>eyJoZGlkIjoiZjAxNmM3N2NjMDliYzg3YzI5NTQ5NmRiZWI0ZjJiNTIiLCJ1c2VySWQiOiI0MDEyODY1MTQifQ==</vt:lpwstr>
  </property>
</Properties>
</file>