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bookmarkStart w:id="2" w:name="_GoBack"/>
      <w:bookmarkEnd w:id="2"/>
      <w:r>
        <w:rPr>
          <w:rFonts w:hint="eastAsia" w:ascii="Times New Roman" w:hAnsi="Times New Roman" w:eastAsia="黑体" w:cs="黑体"/>
          <w:bCs/>
          <w:color w:val="000000"/>
          <w:spacing w:val="-6"/>
          <w:sz w:val="32"/>
          <w:szCs w:val="32"/>
          <w:highlight w:val="none"/>
        </w:rPr>
        <w:t>附件</w:t>
      </w:r>
      <w:r>
        <w:rPr>
          <w:rFonts w:hint="eastAsia" w:eastAsia="黑体" w:cs="黑体"/>
          <w:bCs/>
          <w:color w:val="000000"/>
          <w:spacing w:val="-6"/>
          <w:sz w:val="32"/>
          <w:szCs w:val="32"/>
          <w:highlight w:val="none"/>
          <w:lang w:val="en-US" w:eastAsia="zh-CN"/>
        </w:rPr>
        <w:t>3</w:t>
      </w:r>
    </w:p>
    <w:p>
      <w:pPr>
        <w:pageBreakBefore w:val="0"/>
        <w:overflowPunct/>
        <w:topLinePunct w:val="0"/>
        <w:bidi w:val="0"/>
        <w:adjustRightInd/>
        <w:snapToGrid/>
        <w:spacing w:line="560" w:lineRule="exact"/>
        <w:rPr>
          <w:rFonts w:hint="eastAsia" w:eastAsia="黑体" w:cs="黑体"/>
          <w:bCs/>
          <w:color w:val="000000"/>
          <w:spacing w:val="-6"/>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olor w:val="000000"/>
          <w:kern w:val="44"/>
          <w:sz w:val="44"/>
          <w:szCs w:val="44"/>
          <w:highlight w:val="none"/>
        </w:rPr>
      </w:pPr>
      <w:r>
        <w:rPr>
          <w:rFonts w:hint="eastAsia" w:eastAsia="方正小标宋简体" w:cs="方正小标宋简体"/>
          <w:color w:val="000000"/>
          <w:sz w:val="44"/>
          <w:szCs w:val="44"/>
          <w:highlight w:val="none"/>
          <w:lang w:eastAsia="zh-CN"/>
        </w:rPr>
        <w:t>梅州市</w:t>
      </w:r>
      <w:r>
        <w:rPr>
          <w:rFonts w:hint="eastAsia" w:ascii="Times New Roman" w:hAnsi="Times New Roman" w:eastAsia="方正小标宋简体" w:cs="方正小标宋简体"/>
          <w:color w:val="000000"/>
          <w:sz w:val="44"/>
          <w:szCs w:val="44"/>
          <w:highlight w:val="none"/>
        </w:rPr>
        <w:t>自动电饭锅产品质量监督抽查实施细则</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color w:val="000000"/>
          <w:sz w:val="32"/>
          <w:szCs w:val="32"/>
          <w:highlight w:val="none"/>
        </w:rPr>
      </w:pPr>
      <w:r>
        <w:rPr>
          <w:rFonts w:hint="eastAsia" w:ascii="Times New Roman" w:hAnsi="Times New Roman" w:eastAsia="楷体_GB2312" w:cs="楷体_GB2312"/>
          <w:color w:val="000000"/>
          <w:sz w:val="32"/>
          <w:szCs w:val="40"/>
          <w:highlight w:val="none"/>
        </w:rPr>
        <w:t>（2025年版）</w:t>
      </w:r>
    </w:p>
    <w:p>
      <w:pPr>
        <w:pageBreakBefore w:val="0"/>
        <w:overflowPunct/>
        <w:topLinePunct w:val="0"/>
        <w:bidi w:val="0"/>
        <w:adjustRightInd/>
        <w:snapToGrid/>
        <w:spacing w:line="560" w:lineRule="exact"/>
        <w:rPr>
          <w:rFonts w:ascii="Times New Roman" w:hAnsi="Times New Roman" w:eastAsia="仿宋_GB2312" w:cs="仿宋_GB2312"/>
          <w:color w:val="000000"/>
          <w:sz w:val="32"/>
          <w:szCs w:val="32"/>
          <w:highlight w:val="none"/>
        </w:rPr>
      </w:pPr>
    </w:p>
    <w:p>
      <w:pPr>
        <w:pageBreakBefore w:val="0"/>
        <w:overflowPunct/>
        <w:topLinePunct w:val="0"/>
        <w:bidi w:val="0"/>
        <w:adjustRightInd/>
        <w:snapToGrid/>
        <w:spacing w:line="560" w:lineRule="exact"/>
        <w:ind w:firstLine="640" w:firstLineChars="200"/>
        <w:rPr>
          <w:rFonts w:ascii="Times New Roman" w:hAnsi="Times New Roman" w:eastAsia="黑体" w:cs="黑体"/>
          <w:color w:val="000000"/>
          <w:sz w:val="32"/>
          <w:szCs w:val="40"/>
          <w:highlight w:val="none"/>
        </w:rPr>
      </w:pPr>
      <w:r>
        <w:rPr>
          <w:rFonts w:hint="eastAsia" w:ascii="Times New Roman" w:hAnsi="Times New Roman" w:eastAsia="黑体" w:cs="黑体"/>
          <w:color w:val="000000"/>
          <w:sz w:val="32"/>
          <w:szCs w:val="40"/>
          <w:highlight w:val="none"/>
        </w:rPr>
        <w:t>1 抽样方法</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以随机抽样的方式在被抽样生产者、销售者的待销产品中抽取。</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随机数一般可使用随机数表等方法产生。</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每批次产品抽取样品6台，其中4台作为检验样品</w:t>
      </w:r>
      <w:r>
        <w:rPr>
          <w:rFonts w:hint="eastAsia" w:ascii="Times New Roman" w:hAnsi="Times New Roman" w:eastAsia="仿宋_GB2312" w:cs="仿宋_GB2312"/>
          <w:color w:val="000000"/>
          <w:sz w:val="32"/>
          <w:szCs w:val="40"/>
          <w:highlight w:val="none"/>
          <w:lang w:eastAsia="zh-CN"/>
        </w:rPr>
        <w:t>、</w:t>
      </w:r>
      <w:r>
        <w:rPr>
          <w:rFonts w:hint="eastAsia" w:ascii="Times New Roman" w:hAnsi="Times New Roman" w:eastAsia="仿宋_GB2312" w:cs="仿宋_GB2312"/>
          <w:color w:val="000000"/>
          <w:sz w:val="32"/>
          <w:szCs w:val="40"/>
          <w:highlight w:val="none"/>
        </w:rPr>
        <w:t>2台作为备用样品。</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黑体" w:cs="黑体"/>
          <w:color w:val="000000"/>
          <w:sz w:val="32"/>
          <w:szCs w:val="40"/>
          <w:highlight w:val="none"/>
        </w:rPr>
        <w:t>2 检验依据</w:t>
      </w:r>
    </w:p>
    <w:tbl>
      <w:tblPr>
        <w:tblStyle w:val="4"/>
        <w:tblpPr w:leftFromText="180" w:rightFromText="180" w:vertAnchor="text" w:tblpXSpec="center" w:tblpY="1"/>
        <w:tblOverlap w:val="never"/>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2"/>
        <w:gridCol w:w="1767"/>
        <w:gridCol w:w="393"/>
        <w:gridCol w:w="2301"/>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bookmarkStart w:id="0" w:name="OLE_LINK2" w:colFirst="0" w:colLast="2"/>
            <w:r>
              <w:rPr>
                <w:rFonts w:hint="eastAsia" w:ascii="Times New Roman" w:hAnsi="Times New Roman" w:eastAsia="仿宋_GB2312" w:cs="仿宋_GB2312"/>
                <w:b/>
                <w:bCs/>
                <w:color w:val="000000"/>
                <w:sz w:val="28"/>
                <w:szCs w:val="28"/>
                <w:highlight w:val="none"/>
                <w:lang w:bidi="ar"/>
              </w:rPr>
              <w:t>序号</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检验项目</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b/>
                <w:bCs/>
                <w:color w:val="000000"/>
                <w:sz w:val="28"/>
                <w:szCs w:val="28"/>
                <w:highlight w:val="none"/>
                <w:lang w:bidi="ar"/>
              </w:rPr>
            </w:pPr>
            <w:r>
              <w:rPr>
                <w:rFonts w:hint="eastAsia" w:ascii="Times New Roman" w:hAnsi="Times New Roman" w:eastAsia="仿宋_GB2312" w:cs="仿宋_GB2312"/>
                <w:b/>
                <w:bCs/>
                <w:color w:val="000000"/>
                <w:sz w:val="28"/>
                <w:szCs w:val="28"/>
                <w:highlight w:val="none"/>
                <w:lang w:bidi="ar"/>
              </w:rPr>
              <w:t>检验方法</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对触及带电部件的防护</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输入功率和电流</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3</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发热</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4</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工作温度下的泄漏电流和</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电气强度</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5</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耐潮湿</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序号</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检验项目</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6</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泄漏电流和电气强度</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7</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非正常工作（不包括第19.11.4条的试验）</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8</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稳定性和机械危险</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9</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机械强度</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10</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结构（不包括第22.46条的试验）</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11</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内部布线</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12</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电源连接和外部软线</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13</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外部导线用接线端子</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14</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接地措施</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15</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螺钉和连接</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16</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电气间隙、爬电距离和固体绝缘</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4706.1—2005</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序号</w:t>
            </w:r>
          </w:p>
        </w:tc>
        <w:tc>
          <w:tcPr>
            <w:tcW w:w="1767"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检验项目</w:t>
            </w:r>
          </w:p>
        </w:tc>
        <w:tc>
          <w:tcPr>
            <w:tcW w:w="2694"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检验方法</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132"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17</w:t>
            </w:r>
          </w:p>
        </w:tc>
        <w:tc>
          <w:tcPr>
            <w:tcW w:w="1767"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能效等级</w:t>
            </w:r>
          </w:p>
        </w:tc>
        <w:tc>
          <w:tcPr>
            <w:tcW w:w="2694"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热效率值</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12021.6—2017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767"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694"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保温能耗</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12021.6—2017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1767"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694"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待机功率</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12021.6—2017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18</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端子骚扰电压（连续骚扰）</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19</w:t>
            </w:r>
          </w:p>
        </w:tc>
        <w:tc>
          <w:tcPr>
            <w:tcW w:w="4461" w:type="dxa"/>
            <w:gridSpan w:val="3"/>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骚扰功率、辐射骚扰</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4343.1—2018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132"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20</w:t>
            </w:r>
          </w:p>
        </w:tc>
        <w:tc>
          <w:tcPr>
            <w:tcW w:w="2160" w:type="dxa"/>
            <w:gridSpan w:val="2"/>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理化指标（杂质元素迁移量指标）</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砷</w:t>
            </w:r>
          </w:p>
        </w:tc>
        <w:tc>
          <w:tcPr>
            <w:tcW w:w="3581"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31604.49—2023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镉</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铅</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锑</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1132"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21</w:t>
            </w:r>
          </w:p>
        </w:tc>
        <w:tc>
          <w:tcPr>
            <w:tcW w:w="2160" w:type="dxa"/>
            <w:gridSpan w:val="2"/>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理化指标（合金元素迁移量指标）</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铝</w:t>
            </w:r>
          </w:p>
        </w:tc>
        <w:tc>
          <w:tcPr>
            <w:tcW w:w="3581" w:type="dxa"/>
            <w:vMerge w:val="restart"/>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31604.49—2023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铬</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钴</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铜</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锰</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钼</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镍</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锡</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1132"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160" w:type="dxa"/>
            <w:gridSpan w:val="2"/>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锌</w:t>
            </w:r>
          </w:p>
        </w:tc>
        <w:tc>
          <w:tcPr>
            <w:tcW w:w="3581" w:type="dxa"/>
            <w:vMerge w:val="continue"/>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22</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理化指标（塑料材料）</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总迁移量</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序号</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检验项目</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检验方法</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hint="eastAsia" w:ascii="Times New Roman" w:hAnsi="Times New Roman" w:eastAsia="仿宋_GB2312" w:cs="仿宋_GB2312"/>
                <w:color w:val="000000"/>
                <w:sz w:val="28"/>
                <w:szCs w:val="28"/>
                <w:highlight w:val="none"/>
              </w:rPr>
            </w:pPr>
            <w:r>
              <w:rPr>
                <w:rFonts w:hint="eastAsia" w:ascii="Times New Roman" w:hAnsi="Times New Roman" w:eastAsia="仿宋_GB2312" w:cs="仿宋_GB2312"/>
                <w:b/>
                <w:bCs/>
                <w:color w:val="000000"/>
                <w:sz w:val="28"/>
                <w:szCs w:val="28"/>
                <w:highlight w:val="none"/>
                <w:lang w:bidi="ar"/>
              </w:rPr>
              <w:t>序号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23</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理化指标（涂层材料）</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总迁移量</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24</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理化指标（合成橡胶或天然橡胶材料）</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总迁移量</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31604.8—2021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bookmarkStart w:id="1" w:name="_Hlk193117751"/>
            <w:r>
              <w:rPr>
                <w:rFonts w:hint="eastAsia" w:ascii="Times New Roman" w:hAnsi="Times New Roman" w:eastAsia="仿宋_GB2312" w:cs="仿宋_GB2312"/>
                <w:color w:val="000000"/>
                <w:sz w:val="28"/>
                <w:szCs w:val="28"/>
                <w:highlight w:val="none"/>
              </w:rPr>
              <w:t>25</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理化指标（硅橡胶）</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总迁移量</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31604.8—2021</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132"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26</w:t>
            </w:r>
          </w:p>
        </w:tc>
        <w:tc>
          <w:tcPr>
            <w:tcW w:w="2160" w:type="dxa"/>
            <w:gridSpan w:val="2"/>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理化指标</w:t>
            </w:r>
          </w:p>
        </w:tc>
        <w:tc>
          <w:tcPr>
            <w:tcW w:w="230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高锰酸钾消耗量</w:t>
            </w:r>
          </w:p>
        </w:tc>
        <w:tc>
          <w:tcPr>
            <w:tcW w:w="3581" w:type="dxa"/>
            <w:tcBorders>
              <w:tl2br w:val="nil"/>
              <w:tr2bl w:val="nil"/>
            </w:tcBorders>
            <w:noWrap w:val="0"/>
            <w:vAlign w:val="center"/>
          </w:tcPr>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5009.156—2016</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31604.1—2023</w:t>
            </w:r>
          </w:p>
          <w:p>
            <w:pPr>
              <w:pageBreakBefore w:val="0"/>
              <w:overflowPunct/>
              <w:topLinePunct w:val="0"/>
              <w:bidi w:val="0"/>
              <w:adjustRightInd/>
              <w:snapToGrid/>
              <w:spacing w:line="560" w:lineRule="exact"/>
              <w:jc w:val="center"/>
              <w:rPr>
                <w:rFonts w:ascii="Times New Roman" w:hAnsi="Times New Roman" w:eastAsia="仿宋_GB2312" w:cs="仿宋_GB2312"/>
                <w:color w:val="000000"/>
                <w:sz w:val="28"/>
                <w:szCs w:val="28"/>
                <w:highlight w:val="none"/>
              </w:rPr>
            </w:pPr>
            <w:r>
              <w:rPr>
                <w:rFonts w:hint="eastAsia" w:ascii="Times New Roman" w:hAnsi="Times New Roman" w:eastAsia="仿宋_GB2312" w:cs="仿宋_GB2312"/>
                <w:color w:val="000000"/>
                <w:sz w:val="28"/>
                <w:szCs w:val="28"/>
                <w:highlight w:val="none"/>
              </w:rPr>
              <w:t>GB 31604.2—2016</w:t>
            </w:r>
          </w:p>
        </w:tc>
      </w:tr>
    </w:tbl>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执行企业标准、团体标准、地方标准的产品，检验项目参照上述内容执行。</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凡是注日期的文件，其随后所有的修改单（不包括勘误的内容）或修订版不适用于本细则。凡是不注日期的文件，其最新版本适用于本细则。</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黑体" w:cs="黑体"/>
          <w:color w:val="000000"/>
          <w:sz w:val="32"/>
          <w:szCs w:val="40"/>
          <w:highlight w:val="none"/>
        </w:rPr>
        <w:t>3 判定规则</w:t>
      </w:r>
    </w:p>
    <w:p>
      <w:pPr>
        <w:pageBreakBefore w:val="0"/>
        <w:overflowPunct/>
        <w:topLinePunct w:val="0"/>
        <w:bidi w:val="0"/>
        <w:adjustRightInd/>
        <w:snapToGrid/>
        <w:spacing w:line="560" w:lineRule="exact"/>
        <w:ind w:firstLine="640" w:firstLineChars="200"/>
        <w:rPr>
          <w:rFonts w:ascii="Times New Roman" w:hAnsi="Times New Roman" w:eastAsia="楷体_GB2312" w:cs="楷体_GB2312"/>
          <w:color w:val="000000"/>
          <w:sz w:val="32"/>
          <w:szCs w:val="40"/>
          <w:highlight w:val="none"/>
        </w:rPr>
      </w:pPr>
      <w:r>
        <w:rPr>
          <w:rFonts w:hint="eastAsia" w:ascii="Times New Roman" w:hAnsi="Times New Roman" w:eastAsia="楷体_GB2312" w:cs="楷体_GB2312"/>
          <w:color w:val="000000"/>
          <w:sz w:val="32"/>
          <w:szCs w:val="40"/>
          <w:highlight w:val="none"/>
        </w:rPr>
        <w:t>3.1 依据标准</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4343.1—2018 家用电器、电动工具和类似器具的电磁兼容要求  第1部分：发射</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4706.1—2005 家用和类似用途电器的安全  第1部分：通用要求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4706.19—2008 家用和类似用途电器的安全  液体加热器的特殊要求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4806.7—2023 食品安全国家标准  食品接触用塑料材料及制品</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4806.9—2023 食品安全国家标准  食品接触用金属材料及制品</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4806.10—2016 食品安全国家标准  食品接触用涂料及涂层</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4806.11—2023 食品安全国家标准  食品接触用橡胶材料及制品</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4806.11—2016 食品安全国家标准  食品接触用橡胶材料及制品</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5009.156—2016 食品安全国家标准  食品接触材料及制品迁移试验预处理方法通则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12021.6—2017 电饭锅能效限定值及能效等级</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31604.1—2023 食品安全国家标准 食品接触材料及制品迁移试验通则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31604.2—2016 食品安全国家标准  食品接触材料及制品  高锰酸钾消耗量的测定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31604.8—2021 食品安全国家标准  食品接触材料及制品  总迁移量的测定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GB 31604.49—2023食品安全国家标准  食品接触材料及制品  多元素的测定和多元素迁移量的测定</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仿宋_GB2312" w:cs="仿宋_GB2312"/>
          <w:color w:val="000000"/>
          <w:sz w:val="32"/>
          <w:szCs w:val="40"/>
          <w:highlight w:val="none"/>
        </w:rPr>
        <w:t>现行有效的企业标准、团体标准、地方标准及产品明示质量要求</w:t>
      </w:r>
    </w:p>
    <w:p>
      <w:pPr>
        <w:pageBreakBefore w:val="0"/>
        <w:overflowPunct/>
        <w:topLinePunct w:val="0"/>
        <w:bidi w:val="0"/>
        <w:adjustRightInd/>
        <w:snapToGrid/>
        <w:spacing w:line="560" w:lineRule="exact"/>
        <w:ind w:firstLine="640" w:firstLineChars="200"/>
        <w:rPr>
          <w:rFonts w:ascii="Times New Roman" w:hAnsi="Times New Roman" w:eastAsia="仿宋_GB2312"/>
          <w:color w:val="000000"/>
          <w:sz w:val="32"/>
          <w:szCs w:val="32"/>
          <w:highlight w:val="none"/>
        </w:rPr>
      </w:pPr>
      <w:r>
        <w:rPr>
          <w:rFonts w:hint="eastAsia" w:ascii="Times New Roman" w:hAnsi="Times New Roman" w:eastAsia="楷体_GB2312" w:cs="楷体_GB2312"/>
          <w:color w:val="000000"/>
          <w:sz w:val="32"/>
          <w:szCs w:val="40"/>
          <w:highlight w:val="none"/>
        </w:rPr>
        <w:t>3.2 判定原则</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经检验，检验项目全部合格，判定为被抽查产品所检项目未发现不合格；检验项目中任一项或一项以上不合格，判定为被抽查产品不合格。</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若被检产品明示的质量要求高于本细则中检验项目依据的标准要求时，应按被检产品明示的质量要求判定。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若被检产品明示的质量要求低于或包含本细则中检验项目依据的推荐性标准要求时，应以被检产品明示的质量要求判定。</w:t>
      </w:r>
    </w:p>
    <w:p>
      <w:pPr>
        <w:pageBreakBefore w:val="0"/>
        <w:overflowPunct/>
        <w:topLinePunct w:val="0"/>
        <w:bidi w:val="0"/>
        <w:adjustRightInd/>
        <w:snapToGrid/>
        <w:spacing w:line="560" w:lineRule="exact"/>
        <w:ind w:firstLine="640" w:firstLineChars="200"/>
        <w:rPr>
          <w:rFonts w:ascii="Times New Roman" w:hAnsi="Times New Roman" w:eastAsia="仿宋_GB2312" w:cs="仿宋_GB2312"/>
          <w:color w:val="000000"/>
          <w:sz w:val="32"/>
          <w:szCs w:val="40"/>
          <w:highlight w:val="none"/>
        </w:rPr>
      </w:pPr>
      <w:r>
        <w:rPr>
          <w:rFonts w:hint="eastAsia" w:ascii="Times New Roman" w:hAnsi="Times New Roman" w:eastAsia="仿宋_GB2312" w:cs="仿宋_GB2312"/>
          <w:color w:val="000000"/>
          <w:sz w:val="32"/>
          <w:szCs w:val="40"/>
          <w:highlight w:val="none"/>
        </w:rPr>
        <w:t>若被检产品明示的质量要求缺少本细则中检验项目依据的强制性标准要求时，应按照强制性标准要求判定。</w:t>
      </w:r>
    </w:p>
    <w:p>
      <w:pPr>
        <w:pageBreakBefore w:val="0"/>
        <w:overflowPunct/>
        <w:topLinePunct w:val="0"/>
        <w:bidi w:val="0"/>
        <w:adjustRightInd/>
        <w:snapToGrid/>
        <w:spacing w:line="560" w:lineRule="exact"/>
        <w:ind w:firstLine="640" w:firstLineChars="200"/>
        <w:rPr>
          <w:rFonts w:hint="eastAsia"/>
          <w:lang w:val="en-US" w:eastAsia="zh-CN"/>
        </w:rPr>
      </w:pPr>
      <w:r>
        <w:rPr>
          <w:rFonts w:hint="eastAsia" w:ascii="Times New Roman" w:hAnsi="Times New Roman" w:eastAsia="仿宋_GB2312" w:cs="仿宋_GB2312"/>
          <w:color w:val="000000"/>
          <w:sz w:val="32"/>
          <w:szCs w:val="40"/>
          <w:highlight w:val="none"/>
        </w:rPr>
        <w:t>若被检产品明示的质量要求缺少本细则中检验项目依据的推荐性标准要求时，该项目不参与判定。</w:t>
      </w:r>
    </w:p>
    <w:sectPr>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CB4C9E"/>
    <w:rsid w:val="0F7E9F3D"/>
    <w:rsid w:val="3DBBE041"/>
    <w:rsid w:val="47CB4C9E"/>
    <w:rsid w:val="73EF9E5C"/>
    <w:rsid w:val="7B6FD292"/>
    <w:rsid w:val="7BF771D3"/>
    <w:rsid w:val="7FFF98A3"/>
    <w:rsid w:val="BFEC8A2E"/>
    <w:rsid w:val="EB3F22CA"/>
    <w:rsid w:val="F78F2BA5"/>
    <w:rsid w:val="FD37B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宋体" w:hAnsi="宋体" w:eastAsia="宋体" w:cs="Times New Roman"/>
      <w:kern w:val="2"/>
      <w:sz w:val="24"/>
      <w:szCs w:val="20"/>
      <w:lang w:val="en-US" w:eastAsia="zh-CN" w:bidi="ar-SA"/>
    </w:rPr>
  </w:style>
  <w:style w:type="paragraph" w:styleId="3">
    <w:name w:val="Plain Text"/>
    <w:basedOn w:val="1"/>
    <w:unhideWhenUsed/>
    <w:qFormat/>
    <w:uiPriority w:val="99"/>
    <w:pPr>
      <w:widowControl w:val="0"/>
      <w:jc w:val="both"/>
    </w:pPr>
    <w:rPr>
      <w:rFonts w:ascii="宋体" w:hAnsi="Courier New" w:eastAsia="宋体" w:cs="Times New Roman"/>
      <w:kern w:val="2"/>
      <w:sz w:val="32"/>
      <w:szCs w:val="21"/>
      <w:lang w:val="en-US" w:eastAsia="zh-CN" w:bidi="ar-SA"/>
    </w:rPr>
  </w:style>
  <w:style w:type="table" w:styleId="5">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Grid_0"/>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标题（方正小标宋简体）"/>
    <w:qFormat/>
    <w:uiPriority w:val="0"/>
    <w:pPr>
      <w:widowControl w:val="0"/>
      <w:spacing w:line="560" w:lineRule="exact"/>
      <w:jc w:val="center"/>
    </w:pPr>
    <w:rPr>
      <w:rFonts w:ascii="Times New Roman" w:hAnsi="Times New Roman" w:eastAsia="方正小标宋简体" w:cs="Times New Roman"/>
      <w:kern w:val="2"/>
      <w:sz w:val="44"/>
      <w:szCs w:val="44"/>
      <w:lang w:val="en-US" w:eastAsia="zh-CN" w:bidi="ar-SA"/>
    </w:rPr>
  </w:style>
  <w:style w:type="paragraph" w:customStyle="1" w:styleId="9">
    <w:name w:val="样式2 标题（楷体三号）"/>
    <w:qFormat/>
    <w:uiPriority w:val="0"/>
    <w:pPr>
      <w:widowControl w:val="0"/>
      <w:spacing w:line="560" w:lineRule="exact"/>
      <w:jc w:val="center"/>
    </w:pPr>
    <w:rPr>
      <w:rFonts w:hint="eastAsia" w:ascii="楷体_GB2312" w:hAnsi="楷体_GB2312" w:eastAsia="楷体_GB2312" w:cs="楷体_GB2312"/>
      <w:kern w:val="2"/>
      <w:sz w:val="32"/>
      <w:szCs w:val="32"/>
      <w:lang w:val="en-US" w:eastAsia="zh-CN" w:bidi="ar-SA"/>
    </w:rPr>
  </w:style>
  <w:style w:type="paragraph" w:customStyle="1" w:styleId="10">
    <w:name w:val="样式1 标题一级（黑体三号）"/>
    <w:qFormat/>
    <w:uiPriority w:val="0"/>
    <w:pPr>
      <w:widowControl w:val="0"/>
      <w:spacing w:line="560" w:lineRule="exact"/>
      <w:ind w:firstLineChars="200"/>
      <w:jc w:val="both"/>
    </w:pPr>
    <w:rPr>
      <w:rFonts w:hint="eastAsia" w:ascii="黑体" w:hAnsi="黑体" w:eastAsia="黑体" w:cs="黑体"/>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省市场监督管理局</Company>
  <Pages>6</Pages>
  <Words>0</Words>
  <Characters>0</Characters>
  <Lines>0</Lines>
  <Paragraphs>0</Paragraphs>
  <TotalTime>0</TotalTime>
  <ScaleCrop>false</ScaleCrop>
  <LinksUpToDate>false</LinksUpToDate>
  <CharactersWithSpaces>0</CharactersWithSpaces>
  <Application>WPS Office_12.8.2.15290_F1E327BC-269C-435d-A152-05C5408002CA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2024-06-07T09:04:00Z</dcterms:created>
  <dc:creator>胡翌婧</dc:creator>
  <cp:lastModifiedBy>greatwall</cp:lastModifiedBy>
  <dcterms:modified xsi:type="dcterms:W3CDTF">2025-06-18T08:47:31Z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2052-12.8.2.15290</vt:lpwstr>
  </property>
  <property fmtid="{D5CDD505-2E9C-101B-9397-08002B2CF9AE}" pid="3" name="ICV">
    <vt:lpwstr>22E20FDE85249C0A7AF0ED67206CC454_43</vt:lpwstr>
  </property>
</Properties>
</file>