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adjustRightInd/>
        <w:snapToGrid/>
        <w:spacing w:line="560" w:lineRule="exact"/>
        <w:rPr>
          <w:rFonts w:hint="eastAsia" w:eastAsia="黑体" w:cs="黑体"/>
          <w:bCs/>
          <w:color w:val="000000"/>
          <w:spacing w:val="-6"/>
          <w:sz w:val="32"/>
          <w:szCs w:val="32"/>
          <w:highlight w:val="none"/>
          <w:lang w:val="en-US" w:eastAsia="zh-CN"/>
        </w:rPr>
      </w:pPr>
      <w:r>
        <w:rPr>
          <w:rFonts w:hint="eastAsia" w:ascii="Times New Roman" w:hAnsi="Times New Roman" w:eastAsia="黑体" w:cs="黑体"/>
          <w:bCs/>
          <w:color w:val="000000"/>
          <w:spacing w:val="-6"/>
          <w:sz w:val="32"/>
          <w:szCs w:val="32"/>
          <w:highlight w:val="none"/>
        </w:rPr>
        <w:t>附件</w:t>
      </w:r>
      <w:r>
        <w:rPr>
          <w:rFonts w:hint="eastAsia" w:eastAsia="黑体" w:cs="黑体"/>
          <w:bCs/>
          <w:color w:val="000000"/>
          <w:spacing w:val="-6"/>
          <w:sz w:val="32"/>
          <w:szCs w:val="32"/>
          <w:highlight w:val="none"/>
          <w:lang w:val="en-US" w:eastAsia="zh-CN"/>
        </w:rPr>
        <w:t>6</w:t>
      </w:r>
    </w:p>
    <w:p>
      <w:pPr>
        <w:pageBreakBefore w:val="0"/>
        <w:overflowPunct/>
        <w:topLinePunct w:val="0"/>
        <w:bidi w:val="0"/>
        <w:adjustRightInd/>
        <w:snapToGrid/>
        <w:spacing w:line="560" w:lineRule="exact"/>
        <w:rPr>
          <w:rFonts w:hint="eastAsia" w:eastAsia="黑体" w:cs="黑体"/>
          <w:bCs/>
          <w:color w:val="000000"/>
          <w:spacing w:val="-6"/>
          <w:sz w:val="32"/>
          <w:szCs w:val="32"/>
          <w:highlight w:val="none"/>
          <w:lang w:val="en-US" w:eastAsia="zh-CN"/>
        </w:rPr>
      </w:pPr>
    </w:p>
    <w:p>
      <w:pPr>
        <w:pageBreakBefore w:val="0"/>
        <w:overflowPunct/>
        <w:topLinePunct w:val="0"/>
        <w:bidi w:val="0"/>
        <w:adjustRightInd/>
        <w:snapToGrid/>
        <w:spacing w:line="560" w:lineRule="exact"/>
        <w:jc w:val="center"/>
        <w:rPr>
          <w:rFonts w:ascii="Times New Roman" w:hAnsi="Times New Roman"/>
          <w:color w:val="000000"/>
          <w:highlight w:val="none"/>
        </w:rPr>
      </w:pPr>
      <w:r>
        <w:rPr>
          <w:rFonts w:hint="eastAsia" w:eastAsia="方正小标宋简体" w:cs="方正小标宋简体"/>
          <w:color w:val="000000"/>
          <w:sz w:val="44"/>
          <w:szCs w:val="44"/>
          <w:highlight w:val="none"/>
          <w:lang w:eastAsia="zh-CN"/>
        </w:rPr>
        <w:t>梅州市</w:t>
      </w:r>
      <w:r>
        <w:rPr>
          <w:rFonts w:hint="eastAsia" w:ascii="Times New Roman" w:hAnsi="Times New Roman" w:eastAsia="方正小标宋简体" w:cs="方正小标宋简体"/>
          <w:color w:val="000000"/>
          <w:sz w:val="44"/>
          <w:szCs w:val="44"/>
          <w:highlight w:val="none"/>
        </w:rPr>
        <w:t>烟花爆竹产品质量监督抽查实施细则</w:t>
      </w:r>
    </w:p>
    <w:p>
      <w:pPr>
        <w:pageBreakBefore w:val="0"/>
        <w:overflowPunct/>
        <w:topLinePunct w:val="0"/>
        <w:bidi w:val="0"/>
        <w:adjustRightInd/>
        <w:snapToGrid/>
        <w:spacing w:line="560" w:lineRule="exact"/>
        <w:jc w:val="center"/>
        <w:rPr>
          <w:rFonts w:ascii="Times New Roman" w:hAnsi="Times New Roman" w:eastAsia="楷体_GB2312" w:cs="楷体_GB2312"/>
          <w:color w:val="000000"/>
          <w:sz w:val="32"/>
          <w:szCs w:val="40"/>
          <w:highlight w:val="none"/>
        </w:rPr>
      </w:pPr>
      <w:r>
        <w:rPr>
          <w:rFonts w:ascii="Times New Roman" w:hAnsi="Times New Roman" w:eastAsia="楷体_GB2312" w:cs="楷体_GB2312"/>
          <w:color w:val="000000"/>
          <w:sz w:val="32"/>
          <w:szCs w:val="40"/>
          <w:highlight w:val="none"/>
        </w:rPr>
        <w:t>（202</w:t>
      </w:r>
      <w:r>
        <w:rPr>
          <w:rFonts w:hint="eastAsia" w:ascii="Times New Roman" w:hAnsi="Times New Roman" w:eastAsia="楷体_GB2312" w:cs="楷体_GB2312"/>
          <w:color w:val="000000"/>
          <w:sz w:val="32"/>
          <w:szCs w:val="40"/>
          <w:highlight w:val="none"/>
        </w:rPr>
        <w:t>5</w:t>
      </w:r>
      <w:r>
        <w:rPr>
          <w:rFonts w:ascii="Times New Roman" w:hAnsi="Times New Roman" w:eastAsia="楷体_GB2312" w:cs="楷体_GB2312"/>
          <w:color w:val="000000"/>
          <w:sz w:val="32"/>
          <w:szCs w:val="40"/>
          <w:highlight w:val="none"/>
        </w:rPr>
        <w:t>年版）</w:t>
      </w:r>
    </w:p>
    <w:p>
      <w:pPr>
        <w:pageBreakBefore w:val="0"/>
        <w:overflowPunct/>
        <w:topLinePunct w:val="0"/>
        <w:bidi w:val="0"/>
        <w:adjustRightInd/>
        <w:snapToGrid/>
        <w:spacing w:line="560" w:lineRule="exact"/>
        <w:jc w:val="center"/>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检验样品数量按表1、表2和表3的规定执行，同时抽取同等数量的备用样品。</w:t>
      </w:r>
    </w:p>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表1 一般产品抽取样品数量</w:t>
      </w:r>
    </w:p>
    <w:tbl>
      <w:tblPr>
        <w:tblStyle w:val="6"/>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754"/>
        <w:gridCol w:w="1735"/>
        <w:gridCol w:w="177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38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批量范围N</w:t>
            </w:r>
          </w:p>
        </w:tc>
        <w:tc>
          <w:tcPr>
            <w:tcW w:w="175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≤500</w:t>
            </w:r>
          </w:p>
        </w:tc>
        <w:tc>
          <w:tcPr>
            <w:tcW w:w="173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501~1000</w:t>
            </w:r>
          </w:p>
        </w:tc>
        <w:tc>
          <w:tcPr>
            <w:tcW w:w="177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1001~2000</w:t>
            </w:r>
          </w:p>
        </w:tc>
        <w:tc>
          <w:tcPr>
            <w:tcW w:w="152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3"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样本量n</w:t>
            </w:r>
          </w:p>
        </w:tc>
        <w:tc>
          <w:tcPr>
            <w:tcW w:w="175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173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177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1524"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13</w:t>
            </w:r>
          </w:p>
        </w:tc>
      </w:tr>
    </w:tbl>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表2 爆竹产品抽取样品数量</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783"/>
        <w:gridCol w:w="1800"/>
        <w:gridCol w:w="2074"/>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46" w:type="dxa"/>
            <w:vMerge w:val="restart"/>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批量范围</w:t>
            </w:r>
          </w:p>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N（挂、卷）</w:t>
            </w:r>
          </w:p>
        </w:tc>
        <w:tc>
          <w:tcPr>
            <w:tcW w:w="7628" w:type="dxa"/>
            <w:gridSpan w:val="4"/>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样本量n (挂、卷)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46" w:type="dxa"/>
            <w:vMerge w:val="continue"/>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p>
        </w:tc>
        <w:tc>
          <w:tcPr>
            <w:tcW w:w="1783"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≤50响/</w:t>
            </w:r>
          </w:p>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（挂、卷）</w:t>
            </w:r>
          </w:p>
        </w:tc>
        <w:tc>
          <w:tcPr>
            <w:tcW w:w="1800"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51~500响/（挂、卷）</w:t>
            </w:r>
          </w:p>
        </w:tc>
        <w:tc>
          <w:tcPr>
            <w:tcW w:w="2074"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501~2000响/（挂、卷）</w:t>
            </w:r>
          </w:p>
        </w:tc>
        <w:tc>
          <w:tcPr>
            <w:tcW w:w="1971"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＞2000响/（挂、卷）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6"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 xml:space="preserve">≤500 </w:t>
            </w:r>
          </w:p>
        </w:tc>
        <w:tc>
          <w:tcPr>
            <w:tcW w:w="1783"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1800"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2074"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1971"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1546"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501~1000</w:t>
            </w:r>
          </w:p>
        </w:tc>
        <w:tc>
          <w:tcPr>
            <w:tcW w:w="1783"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1800"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2074"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971"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46"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1001~2000</w:t>
            </w:r>
          </w:p>
        </w:tc>
        <w:tc>
          <w:tcPr>
            <w:tcW w:w="1783"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13</w:t>
            </w:r>
          </w:p>
        </w:tc>
        <w:tc>
          <w:tcPr>
            <w:tcW w:w="1800"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2074"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1971"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546"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＞2000</w:t>
            </w:r>
          </w:p>
        </w:tc>
        <w:tc>
          <w:tcPr>
            <w:tcW w:w="1783"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13</w:t>
            </w:r>
          </w:p>
        </w:tc>
        <w:tc>
          <w:tcPr>
            <w:tcW w:w="1800"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12</w:t>
            </w:r>
          </w:p>
        </w:tc>
        <w:tc>
          <w:tcPr>
            <w:tcW w:w="2074"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1971" w:type="dxa"/>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r>
    </w:tbl>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表3 组合烟花产品抽取样品数量</w:t>
      </w:r>
    </w:p>
    <w:tbl>
      <w:tblPr>
        <w:tblStyle w:val="6"/>
        <w:tblW w:w="9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7"/>
        <w:gridCol w:w="1259"/>
        <w:gridCol w:w="1240"/>
        <w:gridCol w:w="1300"/>
        <w:gridCol w:w="1295"/>
        <w:gridCol w:w="1246"/>
        <w:gridCol w:w="1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restart"/>
            <w:tcBorders>
              <w:top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批量范围</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N（个）</w:t>
            </w:r>
          </w:p>
        </w:tc>
        <w:tc>
          <w:tcPr>
            <w:tcW w:w="7467" w:type="dxa"/>
            <w:gridSpan w:val="6"/>
            <w:tcBorders>
              <w:top w:val="single" w:color="auto" w:sz="4" w:space="0"/>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样本量 n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7467" w:type="dxa"/>
            <w:gridSpan w:val="6"/>
            <w:tcBorders>
              <w:top w:val="single" w:color="auto" w:sz="4" w:space="0"/>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组合发数（发/个）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49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 xml:space="preserve">≤20 </w:t>
            </w:r>
          </w:p>
        </w:tc>
        <w:tc>
          <w:tcPr>
            <w:tcW w:w="259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21～50</w:t>
            </w:r>
          </w:p>
        </w:tc>
        <w:tc>
          <w:tcPr>
            <w:tcW w:w="2373" w:type="dxa"/>
            <w:gridSpan w:val="2"/>
            <w:tcBorders>
              <w:top w:val="single" w:color="auto" w:sz="4" w:space="0"/>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7467" w:type="dxa"/>
            <w:gridSpan w:val="6"/>
            <w:tcBorders>
              <w:top w:val="single" w:color="auto" w:sz="4" w:space="0"/>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单筒内径（mm）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vMerge w:val="continue"/>
            <w:tcBorders>
              <w:top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＞30</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≤30</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＞30</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≤30</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＞30</w:t>
            </w:r>
          </w:p>
        </w:tc>
        <w:tc>
          <w:tcPr>
            <w:tcW w:w="1127" w:type="dxa"/>
            <w:tcBorders>
              <w:top w:val="single" w:color="auto" w:sz="4" w:space="0"/>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≤500</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1246" w:type="dxa"/>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1127" w:type="dxa"/>
            <w:tcBorders>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501~1000</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246" w:type="dxa"/>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1127" w:type="dxa"/>
            <w:tcBorders>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1707" w:type="dxa"/>
            <w:tcBorders>
              <w:top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≥1001</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1246" w:type="dxa"/>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1127" w:type="dxa"/>
            <w:tcBorders>
              <w:left w:val="single" w:color="auto" w:sz="4" w:space="0"/>
              <w:bottom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r>
    </w:tbl>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ascii="Times New Roman" w:hAnsi="Times New Roman" w:eastAsia="黑体" w:cs="黑体"/>
          <w:color w:val="000000"/>
          <w:sz w:val="32"/>
          <w:szCs w:val="40"/>
          <w:highlight w:val="none"/>
        </w:rPr>
        <w:t>2 检验依据</w:t>
      </w:r>
    </w:p>
    <w:p>
      <w:pPr>
        <w:pageBreakBefore w:val="0"/>
        <w:overflowPunct/>
        <w:topLinePunct w:val="0"/>
        <w:bidi w:val="0"/>
        <w:adjustRightInd/>
        <w:snapToGrid/>
        <w:spacing w:line="560" w:lineRule="exact"/>
        <w:ind w:firstLine="640" w:firstLineChars="200"/>
        <w:jc w:val="center"/>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表4 组合烟花</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721"/>
        <w:gridCol w:w="1082"/>
        <w:gridCol w:w="236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721" w:type="dxa"/>
            <w:vMerge w:val="restart"/>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标志</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运输包装标志</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721" w:type="dxa"/>
            <w:vMerge w:val="continue"/>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销售包装标志</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46" w:type="dxa"/>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721" w:type="dxa"/>
            <w:vMerge w:val="restart"/>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包装</w:t>
            </w: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运输包装</w:t>
            </w:r>
          </w:p>
        </w:tc>
        <w:tc>
          <w:tcPr>
            <w:tcW w:w="3962" w:type="dxa"/>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46" w:type="dxa"/>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721" w:type="dxa"/>
            <w:vMerge w:val="continue"/>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44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销售包装</w:t>
            </w:r>
          </w:p>
        </w:tc>
        <w:tc>
          <w:tcPr>
            <w:tcW w:w="3962" w:type="dxa"/>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外观</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6" w:type="dxa"/>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721" w:type="dxa"/>
            <w:vMerge w:val="restart"/>
            <w:tcBorders>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部件</w:t>
            </w:r>
          </w:p>
        </w:tc>
        <w:tc>
          <w:tcPr>
            <w:tcW w:w="1082" w:type="dxa"/>
            <w:vMerge w:val="restart"/>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引燃装置</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引火线</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46" w:type="dxa"/>
            <w:tcBorders>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721" w:type="dxa"/>
            <w:vMerge w:val="continue"/>
            <w:tcBorders>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1082" w:type="dxa"/>
            <w:vMerge w:val="continue"/>
            <w:tcBorders>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6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引火线牢固性</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46" w:type="dxa"/>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721" w:type="dxa"/>
            <w:vMerge w:val="continue"/>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1082" w:type="dxa"/>
            <w:vMerge w:val="continue"/>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63"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引燃时间</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9</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结构和材质</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主体稳定性</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11</w:t>
            </w:r>
          </w:p>
        </w:tc>
        <w:tc>
          <w:tcPr>
            <w:tcW w:w="4166" w:type="dxa"/>
            <w:gridSpan w:val="3"/>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药种</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GB/T 21242—2019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12</w:t>
            </w:r>
          </w:p>
        </w:tc>
        <w:tc>
          <w:tcPr>
            <w:tcW w:w="4166" w:type="dxa"/>
            <w:gridSpan w:val="3"/>
            <w:tcBorders>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药量</w:t>
            </w:r>
          </w:p>
        </w:tc>
        <w:tc>
          <w:tcPr>
            <w:tcW w:w="39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13</w:t>
            </w:r>
          </w:p>
        </w:tc>
        <w:tc>
          <w:tcPr>
            <w:tcW w:w="4166" w:type="dxa"/>
            <w:gridSpan w:val="3"/>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燃放性能</w:t>
            </w:r>
          </w:p>
        </w:tc>
        <w:tc>
          <w:tcPr>
            <w:tcW w:w="3962" w:type="dxa"/>
            <w:tcBorders>
              <w:top w:val="single" w:color="auto" w:sz="4" w:space="0"/>
              <w:left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19593—2015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注： 1. 标志要求的检验项目为GB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10631—2013中5.1.1、5.1.2、5.1.3及GB 19593—2015中5.1.1、5.1.2 c）、d）、e），GB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10631—2013中5.1.2要求的检验项目为产品名称、制造商名称及地址，GB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10631—2013中5.1.3要求的检验项目为产品名称、制造商名称及地址、警示语、燃放说明；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 包装要求的检验项目为GB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10631—2013中5.2.1、5.2.2；</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 外观要求的检验项目为GB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 5.3中“重霉变，主体严重变形，开裂”；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 部件要求的检验项目为GB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10631—2013中5.4.2.1、5.4.2.4及GB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19593—2015中5.3.2；</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 结构和材质要求的检验项目为GB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10631—2013中5.5及GB19593—2015中5.4；</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 药种要求的检验项目为GB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10631—2013中5.6.1.1；</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 药量要求的检验项目为GB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10631—2013中5.6.2.2（不检验开包药药量）；</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 燃放性能要求的检验项目为GB</w:t>
            </w:r>
            <w:r>
              <w:rPr>
                <w:rFonts w:hint="eastAsia" w:ascii="Times New Roman" w:hAnsi="Times New Roman" w:eastAsia="仿宋_GB2312" w:cs="仿宋_GB2312"/>
                <w:color w:val="000000"/>
                <w:sz w:val="28"/>
                <w:szCs w:val="28"/>
                <w:highlight w:val="none"/>
                <w:lang w:val="en-US" w:eastAsia="zh-CN"/>
              </w:rPr>
              <w:t xml:space="preserve"> </w:t>
            </w:r>
            <w:r>
              <w:rPr>
                <w:rFonts w:hint="eastAsia" w:ascii="Times New Roman" w:hAnsi="Times New Roman" w:eastAsia="仿宋_GB2312" w:cs="仿宋_GB2312"/>
                <w:color w:val="000000"/>
                <w:sz w:val="28"/>
                <w:szCs w:val="28"/>
                <w:highlight w:val="none"/>
              </w:rPr>
              <w:t>19593—2015中5.7.5、5.7.6。</w:t>
            </w:r>
          </w:p>
        </w:tc>
      </w:tr>
    </w:tbl>
    <w:p>
      <w:pPr>
        <w:pageBreakBefore w:val="0"/>
        <w:overflowPunct/>
        <w:topLinePunct w:val="0"/>
        <w:bidi w:val="0"/>
        <w:adjustRightInd/>
        <w:snapToGrid/>
        <w:spacing w:line="560" w:lineRule="exact"/>
        <w:jc w:val="center"/>
        <w:rPr>
          <w:rFonts w:ascii="Times New Roman" w:hAnsi="Times New Roman" w:eastAsia="仿宋_GB2312"/>
          <w:color w:val="000000"/>
          <w:sz w:val="32"/>
          <w:szCs w:val="32"/>
          <w:highlight w:val="none"/>
        </w:rPr>
      </w:pPr>
      <w:r>
        <w:rPr>
          <w:rFonts w:ascii="Times New Roman" w:hAnsi="Times New Roman" w:eastAsia="仿宋_GB2312" w:cs="仿宋_GB2312"/>
          <w:color w:val="000000"/>
          <w:sz w:val="32"/>
          <w:szCs w:val="40"/>
          <w:highlight w:val="none"/>
        </w:rPr>
        <w:t>表5 烟花爆竹（除组合烟花外）</w:t>
      </w:r>
      <w:r>
        <w:rPr>
          <w:rFonts w:ascii="Times New Roman" w:hAnsi="Times New Roman" w:eastAsia="仿宋_GB2312"/>
          <w:color w:val="000000"/>
          <w:sz w:val="32"/>
          <w:szCs w:val="32"/>
          <w:highlight w:val="none"/>
        </w:rPr>
        <w:t xml:space="preserve"> </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266"/>
        <w:gridCol w:w="1000"/>
        <w:gridCol w:w="2700"/>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4966" w:type="dxa"/>
            <w:gridSpan w:val="3"/>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1266"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标志</w:t>
            </w:r>
          </w:p>
        </w:tc>
        <w:tc>
          <w:tcPr>
            <w:tcW w:w="3700"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运输包装标志</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1266"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700"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销售包装标志</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1266"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包装</w:t>
            </w:r>
          </w:p>
        </w:tc>
        <w:tc>
          <w:tcPr>
            <w:tcW w:w="3700"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运输包装</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1266"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700"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销售包装</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4966" w:type="dxa"/>
            <w:gridSpan w:val="3"/>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外观</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1266"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部件</w:t>
            </w:r>
          </w:p>
        </w:tc>
        <w:tc>
          <w:tcPr>
            <w:tcW w:w="3700"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部件牢固性</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1266"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1000"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引燃装置</w:t>
            </w:r>
          </w:p>
        </w:tc>
        <w:tc>
          <w:tcPr>
            <w:tcW w:w="27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引火线</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1266"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1000"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7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引火线牢固性</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9</w:t>
            </w:r>
          </w:p>
        </w:tc>
        <w:tc>
          <w:tcPr>
            <w:tcW w:w="1266"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1000"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700"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引燃时间</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1266"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3700"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手持部位</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11</w:t>
            </w:r>
          </w:p>
        </w:tc>
        <w:tc>
          <w:tcPr>
            <w:tcW w:w="4966" w:type="dxa"/>
            <w:gridSpan w:val="3"/>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结构和材质</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12</w:t>
            </w:r>
          </w:p>
        </w:tc>
        <w:tc>
          <w:tcPr>
            <w:tcW w:w="4966" w:type="dxa"/>
            <w:gridSpan w:val="3"/>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药种</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GB/T 21242—2019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13</w:t>
            </w:r>
          </w:p>
        </w:tc>
        <w:tc>
          <w:tcPr>
            <w:tcW w:w="4966" w:type="dxa"/>
            <w:gridSpan w:val="3"/>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药量</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04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14</w:t>
            </w:r>
          </w:p>
        </w:tc>
        <w:tc>
          <w:tcPr>
            <w:tcW w:w="4966" w:type="dxa"/>
            <w:gridSpan w:val="3"/>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燃放性能</w:t>
            </w:r>
          </w:p>
        </w:tc>
        <w:tc>
          <w:tcPr>
            <w:tcW w:w="3162"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10631—2013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6" w:hRule="atLeast"/>
          <w:jc w:val="center"/>
        </w:trPr>
        <w:tc>
          <w:tcPr>
            <w:tcW w:w="91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注：1. 标志要求的检验项目为GB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10631—2013中5.1.1、5.1.2、5.1.3，GB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10631—2013中5.1.2要求的检验项目为产品名称、制造商名称及地址，GB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10631-2013中5.1.3要求的检验项目为产品名称、制造商名称及地址、警示语、燃放说明；</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2. 包装要求的检验项目为GB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10631—2013中5.2.1、5.2.2；</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3. 外观要求的检验项目为GB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 5.3中“重霉变，主体严重变形，开裂”；</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4. 部件要求的检验项目为GB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10631—2013中5.4.1、5.4.2.1、5.4.2.3、5.4.2.4、5.4.2.6、5.4.3；</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5. 结构和材质要求的检验项目为GB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10631—2013中5.5.1、5.5.4、5.5.5；</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6. 药种要求的检验项目为GB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10631—2013中5.6.1.1；</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仿宋_GB2312"/>
                <w:color w:val="000000"/>
                <w:sz w:val="24"/>
                <w:highlight w:val="none"/>
              </w:rPr>
            </w:pPr>
            <w:r>
              <w:rPr>
                <w:rFonts w:hint="eastAsia" w:ascii="Times New Roman" w:hAnsi="Times New Roman" w:eastAsia="仿宋_GB2312" w:cs="仿宋_GB2312"/>
                <w:color w:val="000000"/>
                <w:sz w:val="24"/>
                <w:highlight w:val="none"/>
              </w:rPr>
              <w:t>7. 药量要求的检验项目为GB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10631—2013中5.6.2.2；</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4"/>
                <w:highlight w:val="none"/>
              </w:rPr>
              <w:t>8. 燃放性能要求的检验项目为GB</w:t>
            </w:r>
            <w:r>
              <w:rPr>
                <w:rFonts w:hint="eastAsia" w:ascii="Times New Roman" w:hAnsi="Times New Roman" w:eastAsia="仿宋_GB2312" w:cs="仿宋_GB2312"/>
                <w:color w:val="000000"/>
                <w:sz w:val="24"/>
                <w:highlight w:val="none"/>
                <w:lang w:val="en-US" w:eastAsia="zh-CN"/>
              </w:rPr>
              <w:t xml:space="preserve"> </w:t>
            </w:r>
            <w:r>
              <w:rPr>
                <w:rFonts w:hint="eastAsia" w:ascii="Times New Roman" w:hAnsi="Times New Roman" w:eastAsia="仿宋_GB2312" w:cs="仿宋_GB2312"/>
                <w:color w:val="000000"/>
                <w:sz w:val="24"/>
                <w:highlight w:val="none"/>
              </w:rPr>
              <w:t>10631—2013中5.7.8、5.7.9、5.7.10、5.7.11、5.7.12、5.7.14。</w:t>
            </w:r>
          </w:p>
        </w:tc>
      </w:tr>
    </w:tbl>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ascii="Times New Roman" w:hAnsi="Times New Roman" w:eastAsia="楷体_GB2312" w:cs="楷体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GB 10631-2013</w:t>
      </w:r>
      <w:r>
        <w:rPr>
          <w:rFonts w:hint="eastAsia" w:ascii="Times New Roman" w:hAnsi="Times New Roman" w:eastAsia="仿宋_GB2312" w:cs="仿宋_GB2312"/>
          <w:color w:val="000000"/>
          <w:sz w:val="32"/>
          <w:szCs w:val="40"/>
          <w:highlight w:val="none"/>
        </w:rPr>
        <w:t xml:space="preserve"> </w:t>
      </w:r>
      <w:r>
        <w:rPr>
          <w:rFonts w:ascii="Times New Roman" w:hAnsi="Times New Roman" w:eastAsia="仿宋_GB2312" w:cs="仿宋_GB2312"/>
          <w:color w:val="000000"/>
          <w:sz w:val="32"/>
          <w:szCs w:val="40"/>
          <w:highlight w:val="none"/>
        </w:rPr>
        <w:t xml:space="preserve">《烟花爆竹  安全与质量》  </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 xml:space="preserve">GB 19593－2015《烟花爆竹  组合烟花》 </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ascii="Times New Roman" w:hAnsi="Times New Roman" w:eastAsia="楷体_GB2312" w:cs="楷体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仿宋_GB2312" w:hAnsi="仿宋_GB2312" w:eastAsia="仿宋_GB2312" w:cs="仿宋_GB2312"/>
          <w:color w:val="auto"/>
          <w:spacing w:val="-6"/>
          <w:position w:val="1"/>
          <w:sz w:val="32"/>
          <w:szCs w:val="32"/>
          <w:lang w:val="en-US" w:eastAsia="zh-CN"/>
        </w:rPr>
      </w:pPr>
      <w:r>
        <w:rPr>
          <w:rFonts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bookmarkStart w:id="0" w:name="_GoBack"/>
      <w:bookmarkEnd w:id="0"/>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036E517F"/>
    <w:rsid w:val="2F57741F"/>
    <w:rsid w:val="47CB4C9E"/>
    <w:rsid w:val="716713A0"/>
    <w:rsid w:val="7B6FD292"/>
    <w:rsid w:val="7BF771D3"/>
    <w:rsid w:val="ADFD5F00"/>
    <w:rsid w:val="B6DAAD97"/>
    <w:rsid w:val="BFDB55C4"/>
    <w:rsid w:val="D27DC2BD"/>
    <w:rsid w:val="EB3F22CA"/>
    <w:rsid w:val="F78F2BA5"/>
    <w:rsid w:val="F7FF8ABB"/>
    <w:rsid w:val="FD37BF4B"/>
    <w:rsid w:val="FEB5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11">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2">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5</Pages>
  <Words>0</Words>
  <Characters>0</Characters>
  <Lines>0</Lines>
  <Paragraphs>0</Paragraphs>
  <TotalTime>1</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2024-06-07T09:04:00Z</dcterms:created>
  <dc:creator>胡翌婧</dc:creator>
  <cp:lastModifiedBy>greatwall</cp:lastModifiedBy>
  <dcterms:modified xsi:type="dcterms:W3CDTF">2025-06-17T11:04:19Z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FE9EF22D3BE26FF2CCF9ED67C37C9DF5_43</vt:lpwstr>
  </property>
</Properties>
</file>