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eastAsia="黑体" w:cs="Times New Roman"/>
          <w:bCs/>
          <w:color w:val="auto"/>
          <w:spacing w:val="-6"/>
          <w:sz w:val="32"/>
          <w:szCs w:val="32"/>
          <w:lang w:val="en-US" w:eastAsia="zh-CN"/>
        </w:rPr>
      </w:pPr>
      <w:r>
        <w:rPr>
          <w:rFonts w:hint="default" w:ascii="Times New Roman" w:hAnsi="Times New Roman" w:eastAsia="黑体" w:cs="Times New Roman"/>
          <w:bCs/>
          <w:color w:val="auto"/>
          <w:spacing w:val="-6"/>
          <w:sz w:val="32"/>
          <w:szCs w:val="32"/>
        </w:rPr>
        <w:t>附件</w:t>
      </w:r>
      <w:r>
        <w:rPr>
          <w:rFonts w:hint="eastAsia" w:eastAsia="黑体" w:cs="Times New Roman"/>
          <w:bCs/>
          <w:color w:val="auto"/>
          <w:spacing w:val="-6"/>
          <w:sz w:val="32"/>
          <w:szCs w:val="32"/>
          <w:lang w:val="en-US" w:eastAsia="zh-CN"/>
        </w:rPr>
        <w:t>1</w:t>
      </w:r>
      <w:r>
        <w:rPr>
          <w:rFonts w:hint="default" w:eastAsia="黑体" w:cs="Times New Roman"/>
          <w:bCs/>
          <w:color w:val="auto"/>
          <w:spacing w:val="-6"/>
          <w:sz w:val="32"/>
          <w:szCs w:val="32"/>
          <w:lang w:val="en-US" w:eastAsia="zh-CN"/>
        </w:rPr>
        <w:t>3</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color w:val="auto"/>
          <w:spacing w:val="-6"/>
          <w:position w:val="1"/>
          <w:sz w:val="32"/>
          <w:szCs w:val="32"/>
        </w:rPr>
      </w:pPr>
      <w:bookmarkStart w:id="0" w:name="_GoBack"/>
      <w:bookmarkEnd w:id="0"/>
    </w:p>
    <w:p>
      <w:pPr>
        <w:pStyle w:val="8"/>
        <w:bidi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cs="方正小标宋简体"/>
          <w:sz w:val="44"/>
          <w:szCs w:val="44"/>
          <w:lang w:eastAsia="zh-CN"/>
        </w:rPr>
        <w:t>梅州市</w:t>
      </w:r>
      <w:r>
        <w:rPr>
          <w:rFonts w:hint="eastAsia" w:ascii="方正小标宋简体" w:hAnsi="方正小标宋简体" w:eastAsia="方正小标宋简体" w:cs="方正小标宋简体"/>
          <w:sz w:val="44"/>
          <w:szCs w:val="44"/>
          <w:lang w:val="en-US" w:eastAsia="zh-CN"/>
        </w:rPr>
        <w:t>摩托车乘员头盔、电动自行车头盔</w:t>
      </w:r>
    </w:p>
    <w:p>
      <w:pPr>
        <w:pStyle w:val="8"/>
        <w:bidi w:val="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sz w:val="44"/>
          <w:szCs w:val="44"/>
        </w:rPr>
        <w:t>产品质量监督抽查</w:t>
      </w:r>
      <w:r>
        <w:rPr>
          <w:rFonts w:hint="eastAsia" w:ascii="方正小标宋简体" w:hAnsi="方正小标宋简体" w:eastAsia="方正小标宋简体" w:cs="方正小标宋简体"/>
          <w:color w:val="auto"/>
          <w:sz w:val="44"/>
          <w:szCs w:val="44"/>
          <w:highlight w:val="none"/>
        </w:rPr>
        <w:t>实施细则</w:t>
      </w:r>
    </w:p>
    <w:p>
      <w:pPr>
        <w:bidi w:val="0"/>
        <w:adjustRightInd/>
        <w:snapToGrid/>
        <w:spacing w:line="560" w:lineRule="exact"/>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（202</w:t>
      </w:r>
      <w:r>
        <w:rPr>
          <w:rFonts w:hint="eastAsia" w:eastAsia="楷体_GB2312" w:cs="Times New Roman"/>
          <w:color w:val="auto"/>
          <w:sz w:val="32"/>
          <w:szCs w:val="32"/>
          <w:highlight w:val="none"/>
          <w:lang w:val="en-US" w:eastAsia="zh-CN"/>
        </w:rPr>
        <w:t>5</w:t>
      </w:r>
      <w:r>
        <w:rPr>
          <w:rFonts w:hint="default" w:ascii="Times New Roman" w:hAnsi="Times New Roman" w:eastAsia="楷体_GB2312" w:cs="Times New Roman"/>
          <w:color w:val="auto"/>
          <w:sz w:val="32"/>
          <w:szCs w:val="32"/>
          <w:highlight w:val="none"/>
          <w:lang w:eastAsia="zh-CN"/>
        </w:rPr>
        <w:t>年版）</w:t>
      </w:r>
    </w:p>
    <w:p>
      <w:pPr>
        <w:bidi w:val="0"/>
        <w:adjustRightInd/>
        <w:snapToGrid/>
        <w:spacing w:line="560" w:lineRule="exact"/>
        <w:rPr>
          <w:rFonts w:hint="default" w:ascii="Times New Roman" w:hAnsi="Times New Roman" w:eastAsia="仿宋_GB2312" w:cs="Times New Roman"/>
          <w:color w:val="auto"/>
          <w:sz w:val="32"/>
          <w:szCs w:val="32"/>
          <w:highlight w:val="none"/>
        </w:rPr>
      </w:pPr>
    </w:p>
    <w:p>
      <w:pPr>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 抽样方法</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以随机抽样的方式在被抽样生产者、销售者的待销产品中抽取。</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随机数一般可使用随机数表等方法产生。</w:t>
      </w:r>
    </w:p>
    <w:p>
      <w:pPr>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000000"/>
          <w:sz w:val="32"/>
          <w:szCs w:val="32"/>
        </w:rPr>
        <w:t>每批次产品抽取样品4顶，其中2顶作为检验样品，2顶作为备用样品。</w:t>
      </w:r>
    </w:p>
    <w:p>
      <w:pPr>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2 检验依据</w:t>
      </w:r>
    </w:p>
    <w:tbl>
      <w:tblPr>
        <w:tblStyle w:val="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83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序号</w:t>
            </w:r>
          </w:p>
        </w:tc>
        <w:tc>
          <w:tcPr>
            <w:tcW w:w="354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检验项目</w:t>
            </w:r>
          </w:p>
        </w:tc>
        <w:tc>
          <w:tcPr>
            <w:tcW w:w="453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p>
        </w:tc>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结构</w:t>
            </w:r>
          </w:p>
        </w:tc>
        <w:tc>
          <w:tcPr>
            <w:tcW w:w="283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壳体a</w:t>
            </w:r>
          </w:p>
        </w:tc>
        <w:tc>
          <w:tcPr>
            <w:tcW w:w="453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p>
        </w:tc>
        <w:tc>
          <w:tcPr>
            <w:tcW w:w="283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缓冲层b</w:t>
            </w:r>
          </w:p>
        </w:tc>
        <w:tc>
          <w:tcPr>
            <w:tcW w:w="453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p>
        </w:tc>
        <w:tc>
          <w:tcPr>
            <w:tcW w:w="70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p>
        </w:tc>
        <w:tc>
          <w:tcPr>
            <w:tcW w:w="283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佩戴装置</w:t>
            </w:r>
          </w:p>
        </w:tc>
        <w:tc>
          <w:tcPr>
            <w:tcW w:w="453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w:t>
            </w:r>
          </w:p>
        </w:tc>
        <w:tc>
          <w:tcPr>
            <w:tcW w:w="354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视野</w:t>
            </w:r>
          </w:p>
        </w:tc>
        <w:tc>
          <w:tcPr>
            <w:tcW w:w="453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3</w:t>
            </w:r>
          </w:p>
        </w:tc>
        <w:tc>
          <w:tcPr>
            <w:tcW w:w="354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护目镜</w:t>
            </w:r>
          </w:p>
        </w:tc>
        <w:tc>
          <w:tcPr>
            <w:tcW w:w="453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4</w:t>
            </w:r>
          </w:p>
        </w:tc>
        <w:tc>
          <w:tcPr>
            <w:tcW w:w="354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表面摩擦力</w:t>
            </w:r>
          </w:p>
        </w:tc>
        <w:tc>
          <w:tcPr>
            <w:tcW w:w="453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5</w:t>
            </w:r>
          </w:p>
        </w:tc>
        <w:tc>
          <w:tcPr>
            <w:tcW w:w="354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固定装置稳定性</w:t>
            </w:r>
          </w:p>
        </w:tc>
        <w:tc>
          <w:tcPr>
            <w:tcW w:w="453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6</w:t>
            </w:r>
          </w:p>
        </w:tc>
        <w:tc>
          <w:tcPr>
            <w:tcW w:w="354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佩戴装置强度</w:t>
            </w:r>
          </w:p>
        </w:tc>
        <w:tc>
          <w:tcPr>
            <w:tcW w:w="453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7</w:t>
            </w:r>
          </w:p>
        </w:tc>
        <w:tc>
          <w:tcPr>
            <w:tcW w:w="354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吸收碰撞能量c</w:t>
            </w:r>
          </w:p>
        </w:tc>
        <w:tc>
          <w:tcPr>
            <w:tcW w:w="453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8</w:t>
            </w:r>
          </w:p>
        </w:tc>
        <w:tc>
          <w:tcPr>
            <w:tcW w:w="354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耐穿透c</w:t>
            </w:r>
          </w:p>
        </w:tc>
        <w:tc>
          <w:tcPr>
            <w:tcW w:w="4536"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注：a 壳体不测5.1.2.2.b），5.1.2.2.d）反光材料只测总面积和左、右、后三个方向可见；</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b 缓冲层只测5.1.3 b）；</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c 环境前处理采用低温。</w:t>
            </w:r>
          </w:p>
        </w:tc>
      </w:tr>
    </w:tbl>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执行企业标准、团体标准、地方标准的产品，检验项目参照上述内容执行。</w:t>
      </w:r>
    </w:p>
    <w:p>
      <w:pPr>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000000"/>
          <w:sz w:val="32"/>
          <w:szCs w:val="32"/>
        </w:rPr>
        <w:t>凡是注日期的文件，其随后所有的修改单（不包括勘误的内容）或修订版不适用于本细则。凡是不注日期的文件，其最新版本适用于本细则。</w:t>
      </w:r>
    </w:p>
    <w:p>
      <w:pPr>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3 判定规则</w:t>
      </w:r>
    </w:p>
    <w:p>
      <w:pPr>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3.1依据标准</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GB 811</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2022 摩托车、电动自行车乘员头盔</w:t>
      </w:r>
    </w:p>
    <w:p>
      <w:pPr>
        <w:bidi w:val="0"/>
        <w:adjustRightInd/>
        <w:snapToGrid/>
        <w:spacing w:line="560" w:lineRule="exact"/>
        <w:ind w:firstLine="596"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现行有效的企业标准、团体标准、地方标准及产品明示质量</w:t>
      </w:r>
      <w:r>
        <w:rPr>
          <w:rFonts w:hint="default" w:ascii="Times New Roman" w:hAnsi="Times New Roman" w:eastAsia="仿宋_GB2312" w:cs="Times New Roman"/>
          <w:color w:val="000000"/>
          <w:sz w:val="32"/>
          <w:szCs w:val="32"/>
        </w:rPr>
        <w:t>要求</w:t>
      </w:r>
    </w:p>
    <w:p>
      <w:pPr>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3.2判定原则</w:t>
      </w:r>
    </w:p>
    <w:p>
      <w:pPr>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经检验，检验项目全部合格，判定为被抽查产品所检项目未发现不合格；检验项目中任一项或一项以上不合格，判定为被抽查产品不合格。</w:t>
      </w:r>
    </w:p>
    <w:p>
      <w:pPr>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若被检产品明示的质量要求高于本细则中检验项目依据的标准要求时，应按被检产品明示的质量要求判定。</w:t>
      </w:r>
    </w:p>
    <w:p>
      <w:pPr>
        <w:bidi w:val="0"/>
        <w:adjustRightInd/>
        <w:snapToGrid/>
        <w:spacing w:line="560" w:lineRule="exact"/>
        <w:ind w:firstLine="636" w:firstLineChars="19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若被检产品明示的质量要求低于本细则中检验项目依据的强制性标准要求时，应按照强制性标准要求判定。</w:t>
      </w:r>
    </w:p>
    <w:p>
      <w:pPr>
        <w:bidi w:val="0"/>
        <w:adjustRightInd/>
        <w:snapToGrid/>
        <w:spacing w:line="560" w:lineRule="exact"/>
        <w:ind w:firstLine="636" w:firstLineChars="19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若被检产品明示的质量要求低于或包含本细则中检验项目依据的推荐性标准要求时，应以被检产品明示的质量要求判定。</w:t>
      </w:r>
    </w:p>
    <w:p>
      <w:pPr>
        <w:bidi w:val="0"/>
        <w:adjustRightInd/>
        <w:snapToGrid/>
        <w:spacing w:line="560" w:lineRule="exact"/>
        <w:ind w:firstLine="636" w:firstLineChars="19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若被检产品明示的质量要求缺少本细则中检验项目依据的强制性标准要求时，应按照强制性标准要求判定。</w:t>
      </w:r>
    </w:p>
    <w:p>
      <w:pPr>
        <w:bidi w:val="0"/>
        <w:adjustRightInd/>
        <w:snapToGrid/>
        <w:spacing w:line="560" w:lineRule="exact"/>
        <w:ind w:firstLine="636" w:firstLineChars="19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若被检产品明示的质量要求缺少本细则中检验项目依据的推荐性标准要求时，该项目不参与判定。</w:t>
      </w:r>
    </w:p>
    <w:p>
      <w:pPr>
        <w:rPr>
          <w:rFonts w:hint="eastAsia"/>
          <w:lang w:val="en-US" w:eastAsia="zh-CN"/>
        </w:rPr>
      </w:pP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036E517F"/>
    <w:rsid w:val="0FFF0347"/>
    <w:rsid w:val="47CB4C9E"/>
    <w:rsid w:val="716713A0"/>
    <w:rsid w:val="7B6FD292"/>
    <w:rsid w:val="7BF771D3"/>
    <w:rsid w:val="7F7B5203"/>
    <w:rsid w:val="A67760FC"/>
    <w:rsid w:val="D27DC2BD"/>
    <w:rsid w:val="EB3F22CA"/>
    <w:rsid w:val="F78F2BA5"/>
    <w:rsid w:val="F7FF8ABB"/>
    <w:rsid w:val="FBE5F1AA"/>
    <w:rsid w:val="FD37B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styleId="3">
    <w:name w:val="Body Text Indent"/>
    <w:qFormat/>
    <w:uiPriority w:val="0"/>
    <w:pPr>
      <w:widowControl w:val="0"/>
      <w:spacing w:line="360" w:lineRule="auto"/>
      <w:ind w:firstLine="480" w:firstLineChars="200"/>
      <w:jc w:val="both"/>
    </w:pPr>
    <w:rPr>
      <w:rFonts w:ascii="宋体" w:hAnsi="宋体" w:eastAsia="宋体" w:cs="Times New Roman"/>
      <w:kern w:val="2"/>
      <w:sz w:val="24"/>
      <w:szCs w:val="20"/>
      <w:lang w:val="en-US" w:eastAsia="zh-CN" w:bidi="ar-SA"/>
    </w:rPr>
  </w:style>
  <w:style w:type="table" w:styleId="5">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9">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10">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2</Pages>
  <Words>0</Words>
  <Characters>0</Characters>
  <Lines>0</Lines>
  <Paragraphs>0</Paragraphs>
  <TotalTime>0</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2024-06-07T01:04:00Z</dcterms:created>
  <dc:creator>胡翌婧</dc:creator>
  <cp:lastModifiedBy>greatwall</cp:lastModifiedBy>
  <dcterms:modified xsi:type="dcterms:W3CDTF">2025-06-16T17:40:07Z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496333231472775217F9ED672DE2C337_43</vt:lpwstr>
  </property>
</Properties>
</file>