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eastAsia="黑体" w:cs="Times New Roman"/>
          <w:bCs/>
          <w:color w:val="auto"/>
          <w:spacing w:val="-6"/>
          <w:sz w:val="32"/>
          <w:szCs w:val="32"/>
          <w:lang w:val="en-US" w:eastAsia="zh-CN"/>
        </w:rPr>
      </w:pPr>
      <w:r>
        <w:rPr>
          <w:rFonts w:hint="default" w:ascii="Times New Roman" w:hAnsi="Times New Roman" w:eastAsia="黑体" w:cs="Times New Roman"/>
          <w:bCs/>
          <w:color w:val="auto"/>
          <w:spacing w:val="-6"/>
          <w:sz w:val="32"/>
          <w:szCs w:val="32"/>
        </w:rPr>
        <w:t>附件</w:t>
      </w:r>
      <w:r>
        <w:rPr>
          <w:rFonts w:hint="eastAsia" w:eastAsia="黑体" w:cs="Times New Roman"/>
          <w:bCs/>
          <w:color w:val="auto"/>
          <w:spacing w:val="-6"/>
          <w:sz w:val="32"/>
          <w:szCs w:val="32"/>
          <w:lang w:val="en-US" w:eastAsia="zh-CN"/>
        </w:rPr>
        <w:t>9</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color w:val="auto"/>
          <w:spacing w:val="-6"/>
          <w:position w:val="1"/>
          <w:sz w:val="32"/>
          <w:szCs w:val="32"/>
        </w:rPr>
      </w:pPr>
    </w:p>
    <w:p>
      <w:pPr>
        <w:pStyle w:val="8"/>
        <w:bidi w:val="0"/>
        <w:rPr>
          <w:rFonts w:hint="eastAsia" w:cs="Times New Roman"/>
        </w:rPr>
      </w:pPr>
      <w:r>
        <w:rPr>
          <w:rFonts w:hint="eastAsia" w:cs="Times New Roman"/>
          <w:lang w:eastAsia="zh-CN"/>
        </w:rPr>
        <w:t>梅州市</w:t>
      </w:r>
      <w:r>
        <w:rPr>
          <w:rFonts w:hint="eastAsia" w:cs="Times New Roman"/>
        </w:rPr>
        <w:t>电磁灶产品质量监督抽查实施细则</w:t>
      </w:r>
    </w:p>
    <w:p>
      <w:pPr>
        <w:bidi w:val="0"/>
        <w:adjustRightInd/>
        <w:snapToGrid/>
        <w:spacing w:line="56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（202</w:t>
      </w:r>
      <w:r>
        <w:rPr>
          <w:rFonts w:hint="eastAsia" w:eastAsia="楷体_GB2312" w:cs="Times New Roman"/>
          <w:sz w:val="32"/>
          <w:szCs w:val="32"/>
          <w:lang w:val="en-US" w:eastAsia="zh-CN"/>
        </w:rPr>
        <w:t>5</w:t>
      </w:r>
      <w:r>
        <w:rPr>
          <w:rFonts w:hint="default" w:ascii="Times New Roman" w:hAnsi="Times New Roman" w:eastAsia="楷体_GB2312" w:cs="Times New Roman"/>
          <w:sz w:val="32"/>
          <w:szCs w:val="32"/>
          <w:lang w:eastAsia="zh-CN"/>
        </w:rPr>
        <w:t>年版）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rPr>
      </w:pPr>
    </w:p>
    <w:p>
      <w:pPr>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1 抽样方法</w:t>
      </w:r>
    </w:p>
    <w:p>
      <w:pPr>
        <w:bidi w:val="0"/>
        <w:adjustRightInd/>
        <w:snapToGrid/>
        <w:spacing w:line="560" w:lineRule="exact"/>
        <w:ind w:firstLine="616"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6"/>
          <w:sz w:val="32"/>
          <w:szCs w:val="32"/>
        </w:rPr>
        <w:t>以随机抽样的方式在被抽样生产者、销售者的待销产品中抽</w:t>
      </w:r>
      <w:r>
        <w:rPr>
          <w:rFonts w:hint="default" w:ascii="Times New Roman" w:hAnsi="Times New Roman" w:eastAsia="仿宋_GB2312" w:cs="Times New Roman"/>
          <w:color w:val="000000"/>
          <w:sz w:val="32"/>
          <w:szCs w:val="32"/>
        </w:rPr>
        <w:t>取。</w:t>
      </w:r>
    </w:p>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随机数一般可使用随机数表等方法产生。</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每批次产品抽取样品3台，其中2台作为检验样品，1台作为备用样品。</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2 检验依据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953"/>
        <w:gridCol w:w="1495"/>
        <w:gridCol w:w="3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97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4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检验项目</w:t>
            </w:r>
          </w:p>
        </w:tc>
        <w:tc>
          <w:tcPr>
            <w:tcW w:w="37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4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对触及带电部件的防护</w:t>
            </w:r>
          </w:p>
        </w:tc>
        <w:tc>
          <w:tcPr>
            <w:tcW w:w="37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4706.29—2008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4706.14—2008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4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输入功率和电流</w:t>
            </w:r>
          </w:p>
        </w:tc>
        <w:tc>
          <w:tcPr>
            <w:tcW w:w="37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4706.29—2008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4706.14—2008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4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发热</w:t>
            </w:r>
          </w:p>
        </w:tc>
        <w:tc>
          <w:tcPr>
            <w:tcW w:w="37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4706.29—2008</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4706.14—2008</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4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工作温度下的泄漏电流和电气强度</w:t>
            </w:r>
          </w:p>
        </w:tc>
        <w:tc>
          <w:tcPr>
            <w:tcW w:w="37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4706.29—2008</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4706.14—2008</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4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耐潮湿</w:t>
            </w:r>
          </w:p>
        </w:tc>
        <w:tc>
          <w:tcPr>
            <w:tcW w:w="37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4706.29—2008</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4706.14—2008</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4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泄漏电流和电气强度</w:t>
            </w:r>
          </w:p>
        </w:tc>
        <w:tc>
          <w:tcPr>
            <w:tcW w:w="37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4706.29—2008</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4706.14—2008</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4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非正常工作（不包括第19.11.4条的试验）</w:t>
            </w:r>
          </w:p>
        </w:tc>
        <w:tc>
          <w:tcPr>
            <w:tcW w:w="37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4706.29—2008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4706.14—2008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4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稳定性和机械危险</w:t>
            </w:r>
          </w:p>
        </w:tc>
        <w:tc>
          <w:tcPr>
            <w:tcW w:w="37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4706.29—2008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4706.14—2008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4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机械强度</w:t>
            </w:r>
          </w:p>
        </w:tc>
        <w:tc>
          <w:tcPr>
            <w:tcW w:w="37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4706.29—2008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4706.14—2008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4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结构（不包括第22.46条的试验）</w:t>
            </w:r>
          </w:p>
        </w:tc>
        <w:tc>
          <w:tcPr>
            <w:tcW w:w="37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4706.29—2008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4706.14—2008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9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w:t>
            </w:r>
          </w:p>
        </w:tc>
        <w:tc>
          <w:tcPr>
            <w:tcW w:w="4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内部布线</w:t>
            </w:r>
          </w:p>
        </w:tc>
        <w:tc>
          <w:tcPr>
            <w:tcW w:w="37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4706.29—2008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4706.14—2008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w:t>
            </w:r>
          </w:p>
        </w:tc>
        <w:tc>
          <w:tcPr>
            <w:tcW w:w="4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电源连接和外部软线</w:t>
            </w:r>
          </w:p>
        </w:tc>
        <w:tc>
          <w:tcPr>
            <w:tcW w:w="37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4706.29—2008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4706.14—2008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9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13</w:t>
            </w:r>
          </w:p>
        </w:tc>
        <w:tc>
          <w:tcPr>
            <w:tcW w:w="4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外部导线用接线端子</w:t>
            </w:r>
          </w:p>
        </w:tc>
        <w:tc>
          <w:tcPr>
            <w:tcW w:w="37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4706.29—2008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4706.14—2008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9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14</w:t>
            </w:r>
          </w:p>
        </w:tc>
        <w:tc>
          <w:tcPr>
            <w:tcW w:w="4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接地措施</w:t>
            </w:r>
          </w:p>
        </w:tc>
        <w:tc>
          <w:tcPr>
            <w:tcW w:w="37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4706.29—2008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4706.14—2008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4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螺钉和连接</w:t>
            </w:r>
          </w:p>
        </w:tc>
        <w:tc>
          <w:tcPr>
            <w:tcW w:w="37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4706.29—2008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4706.14—2008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w:t>
            </w:r>
          </w:p>
        </w:tc>
        <w:tc>
          <w:tcPr>
            <w:tcW w:w="4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电气间隙、爬电距离和固体绝缘</w:t>
            </w:r>
          </w:p>
        </w:tc>
        <w:tc>
          <w:tcPr>
            <w:tcW w:w="37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4706.29—2008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4706.14—2008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17</w:t>
            </w:r>
          </w:p>
        </w:tc>
        <w:tc>
          <w:tcPr>
            <w:tcW w:w="295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能效等级</w:t>
            </w:r>
          </w:p>
        </w:tc>
        <w:tc>
          <w:tcPr>
            <w:tcW w:w="14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热效率</w:t>
            </w:r>
          </w:p>
        </w:tc>
        <w:tc>
          <w:tcPr>
            <w:tcW w:w="37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21456—2014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p>
        </w:tc>
        <w:tc>
          <w:tcPr>
            <w:tcW w:w="29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p>
        </w:tc>
        <w:tc>
          <w:tcPr>
            <w:tcW w:w="149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待机状态功率</w:t>
            </w:r>
          </w:p>
        </w:tc>
        <w:tc>
          <w:tcPr>
            <w:tcW w:w="37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21456—2014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18</w:t>
            </w:r>
          </w:p>
        </w:tc>
        <w:tc>
          <w:tcPr>
            <w:tcW w:w="4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端子骚扰电压（连续骚扰）</w:t>
            </w:r>
          </w:p>
        </w:tc>
        <w:tc>
          <w:tcPr>
            <w:tcW w:w="37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4343.1—2018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19</w:t>
            </w:r>
          </w:p>
        </w:tc>
        <w:tc>
          <w:tcPr>
            <w:tcW w:w="4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骚扰功率、辐射骚扰</w:t>
            </w:r>
          </w:p>
        </w:tc>
        <w:tc>
          <w:tcPr>
            <w:tcW w:w="37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4343.1—2018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w:t>
            </w:r>
          </w:p>
        </w:tc>
        <w:tc>
          <w:tcPr>
            <w:tcW w:w="4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噪声</w:t>
            </w:r>
          </w:p>
        </w:tc>
        <w:tc>
          <w:tcPr>
            <w:tcW w:w="374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23128—2008</w:t>
            </w:r>
          </w:p>
        </w:tc>
      </w:tr>
    </w:tbl>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执行企业标准、团体标准、地方标准的产品，检验项目参照上述内容执行。</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凡是注日期的文件，其随后所有的修改单（不包括勘误的内容）或修订版不适用于本细则。凡是不注日期的文件，其最新版本适用于本细则。</w:t>
      </w:r>
    </w:p>
    <w:p>
      <w:pPr>
        <w:bidi w:val="0"/>
        <w:adjustRightInd/>
        <w:snapToGrid/>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3 判定规则</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3.1依据标准</w:t>
      </w:r>
    </w:p>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GB 4706.1—2005《家用和类似用途电器的安全 第1部分：通用要求》</w:t>
      </w:r>
    </w:p>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GB 4706.29—2008《家用和类似用途电器的安全 便携式电磁灶的特殊要求》</w:t>
      </w:r>
    </w:p>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GB 4706.14—2008《家用和类似用途电器的安全 烤架、面包片烘烤器及类似用途便携式烹饪器具的特殊要求》</w:t>
      </w:r>
    </w:p>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GB 4706.22—2008《家用和类似用途电器的安全  驻立式电灶、灶台、烤箱及类似用途器具的特殊要求》</w:t>
      </w:r>
    </w:p>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GB 21456—2014《家用电磁灶能效限定值及能效等级》</w:t>
      </w:r>
    </w:p>
    <w:p>
      <w:pPr>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GB 4343.1—2018《家用电器、电动工具和类似器具的电磁兼容要求 第1部分：发射》</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GB/T 23128—2008《电磁灶》</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现行有效的企业标准、团体标准、地方标准及产品明示质量要求</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3.2判定原则</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经检验，检验项目全部合格，判定为被抽查产品所检项目未发现不合格；检验项目中任一项或一项以上不合格，判定为被抽查产品不合格。</w:t>
      </w:r>
    </w:p>
    <w:p>
      <w:pPr>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若被检产品明示的质量要求高于本细则中检验项目依据的标准要求时，应按被检产品明示的质量要求判定。</w:t>
      </w:r>
    </w:p>
    <w:p>
      <w:pPr>
        <w:bidi w:val="0"/>
        <w:adjustRightInd/>
        <w:snapToGrid/>
        <w:spacing w:line="560" w:lineRule="exact"/>
        <w:ind w:firstLine="636" w:firstLineChars="19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若被检产品明示的质量要求低于本细则中检验项目依据的强制性标准要求时，应按照强制性标准要求判定。</w:t>
      </w:r>
    </w:p>
    <w:p>
      <w:pPr>
        <w:bidi w:val="0"/>
        <w:adjustRightInd/>
        <w:snapToGrid/>
        <w:spacing w:line="560" w:lineRule="exact"/>
        <w:ind w:firstLine="636" w:firstLineChars="19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若被检产品明示的质量要求低于或包含本细则中检验项目依据的推荐性标准要求时，应以被检产品明示的质量要求判定。</w:t>
      </w:r>
    </w:p>
    <w:p>
      <w:pPr>
        <w:bidi w:val="0"/>
        <w:adjustRightInd/>
        <w:snapToGrid/>
        <w:spacing w:line="560" w:lineRule="exact"/>
        <w:ind w:firstLine="636" w:firstLineChars="19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若被检产品明示的质量要求缺少本细则中检验项目依据的强制性标准要求时，应按照强制性标准要求判定。</w:t>
      </w:r>
    </w:p>
    <w:p>
      <w:pPr>
        <w:bidi w:val="0"/>
        <w:adjustRightInd/>
        <w:snapToGrid/>
        <w:spacing w:line="560" w:lineRule="exact"/>
        <w:ind w:firstLine="636" w:firstLineChars="19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若被检产品明示的质量要求缺少本细则中检验项目依据的推荐性标准要求时，该项目不参与判定。</w:t>
      </w:r>
    </w:p>
    <w:p>
      <w:pPr>
        <w:bidi w:val="0"/>
        <w:adjustRightInd/>
        <w:snapToGrid/>
        <w:spacing w:line="560" w:lineRule="exact"/>
        <w:ind w:firstLine="636" w:firstLineChars="199"/>
        <w:rPr>
          <w:rFonts w:hint="eastAsia" w:ascii="仿宋_GB2312" w:hAnsi="仿宋_GB2312" w:eastAsia="仿宋_GB2312" w:cs="仿宋_GB2312"/>
          <w:sz w:val="32"/>
          <w:szCs w:val="32"/>
        </w:rPr>
      </w:pPr>
    </w:p>
    <w:p>
      <w:pPr>
        <w:rPr>
          <w:rFonts w:hint="eastAsia"/>
          <w:lang w:val="en-US" w:eastAsia="zh-CN"/>
        </w:rPr>
      </w:pPr>
      <w:bookmarkStart w:id="0" w:name="_GoBack"/>
      <w:bookmarkEnd w:id="0"/>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B4C9E"/>
    <w:rsid w:val="036E517F"/>
    <w:rsid w:val="397F6DF3"/>
    <w:rsid w:val="47CB4C9E"/>
    <w:rsid w:val="7B6FD292"/>
    <w:rsid w:val="7BF771D3"/>
    <w:rsid w:val="BB839D80"/>
    <w:rsid w:val="EB3F22CA"/>
    <w:rsid w:val="F78F2BA5"/>
    <w:rsid w:val="F9FA952E"/>
    <w:rsid w:val="FD37B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paragraph" w:styleId="3">
    <w:name w:val="Body Text Indent"/>
    <w:qFormat/>
    <w:uiPriority w:val="0"/>
    <w:pPr>
      <w:widowControl w:val="0"/>
      <w:spacing w:line="360" w:lineRule="auto"/>
      <w:ind w:firstLine="480" w:firstLineChars="200"/>
      <w:jc w:val="both"/>
    </w:pPr>
    <w:rPr>
      <w:rFonts w:ascii="宋体" w:hAnsi="宋体" w:eastAsia="宋体" w:cs="Times New Roman"/>
      <w:kern w:val="2"/>
      <w:sz w:val="24"/>
      <w:szCs w:val="20"/>
      <w:lang w:val="en-US" w:eastAsia="zh-CN" w:bidi="ar-SA"/>
    </w:rPr>
  </w:style>
  <w:style w:type="table" w:styleId="5">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Grid_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9">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paragraph" w:customStyle="1" w:styleId="10">
    <w:name w:val="样式1 标题一级（黑体三号）"/>
    <w:qFormat/>
    <w:uiPriority w:val="0"/>
    <w:pPr>
      <w:widowControl w:val="0"/>
      <w:spacing w:line="560" w:lineRule="exact"/>
      <w:ind w:firstLineChars="200"/>
      <w:jc w:val="both"/>
    </w:pPr>
    <w:rPr>
      <w:rFonts w:hint="eastAsia" w:ascii="黑体" w:hAnsi="黑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4</Pages>
  <Words>0</Words>
  <Characters>0</Characters>
  <Lines>0</Lines>
  <Paragraphs>0</Paragraphs>
  <TotalTime>0</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2024-06-06T17:04:00Z</dcterms:created>
  <dc:creator>胡翌婧</dc:creator>
  <cp:lastModifiedBy>greatwall</cp:lastModifiedBy>
  <dcterms:modified xsi:type="dcterms:W3CDTF">2025-06-16T17:01:38Z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533684ACBE9AA3DE30EEED670E316D0B_43</vt:lpwstr>
  </property>
</Properties>
</file>