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overflowPunct/>
        <w:topLinePunct w:val="0"/>
        <w:bidi w:val="0"/>
        <w:adjustRightInd/>
        <w:snapToGrid/>
        <w:spacing w:line="560" w:lineRule="exact"/>
        <w:rPr>
          <w:rFonts w:hint="eastAsia" w:eastAsia="黑体" w:cs="黑体"/>
          <w:bCs/>
          <w:color w:val="000000"/>
          <w:spacing w:val="-6"/>
          <w:sz w:val="32"/>
          <w:szCs w:val="32"/>
          <w:highlight w:val="none"/>
          <w:lang w:val="en-US" w:eastAsia="zh-CN"/>
        </w:rPr>
      </w:pPr>
      <w:r>
        <w:rPr>
          <w:rFonts w:hint="eastAsia" w:ascii="Times New Roman" w:hAnsi="Times New Roman" w:eastAsia="黑体" w:cs="黑体"/>
          <w:bCs/>
          <w:color w:val="000000"/>
          <w:spacing w:val="-6"/>
          <w:sz w:val="32"/>
          <w:szCs w:val="32"/>
          <w:highlight w:val="none"/>
        </w:rPr>
        <w:t>附件</w:t>
      </w:r>
      <w:r>
        <w:rPr>
          <w:rFonts w:hint="eastAsia" w:eastAsia="黑体" w:cs="黑体"/>
          <w:bCs/>
          <w:color w:val="000000"/>
          <w:spacing w:val="-6"/>
          <w:sz w:val="32"/>
          <w:szCs w:val="32"/>
          <w:highlight w:val="none"/>
          <w:lang w:val="en-US" w:eastAsia="zh-CN"/>
        </w:rPr>
        <w:t>7</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eastAsia="方正小标宋简体" w:cs="Times New Roman"/>
          <w:sz w:val="44"/>
          <w:szCs w:val="44"/>
          <w:highlight w:val="none"/>
          <w:lang w:val="en-US" w:eastAsia="zh-CN"/>
        </w:rPr>
      </w:pPr>
      <w:r>
        <w:rPr>
          <w:rFonts w:hint="eastAsia" w:eastAsia="方正小标宋简体" w:cs="Times New Roman"/>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44"/>
          <w:szCs w:val="44"/>
          <w:highlight w:val="none"/>
        </w:rPr>
      </w:pPr>
      <w:r>
        <w:rPr>
          <w:rFonts w:hint="eastAsia" w:eastAsia="方正小标宋简体" w:cs="Times New Roman"/>
          <w:sz w:val="44"/>
          <w:szCs w:val="44"/>
          <w:highlight w:val="none"/>
          <w:lang w:val="en-US" w:eastAsia="zh-CN"/>
        </w:rPr>
        <w:t>梅州市</w:t>
      </w:r>
      <w:r>
        <w:rPr>
          <w:rFonts w:hint="default" w:ascii="Times New Roman" w:hAnsi="Times New Roman" w:eastAsia="方正小标宋简体" w:cs="Times New Roman"/>
          <w:sz w:val="44"/>
          <w:szCs w:val="44"/>
          <w:highlight w:val="none"/>
        </w:rPr>
        <w:t>独立式感烟火灾探测报警器产品质量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监督抽查实施细则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楷体_GB2312" w:cs="Times New Roman"/>
          <w:sz w:val="32"/>
          <w:szCs w:val="40"/>
          <w:highlight w:val="none"/>
        </w:rPr>
      </w:pPr>
      <w:r>
        <w:rPr>
          <w:rFonts w:hint="default" w:ascii="Times New Roman" w:hAnsi="Times New Roman" w:eastAsia="楷体_GB2312" w:cs="Times New Roman"/>
          <w:sz w:val="32"/>
          <w:szCs w:val="40"/>
          <w:highlight w:val="none"/>
        </w:rPr>
        <w:t>（2025年版）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32"/>
          <w:szCs w:val="40"/>
          <w:highlight w:val="none"/>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lang w:eastAsia="zh-CN"/>
        </w:rPr>
        <w:t>1 抽样方法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每款产品抽取2组样本，第1组用于检验，第2组用于备样。第1组抽取样品4只，第2组抽取样品4只。</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lang w:eastAsia="zh-CN"/>
        </w:rPr>
        <w:t>2 检验依据</w:t>
      </w:r>
    </w:p>
    <w:tbl>
      <w:tblPr>
        <w:tblStyle w:val="5"/>
        <w:tblW w:w="8758"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3795"/>
        <w:gridCol w:w="40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20" w:type="dxa"/>
            <w:noWrap w:val="0"/>
            <w:vAlign w:val="center"/>
          </w:tcPr>
          <w:p>
            <w:pPr>
              <w:keepNext w:val="0"/>
              <w:keepLines w:val="0"/>
              <w:pageBreakBefore w:val="0"/>
              <w:kinsoku/>
              <w:wordWrap/>
              <w:overflowPunct/>
              <w:topLinePunct w:val="0"/>
              <w:bidi w:val="0"/>
              <w:adjustRightInd/>
              <w:snapToGrid/>
              <w:spacing w:line="560" w:lineRule="exact"/>
              <w:jc w:val="center"/>
              <w:textAlignment w:val="auto"/>
              <w:rPr>
                <w:rFonts w:ascii="Times New Roman" w:hAnsi="Times New Roman" w:eastAsia="仿宋_GB2312" w:cs="Times New Roman"/>
                <w:b/>
                <w:bCs/>
                <w:color w:val="000000"/>
                <w:sz w:val="28"/>
                <w:szCs w:val="28"/>
                <w:highlight w:val="none"/>
              </w:rPr>
            </w:pPr>
            <w:r>
              <w:rPr>
                <w:rFonts w:ascii="Times New Roman" w:hAnsi="Times New Roman" w:eastAsia="仿宋_GB2312" w:cs="Times New Roman"/>
                <w:b/>
                <w:bCs/>
                <w:color w:val="000000"/>
                <w:sz w:val="28"/>
                <w:szCs w:val="28"/>
                <w:highlight w:val="none"/>
              </w:rPr>
              <w:t>序号</w:t>
            </w:r>
          </w:p>
        </w:tc>
        <w:tc>
          <w:tcPr>
            <w:tcW w:w="3795" w:type="dxa"/>
            <w:noWrap w:val="0"/>
            <w:vAlign w:val="center"/>
          </w:tcPr>
          <w:p>
            <w:pPr>
              <w:keepNext w:val="0"/>
              <w:keepLines w:val="0"/>
              <w:pageBreakBefore w:val="0"/>
              <w:kinsoku/>
              <w:wordWrap/>
              <w:overflowPunct/>
              <w:topLinePunct w:val="0"/>
              <w:bidi w:val="0"/>
              <w:adjustRightInd/>
              <w:snapToGrid/>
              <w:spacing w:line="560" w:lineRule="exact"/>
              <w:jc w:val="center"/>
              <w:textAlignment w:val="auto"/>
              <w:rPr>
                <w:rFonts w:ascii="Times New Roman" w:hAnsi="Times New Roman" w:eastAsia="仿宋_GB2312" w:cs="Times New Roman"/>
                <w:b/>
                <w:bCs/>
                <w:color w:val="000000"/>
                <w:sz w:val="28"/>
                <w:szCs w:val="28"/>
                <w:highlight w:val="none"/>
              </w:rPr>
            </w:pPr>
            <w:r>
              <w:rPr>
                <w:rFonts w:ascii="Times New Roman" w:hAnsi="Times New Roman" w:eastAsia="仿宋_GB2312" w:cs="Times New Roman"/>
                <w:b/>
                <w:bCs/>
                <w:color w:val="000000"/>
                <w:sz w:val="28"/>
                <w:szCs w:val="28"/>
                <w:highlight w:val="none"/>
              </w:rPr>
              <w:t>检验项目</w:t>
            </w:r>
          </w:p>
        </w:tc>
        <w:tc>
          <w:tcPr>
            <w:tcW w:w="4043" w:type="dxa"/>
            <w:noWrap w:val="0"/>
            <w:vAlign w:val="center"/>
          </w:tcPr>
          <w:p>
            <w:pPr>
              <w:keepNext w:val="0"/>
              <w:keepLines w:val="0"/>
              <w:pageBreakBefore w:val="0"/>
              <w:kinsoku/>
              <w:wordWrap/>
              <w:overflowPunct/>
              <w:topLinePunct w:val="0"/>
              <w:bidi w:val="0"/>
              <w:adjustRightInd/>
              <w:snapToGrid/>
              <w:spacing w:line="560" w:lineRule="exact"/>
              <w:jc w:val="center"/>
              <w:textAlignment w:val="auto"/>
              <w:rPr>
                <w:rFonts w:ascii="Times New Roman" w:hAnsi="Times New Roman" w:eastAsia="仿宋_GB2312" w:cs="Times New Roman"/>
                <w:b/>
                <w:bCs/>
                <w:color w:val="000000"/>
                <w:sz w:val="28"/>
                <w:szCs w:val="28"/>
                <w:highlight w:val="none"/>
              </w:rPr>
            </w:pPr>
            <w:r>
              <w:rPr>
                <w:rFonts w:ascii="Times New Roman" w:hAnsi="Times New Roman" w:eastAsia="仿宋_GB2312" w:cs="Times New Roman"/>
                <w:b/>
                <w:bCs/>
                <w:color w:val="000000"/>
                <w:sz w:val="28"/>
                <w:szCs w:val="28"/>
                <w:highlight w:val="none"/>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20"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w:t>
            </w:r>
          </w:p>
        </w:tc>
        <w:tc>
          <w:tcPr>
            <w:tcW w:w="3795"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声压试验</w:t>
            </w:r>
          </w:p>
        </w:tc>
        <w:tc>
          <w:tcPr>
            <w:tcW w:w="4043"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 20517-2006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20"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w:t>
            </w:r>
          </w:p>
        </w:tc>
        <w:tc>
          <w:tcPr>
            <w:tcW w:w="3795"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重复性试验</w:t>
            </w:r>
          </w:p>
        </w:tc>
        <w:tc>
          <w:tcPr>
            <w:tcW w:w="4043"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 20517-2006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20"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w:t>
            </w:r>
          </w:p>
        </w:tc>
        <w:tc>
          <w:tcPr>
            <w:tcW w:w="3795"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方位试验</w:t>
            </w:r>
          </w:p>
        </w:tc>
        <w:tc>
          <w:tcPr>
            <w:tcW w:w="4043"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 20517-2006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20"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4</w:t>
            </w:r>
          </w:p>
        </w:tc>
        <w:tc>
          <w:tcPr>
            <w:tcW w:w="3795"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气流试验</w:t>
            </w:r>
          </w:p>
        </w:tc>
        <w:tc>
          <w:tcPr>
            <w:tcW w:w="4043"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 20517-2006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0"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5</w:t>
            </w:r>
          </w:p>
        </w:tc>
        <w:tc>
          <w:tcPr>
            <w:tcW w:w="3795"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低温试验</w:t>
            </w:r>
          </w:p>
        </w:tc>
        <w:tc>
          <w:tcPr>
            <w:tcW w:w="4043" w:type="dxa"/>
            <w:noWrap w:val="0"/>
            <w:vAlign w:val="top"/>
          </w:tcPr>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 20517-2006</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lang w:eastAsia="zh-CN"/>
        </w:rPr>
        <w:t>3 判定规则</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highlight w:val="none"/>
          <w:lang w:eastAsia="zh-CN"/>
        </w:rPr>
      </w:pPr>
      <w:r>
        <w:rPr>
          <w:rFonts w:hint="default" w:ascii="Times New Roman" w:hAnsi="Times New Roman" w:eastAsia="楷体_GB2312" w:cs="Times New Roman"/>
          <w:color w:val="000000"/>
          <w:sz w:val="32"/>
          <w:szCs w:val="32"/>
          <w:highlight w:val="none"/>
          <w:lang w:eastAsia="zh-CN"/>
        </w:rPr>
        <w:t>3.1</w:t>
      </w:r>
      <w:r>
        <w:rPr>
          <w:rFonts w:hint="default" w:ascii="Times New Roman" w:hAnsi="Times New Roman" w:eastAsia="楷体_GB2312" w:cs="Times New Roman"/>
          <w:color w:val="000000"/>
          <w:sz w:val="32"/>
          <w:szCs w:val="32"/>
          <w:highlight w:val="none"/>
          <w:lang w:val="en-US" w:eastAsia="zh-CN"/>
        </w:rPr>
        <w:t xml:space="preserve"> </w:t>
      </w:r>
      <w:r>
        <w:rPr>
          <w:rFonts w:hint="default" w:ascii="Times New Roman" w:hAnsi="Times New Roman" w:eastAsia="楷体_GB2312" w:cs="Times New Roman"/>
          <w:color w:val="000000"/>
          <w:sz w:val="32"/>
          <w:szCs w:val="32"/>
          <w:highlight w:val="none"/>
          <w:lang w:eastAsia="zh-CN"/>
        </w:rPr>
        <w:t>依据标准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GB 20517-2006《独立式感烟火灾探测报警器》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现行有效的企业标准、团体标准、地方标准及产品明示质量要求。</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highlight w:val="none"/>
          <w:lang w:eastAsia="zh-CN"/>
        </w:rPr>
      </w:pPr>
      <w:r>
        <w:rPr>
          <w:rFonts w:hint="default" w:ascii="Times New Roman" w:hAnsi="Times New Roman" w:eastAsia="楷体_GB2312" w:cs="Times New Roman"/>
          <w:color w:val="000000"/>
          <w:sz w:val="32"/>
          <w:szCs w:val="32"/>
          <w:highlight w:val="none"/>
          <w:lang w:eastAsia="zh-CN"/>
        </w:rPr>
        <w:t>3.2</w:t>
      </w:r>
      <w:r>
        <w:rPr>
          <w:rFonts w:hint="default" w:ascii="Times New Roman" w:hAnsi="Times New Roman" w:eastAsia="楷体_GB2312" w:cs="Times New Roman"/>
          <w:color w:val="000000"/>
          <w:sz w:val="32"/>
          <w:szCs w:val="32"/>
          <w:highlight w:val="none"/>
          <w:lang w:val="en-US" w:eastAsia="zh-CN"/>
        </w:rPr>
        <w:t xml:space="preserve"> </w:t>
      </w:r>
      <w:r>
        <w:rPr>
          <w:rFonts w:hint="default" w:ascii="Times New Roman" w:hAnsi="Times New Roman" w:eastAsia="楷体_GB2312" w:cs="Times New Roman"/>
          <w:color w:val="000000"/>
          <w:sz w:val="32"/>
          <w:szCs w:val="32"/>
          <w:highlight w:val="none"/>
          <w:lang w:eastAsia="zh-CN"/>
        </w:rPr>
        <w:t>判定原则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40"/>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color w:val="auto"/>
          <w:spacing w:val="-6"/>
          <w:position w:val="1"/>
          <w:sz w:val="32"/>
          <w:szCs w:val="32"/>
        </w:rPr>
      </w:pPr>
    </w:p>
    <w:p>
      <w:pPr>
        <w:rPr>
          <w:rFonts w:hint="eastAsia"/>
          <w:lang w:val="en-US" w:eastAsia="zh-CN"/>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036E517F"/>
    <w:rsid w:val="47CB4C9E"/>
    <w:rsid w:val="731F8E15"/>
    <w:rsid w:val="7B6FD292"/>
    <w:rsid w:val="7BF771D3"/>
    <w:rsid w:val="7FFE04FC"/>
    <w:rsid w:val="B9F9C9A7"/>
    <w:rsid w:val="D7DB18A0"/>
    <w:rsid w:val="EB3F22CA"/>
    <w:rsid w:val="F539B5DF"/>
    <w:rsid w:val="F78F2BA5"/>
    <w:rsid w:val="FD37B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4">
    <w:name w:val="toc 2"/>
    <w:basedOn w:val="1"/>
    <w:next w:val="1"/>
    <w:unhideWhenUsed/>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table" w:styleId="6">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10">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1">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2</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2024-06-06T17:04:00Z</dcterms:created>
  <dc:creator>胡翌婧</dc:creator>
  <cp:lastModifiedBy>greatwall</cp:lastModifiedBy>
  <dcterms:modified xsi:type="dcterms:W3CDTF">2025-06-16T15:37:20Z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351D84F59E4631766EF7ED67D4BCAF07_43</vt:lpwstr>
  </property>
</Properties>
</file>