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topLinePunct w:val="0"/>
        <w:bidi w:val="0"/>
        <w:adjustRightInd/>
        <w:snapToGrid/>
        <w:spacing w:line="560" w:lineRule="exact"/>
        <w:rPr>
          <w:rFonts w:hint="eastAsia" w:eastAsia="黑体" w:cs="黑体"/>
          <w:bCs/>
          <w:color w:val="000000"/>
          <w:spacing w:val="-6"/>
          <w:sz w:val="32"/>
          <w:szCs w:val="32"/>
          <w:highlight w:val="none"/>
          <w:lang w:val="en-US" w:eastAsia="zh-CN"/>
        </w:rPr>
      </w:pPr>
      <w:r>
        <w:rPr>
          <w:rFonts w:hint="eastAsia" w:ascii="Times New Roman" w:hAnsi="Times New Roman" w:eastAsia="黑体" w:cs="黑体"/>
          <w:bCs/>
          <w:color w:val="000000"/>
          <w:spacing w:val="-6"/>
          <w:sz w:val="32"/>
          <w:szCs w:val="32"/>
          <w:highlight w:val="none"/>
        </w:rPr>
        <w:t>附件</w:t>
      </w:r>
      <w:r>
        <w:rPr>
          <w:rFonts w:hint="eastAsia" w:eastAsia="黑体" w:cs="黑体"/>
          <w:bCs/>
          <w:color w:val="000000"/>
          <w:spacing w:val="-6"/>
          <w:sz w:val="32"/>
          <w:szCs w:val="32"/>
          <w:highlight w:val="none"/>
          <w:lang w:val="en-US" w:eastAsia="zh-CN"/>
        </w:rPr>
        <w:t>4</w:t>
      </w:r>
    </w:p>
    <w:p>
      <w:pPr>
        <w:pageBreakBefore w:val="0"/>
        <w:overflowPunct/>
        <w:topLinePunct w:val="0"/>
        <w:bidi w:val="0"/>
        <w:adjustRightInd/>
        <w:snapToGrid/>
        <w:spacing w:line="560" w:lineRule="exact"/>
        <w:rPr>
          <w:rFonts w:hint="eastAsia" w:eastAsia="黑体" w:cs="黑体"/>
          <w:bCs/>
          <w:color w:val="000000"/>
          <w:spacing w:val="-6"/>
          <w:sz w:val="32"/>
          <w:szCs w:val="32"/>
          <w:highlight w:val="none"/>
          <w:lang w:val="en-US" w:eastAsia="zh-CN"/>
        </w:rPr>
      </w:pPr>
    </w:p>
    <w:p>
      <w:pPr>
        <w:pageBreakBefore w:val="0"/>
        <w:overflowPunct/>
        <w:topLinePunct w:val="0"/>
        <w:bidi w:val="0"/>
        <w:adjustRightInd/>
        <w:snapToGrid/>
        <w:spacing w:line="560" w:lineRule="exact"/>
        <w:jc w:val="center"/>
        <w:rPr>
          <w:rFonts w:ascii="Times New Roman" w:hAnsi="Times New Roman" w:eastAsia="方正小标宋简体"/>
          <w:color w:val="000000"/>
          <w:sz w:val="44"/>
          <w:szCs w:val="44"/>
          <w:highlight w:val="none"/>
        </w:rPr>
      </w:pPr>
      <w:r>
        <w:rPr>
          <w:rFonts w:hint="eastAsia" w:eastAsia="方正小标宋简体" w:cs="方正小标宋简体"/>
          <w:color w:val="000000"/>
          <w:sz w:val="44"/>
          <w:szCs w:val="44"/>
          <w:highlight w:val="none"/>
          <w:lang w:eastAsia="zh-CN"/>
        </w:rPr>
        <w:t>梅州市</w:t>
      </w:r>
      <w:bookmarkStart w:id="0" w:name="_GoBack"/>
      <w:bookmarkEnd w:id="0"/>
      <w:r>
        <w:rPr>
          <w:rFonts w:hint="eastAsia" w:ascii="Times New Roman" w:hAnsi="Times New Roman" w:eastAsia="方正小标宋简体" w:cs="方正小标宋简体"/>
          <w:color w:val="000000"/>
          <w:sz w:val="44"/>
          <w:szCs w:val="44"/>
          <w:highlight w:val="none"/>
        </w:rPr>
        <w:t>燃气用具产品质量监督抽查实施细则</w:t>
      </w:r>
    </w:p>
    <w:p>
      <w:pPr>
        <w:pageBreakBefore w:val="0"/>
        <w:overflowPunct/>
        <w:topLinePunct w:val="0"/>
        <w:bidi w:val="0"/>
        <w:adjustRightInd/>
        <w:snapToGrid/>
        <w:spacing w:line="560" w:lineRule="exact"/>
        <w:jc w:val="center"/>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w:t>
      </w:r>
      <w:r>
        <w:rPr>
          <w:rFonts w:ascii="Times New Roman" w:hAnsi="Times New Roman" w:eastAsia="楷体_GB2312" w:cs="楷体_GB2312"/>
          <w:color w:val="000000"/>
          <w:sz w:val="32"/>
          <w:szCs w:val="40"/>
          <w:highlight w:val="none"/>
        </w:rPr>
        <w:t>202</w:t>
      </w:r>
      <w:r>
        <w:rPr>
          <w:rFonts w:hint="eastAsia" w:ascii="Times New Roman" w:hAnsi="Times New Roman" w:eastAsia="楷体_GB2312" w:cs="楷体_GB2312"/>
          <w:color w:val="000000"/>
          <w:sz w:val="32"/>
          <w:szCs w:val="40"/>
          <w:highlight w:val="none"/>
        </w:rPr>
        <w:t>5年版）</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Cs w:val="32"/>
          <w:highlight w:val="none"/>
        </w:rPr>
      </w:pPr>
    </w:p>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ascii="Times New Roman" w:hAnsi="Times New Roman" w:eastAsia="黑体" w:cs="黑体"/>
          <w:color w:val="000000"/>
          <w:sz w:val="32"/>
          <w:szCs w:val="40"/>
          <w:highlight w:val="none"/>
        </w:rPr>
        <w:t xml:space="preserve">1 </w:t>
      </w:r>
      <w:r>
        <w:rPr>
          <w:rFonts w:hint="eastAsia" w:ascii="Times New Roman" w:hAnsi="Times New Roman" w:eastAsia="黑体" w:cs="黑体"/>
          <w:color w:val="000000"/>
          <w:sz w:val="32"/>
          <w:szCs w:val="40"/>
          <w:highlight w:val="none"/>
        </w:rPr>
        <w:t>抽样方法</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每批次产品抽取2组样本，第1组用于检验，第2组用于备样。</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具体抽样数量和方法如下：</w:t>
      </w:r>
    </w:p>
    <w:tbl>
      <w:tblPr>
        <w:tblStyle w:val="4"/>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303"/>
        <w:gridCol w:w="2367"/>
        <w:gridCol w:w="2259"/>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367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产品名称</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第1组数量</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36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家用燃气快速热水器</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1台</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36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家用燃气灶</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1台</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36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燃气采暖热水炉</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1台</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36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商用燃气灶</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1台</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36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家用瓶装液化石油气调压器</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3只</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13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softHyphen/>
            </w:r>
            <w:r>
              <w:rPr>
                <w:rFonts w:hint="eastAsia" w:ascii="Times New Roman" w:hAnsi="Times New Roman" w:eastAsia="仿宋_GB2312" w:cs="仿宋_GB2312"/>
                <w:color w:val="000000"/>
                <w:sz w:val="28"/>
                <w:szCs w:val="28"/>
                <w:highlight w:val="none"/>
              </w:rPr>
              <w:t>燃气用具连接用软管</w:t>
            </w: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燃气用不锈钢波纹软管</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3根</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w:t>
            </w:r>
          </w:p>
        </w:tc>
        <w:tc>
          <w:tcPr>
            <w:tcW w:w="130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燃气用金属包覆软管</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3根</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36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电磁式燃气紧急切断阀</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ascii="Times New Roman" w:hAnsi="Times New Roman" w:eastAsia="仿宋_GB2312" w:cs="仿宋_GB2312"/>
                <w:color w:val="000000"/>
                <w:sz w:val="28"/>
                <w:szCs w:val="28"/>
                <w:highlight w:val="none"/>
              </w:rPr>
              <w:t>1</w:t>
            </w:r>
            <w:r>
              <w:rPr>
                <w:rFonts w:hint="eastAsia" w:ascii="Times New Roman" w:hAnsi="Times New Roman" w:eastAsia="仿宋_GB2312" w:cs="仿宋_GB2312"/>
                <w:color w:val="000000"/>
                <w:sz w:val="28"/>
                <w:szCs w:val="28"/>
                <w:highlight w:val="none"/>
              </w:rPr>
              <w:t>只</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imes New Roman" w:hAnsi="Times New Roman" w:eastAsia="仿宋_GB2312" w:cs="仿宋_GB2312"/>
                <w:color w:val="000000"/>
                <w:sz w:val="28"/>
                <w:szCs w:val="28"/>
                <w:highlight w:val="none"/>
              </w:rPr>
            </w:pPr>
            <w:r>
              <w:rPr>
                <w:rFonts w:ascii="Times New Roman" w:hAnsi="Times New Roman" w:eastAsia="仿宋_GB2312" w:cs="仿宋_GB2312"/>
                <w:color w:val="000000"/>
                <w:sz w:val="28"/>
                <w:szCs w:val="28"/>
                <w:highlight w:val="none"/>
              </w:rPr>
              <w:t>1</w:t>
            </w:r>
            <w:r>
              <w:rPr>
                <w:rFonts w:hint="eastAsia" w:ascii="Times New Roman" w:hAnsi="Times New Roman" w:eastAsia="仿宋_GB2312" w:cs="仿宋_GB2312"/>
                <w:color w:val="000000"/>
                <w:sz w:val="28"/>
                <w:szCs w:val="28"/>
                <w:highlight w:val="none"/>
              </w:rPr>
              <w:t>只</w:t>
            </w:r>
          </w:p>
        </w:tc>
      </w:tr>
    </w:tbl>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ascii="Times New Roman" w:hAnsi="Times New Roman" w:eastAsia="黑体" w:cs="黑体"/>
          <w:color w:val="000000"/>
          <w:sz w:val="32"/>
          <w:szCs w:val="40"/>
          <w:highlight w:val="none"/>
        </w:rPr>
        <w:t xml:space="preserve">2 </w:t>
      </w:r>
      <w:r>
        <w:rPr>
          <w:rFonts w:hint="eastAsia" w:ascii="Times New Roman" w:hAnsi="Times New Roman" w:eastAsia="黑体" w:cs="黑体"/>
          <w:color w:val="000000"/>
          <w:sz w:val="32"/>
          <w:szCs w:val="40"/>
          <w:highlight w:val="none"/>
        </w:rPr>
        <w:t>检验依据</w:t>
      </w:r>
    </w:p>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表1 家用燃气快速热水器</w:t>
      </w:r>
    </w:p>
    <w:tbl>
      <w:tblPr>
        <w:tblStyle w:val="4"/>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0"/>
        <w:gridCol w:w="4555"/>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594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594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燃气系统气密性</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139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燃烧工况—无风状态</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火焰稳定性</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139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燃烧噪声</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139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熄火噪声</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139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烟气中CO含量</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139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安全装置</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熄火保护装置</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ascii="Times New Roman" w:hAnsi="Times New Roman" w:eastAsia="仿宋_GB2312" w:cs="仿宋_GB2312"/>
                <w:color w:val="000000"/>
                <w:sz w:val="28"/>
                <w:szCs w:val="28"/>
                <w:highlight w:val="none"/>
              </w:rPr>
              <w:t>7</w:t>
            </w:r>
          </w:p>
        </w:tc>
        <w:tc>
          <w:tcPr>
            <w:tcW w:w="139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烟道堵塞安全装置（强制排气式）</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ascii="Times New Roman" w:hAnsi="Times New Roman" w:eastAsia="仿宋_GB2312" w:cs="仿宋_GB2312"/>
                <w:color w:val="000000"/>
                <w:sz w:val="28"/>
                <w:szCs w:val="28"/>
                <w:highlight w:val="none"/>
              </w:rPr>
              <w:t>8</w:t>
            </w:r>
          </w:p>
        </w:tc>
        <w:tc>
          <w:tcPr>
            <w:tcW w:w="139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风压过大安全装置（强制排气式）</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ascii="Times New Roman" w:hAnsi="Times New Roman" w:eastAsia="仿宋_GB2312" w:cs="仿宋_GB2312"/>
                <w:color w:val="000000"/>
                <w:sz w:val="28"/>
                <w:szCs w:val="28"/>
                <w:highlight w:val="none"/>
              </w:rPr>
              <w:t>9</w:t>
            </w:r>
          </w:p>
        </w:tc>
        <w:tc>
          <w:tcPr>
            <w:tcW w:w="139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防干烧安全装置</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ascii="Times New Roman" w:hAnsi="Times New Roman" w:eastAsia="仿宋_GB2312" w:cs="仿宋_GB2312"/>
                <w:color w:val="000000"/>
                <w:sz w:val="28"/>
                <w:szCs w:val="28"/>
                <w:highlight w:val="none"/>
              </w:rPr>
              <w:t>10</w:t>
            </w:r>
          </w:p>
        </w:tc>
        <w:tc>
          <w:tcPr>
            <w:tcW w:w="139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防止不完全燃烧安全装置（自然排气式）</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ascii="Times New Roman" w:hAnsi="Times New Roman" w:eastAsia="仿宋_GB2312" w:cs="仿宋_GB2312"/>
                <w:color w:val="000000"/>
                <w:sz w:val="28"/>
                <w:szCs w:val="28"/>
                <w:highlight w:val="none"/>
              </w:rPr>
              <w:t>11</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热水性能</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热水产率</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ascii="Times New Roman" w:hAnsi="Times New Roman" w:eastAsia="仿宋_GB2312" w:cs="仿宋_GB2312"/>
                <w:color w:val="000000"/>
                <w:sz w:val="28"/>
                <w:szCs w:val="28"/>
                <w:highlight w:val="none"/>
              </w:rPr>
              <w:t>12</w:t>
            </w:r>
          </w:p>
        </w:tc>
        <w:tc>
          <w:tcPr>
            <w:tcW w:w="594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热效率</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20665—2015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ascii="Times New Roman" w:hAnsi="Times New Roman" w:eastAsia="仿宋_GB2312" w:cs="仿宋_GB2312"/>
                <w:color w:val="000000"/>
                <w:sz w:val="28"/>
                <w:szCs w:val="28"/>
                <w:highlight w:val="none"/>
              </w:rPr>
              <w:t>13</w:t>
            </w:r>
          </w:p>
        </w:tc>
        <w:tc>
          <w:tcPr>
            <w:tcW w:w="139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电气部分（使用交流电源）—电气安全</w:t>
            </w: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接地措施</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ascii="Times New Roman" w:hAnsi="Times New Roman" w:eastAsia="仿宋_GB2312" w:cs="仿宋_GB2312"/>
                <w:color w:val="000000"/>
                <w:sz w:val="28"/>
                <w:szCs w:val="28"/>
                <w:highlight w:val="none"/>
              </w:rPr>
              <w:t>14</w:t>
            </w:r>
          </w:p>
        </w:tc>
        <w:tc>
          <w:tcPr>
            <w:tcW w:w="139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5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电气强度</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72"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left"/>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注：除第3、4项外，其他检验项目针对标准中强制性条文要求。</w:t>
            </w:r>
          </w:p>
        </w:tc>
      </w:tr>
    </w:tbl>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表2 家用燃气灶</w:t>
      </w:r>
    </w:p>
    <w:tbl>
      <w:tblPr>
        <w:tblStyle w:val="4"/>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445"/>
        <w:gridCol w:w="4505"/>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595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595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气密性</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595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热负荷</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燃烧工况</w:t>
            </w:r>
          </w:p>
        </w:tc>
        <w:tc>
          <w:tcPr>
            <w:tcW w:w="450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离焰</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0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熄火</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0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回火</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0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燃烧噪声</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0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熄火噪声</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0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干烟气中CO浓度（室内型）</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9</w:t>
            </w:r>
          </w:p>
        </w:tc>
        <w:tc>
          <w:tcPr>
            <w:tcW w:w="595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温升</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w:t>
            </w:r>
          </w:p>
        </w:tc>
        <w:tc>
          <w:tcPr>
            <w:tcW w:w="595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熄火保护装置</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11</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结构的一般要求</w:t>
            </w:r>
          </w:p>
        </w:tc>
        <w:tc>
          <w:tcPr>
            <w:tcW w:w="450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燃气导管</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12</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450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燃烧器的熄火保护装置</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13</w:t>
            </w:r>
          </w:p>
        </w:tc>
        <w:tc>
          <w:tcPr>
            <w:tcW w:w="595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热效率</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30720—2014</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14</w:t>
            </w:r>
          </w:p>
        </w:tc>
        <w:tc>
          <w:tcPr>
            <w:tcW w:w="595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耐热冲击</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15</w:t>
            </w:r>
          </w:p>
        </w:tc>
        <w:tc>
          <w:tcPr>
            <w:tcW w:w="595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耐重力冲击</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916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left"/>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注：1. “温升”的检验项目为GB 16410—2020中表3序号1；</w:t>
            </w:r>
          </w:p>
          <w:p>
            <w:pPr>
              <w:pageBreakBefore w:val="0"/>
              <w:overflowPunct/>
              <w:topLinePunct w:val="0"/>
              <w:bidi w:val="0"/>
              <w:adjustRightInd/>
              <w:snapToGrid/>
              <w:spacing w:line="560" w:lineRule="exact"/>
              <w:ind w:firstLine="560" w:firstLineChars="200"/>
              <w:jc w:val="left"/>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 “熄火保护装置”的检验项目为GB 16410—2020中5.2.8.1 b）。</w:t>
            </w:r>
          </w:p>
        </w:tc>
      </w:tr>
    </w:tbl>
    <w:p>
      <w:pPr>
        <w:pageBreakBefore w:val="0"/>
        <w:overflowPunct/>
        <w:topLinePunct w:val="0"/>
        <w:bidi w:val="0"/>
        <w:adjustRightInd/>
        <w:snapToGrid/>
        <w:spacing w:line="560" w:lineRule="exact"/>
        <w:ind w:firstLine="640" w:firstLineChars="200"/>
        <w:jc w:val="center"/>
        <w:rPr>
          <w:rFonts w:hint="eastAsia" w:ascii="Times New Roman" w:hAnsi="Times New Roman" w:eastAsia="仿宋_GB2312" w:cs="仿宋_GB2312"/>
          <w:color w:val="000000"/>
          <w:sz w:val="32"/>
          <w:szCs w:val="40"/>
          <w:highlight w:val="none"/>
        </w:rPr>
      </w:pPr>
    </w:p>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表3 燃气采暖热水炉</w:t>
      </w:r>
    </w:p>
    <w:tbl>
      <w:tblPr>
        <w:tblStyle w:val="4"/>
        <w:tblW w:w="913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60"/>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1</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电源运行安全性</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2</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燃气系统密封性</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3</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采暖额定热输出或带有额定热负荷调节装置的最大热输出</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4</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采暖额定冷凝热输出或带有额定热负荷调节装置的最大冷凝热输出</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5</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热效率</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20665—2015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6</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额定热负荷时CO含量</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7</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采暖系统水温限制装置/功能</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8</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生活热水水温限温装置/功能</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9</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噪声</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10</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接地措施</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25034—2020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lang w:val="en-US" w:eastAsia="zh-CN"/>
              </w:rPr>
              <w:t>11</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工作温度下的泄漏电流和电气强度</w:t>
            </w:r>
          </w:p>
        </w:tc>
        <w:tc>
          <w:tcPr>
            <w:tcW w:w="233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25034—2020</w:t>
            </w:r>
          </w:p>
        </w:tc>
      </w:tr>
    </w:tbl>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表4 商用燃气灶</w:t>
      </w:r>
    </w:p>
    <w:tbl>
      <w:tblPr>
        <w:tblStyle w:val="4"/>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18"/>
        <w:gridCol w:w="387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0"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6093" w:type="dxa"/>
            <w:gridSpan w:val="2"/>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2400"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2218"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通用结构</w:t>
            </w:r>
          </w:p>
        </w:tc>
        <w:tc>
          <w:tcPr>
            <w:tcW w:w="387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一般要求</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2218"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87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电气系统</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2218"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燃气系统零部件</w:t>
            </w:r>
          </w:p>
        </w:tc>
        <w:tc>
          <w:tcPr>
            <w:tcW w:w="387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一般要求</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6093"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燃气系统密封性</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6093"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热负荷准确度</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2218"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燃烧工况</w:t>
            </w:r>
          </w:p>
        </w:tc>
        <w:tc>
          <w:tcPr>
            <w:tcW w:w="387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运行噪声</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w:t>
            </w:r>
          </w:p>
        </w:tc>
        <w:tc>
          <w:tcPr>
            <w:tcW w:w="2218"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87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熄火噪声</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2218"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87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干烟气中CO</w:t>
            </w:r>
            <w:r>
              <w:rPr>
                <w:rFonts w:hint="eastAsia" w:ascii="Times New Roman" w:hAnsi="Times New Roman" w:eastAsia="仿宋_GB2312" w:cs="仿宋_GB2312"/>
                <w:color w:val="000000"/>
                <w:sz w:val="28"/>
                <w:szCs w:val="28"/>
                <w:highlight w:val="none"/>
                <w:vertAlign w:val="subscript"/>
              </w:rPr>
              <w:t>（α=1）</w:t>
            </w:r>
            <w:r>
              <w:rPr>
                <w:rFonts w:hint="eastAsia" w:ascii="Times New Roman" w:hAnsi="Times New Roman" w:eastAsia="仿宋_GB2312" w:cs="仿宋_GB2312"/>
                <w:color w:val="000000"/>
                <w:sz w:val="28"/>
                <w:szCs w:val="28"/>
                <w:highlight w:val="none"/>
              </w:rPr>
              <w:t>含量</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9</w:t>
            </w:r>
          </w:p>
        </w:tc>
        <w:tc>
          <w:tcPr>
            <w:tcW w:w="6093"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熄火保护装置</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w:t>
            </w:r>
          </w:p>
        </w:tc>
        <w:tc>
          <w:tcPr>
            <w:tcW w:w="6093"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能源合理利用</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11</w:t>
            </w:r>
          </w:p>
        </w:tc>
        <w:tc>
          <w:tcPr>
            <w:tcW w:w="2218"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电气性能</w:t>
            </w:r>
          </w:p>
        </w:tc>
        <w:tc>
          <w:tcPr>
            <w:tcW w:w="387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标志</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40"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12</w:t>
            </w:r>
          </w:p>
        </w:tc>
        <w:tc>
          <w:tcPr>
            <w:tcW w:w="2218"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87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接地措施</w:t>
            </w:r>
          </w:p>
        </w:tc>
        <w:tc>
          <w:tcPr>
            <w:tcW w:w="24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0" w:type="dxa"/>
            <w:vMerge w:val="continue"/>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p>
        </w:tc>
        <w:tc>
          <w:tcPr>
            <w:tcW w:w="2218"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875" w:type="dxa"/>
            <w:vMerge w:val="restart"/>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kern w:val="2"/>
                <w:sz w:val="28"/>
                <w:szCs w:val="28"/>
                <w:highlight w:val="none"/>
                <w:lang w:val="en-US" w:eastAsia="zh-CN" w:bidi="ar-SA"/>
              </w:rPr>
            </w:pPr>
            <w:r>
              <w:rPr>
                <w:rFonts w:hint="eastAsia" w:ascii="Times New Roman" w:hAnsi="Times New Roman" w:eastAsia="仿宋_GB2312" w:cs="仿宋_GB2312"/>
                <w:color w:val="000000"/>
                <w:sz w:val="28"/>
                <w:szCs w:val="28"/>
                <w:highlight w:val="none"/>
                <w:lang w:val="en-US" w:eastAsia="zh-CN"/>
              </w:rPr>
              <w:t>工作温度下的泄漏电流和电气强度</w:t>
            </w:r>
          </w:p>
        </w:tc>
        <w:tc>
          <w:tcPr>
            <w:tcW w:w="2400" w:type="dxa"/>
            <w:vMerge w:val="restart"/>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kern w:val="2"/>
                <w:sz w:val="28"/>
                <w:szCs w:val="28"/>
                <w:highlight w:val="none"/>
                <w:lang w:val="en-US" w:eastAsia="zh-CN" w:bidi="ar-SA"/>
              </w:rPr>
            </w:pPr>
            <w:r>
              <w:rPr>
                <w:rFonts w:hint="eastAsia" w:ascii="Times New Roman" w:hAnsi="Times New Roman" w:eastAsia="仿宋_GB2312" w:cs="仿宋_GB2312"/>
                <w:color w:val="000000"/>
                <w:sz w:val="28"/>
                <w:szCs w:val="28"/>
                <w:highlight w:val="none"/>
              </w:rPr>
              <w:t>GB 35848—2024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40" w:type="dxa"/>
            <w:noWrap w:val="0"/>
            <w:vAlign w:val="center"/>
          </w:tcPr>
          <w:p>
            <w:pPr>
              <w:pageBreakBefore w:val="0"/>
              <w:overflowPunct/>
              <w:topLinePunct w:val="0"/>
              <w:bidi w:val="0"/>
              <w:adjustRightInd/>
              <w:snapToGrid/>
              <w:spacing w:line="560" w:lineRule="exact"/>
              <w:jc w:val="center"/>
              <w:rPr>
                <w:rFonts w:hint="default" w:ascii="Times New Roman" w:hAnsi="Times New Roman" w:eastAsia="仿宋_GB2312" w:cs="仿宋_GB2312"/>
                <w:color w:val="000000"/>
                <w:sz w:val="28"/>
                <w:szCs w:val="28"/>
                <w:highlight w:val="none"/>
                <w:lang w:val="en-US" w:eastAsia="zh-CN"/>
              </w:rPr>
            </w:pPr>
            <w:r>
              <w:rPr>
                <w:rFonts w:hint="eastAsia" w:ascii="Times New Roman" w:hAnsi="Times New Roman" w:eastAsia="仿宋_GB2312" w:cs="仿宋_GB2312"/>
                <w:color w:val="000000"/>
                <w:sz w:val="28"/>
                <w:szCs w:val="28"/>
                <w:highlight w:val="none"/>
                <w:lang w:val="en-US" w:eastAsia="zh-CN"/>
              </w:rPr>
              <w:t>13</w:t>
            </w:r>
          </w:p>
        </w:tc>
        <w:tc>
          <w:tcPr>
            <w:tcW w:w="2218"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875" w:type="dxa"/>
            <w:vMerge w:val="continue"/>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p>
        </w:tc>
        <w:tc>
          <w:tcPr>
            <w:tcW w:w="2400" w:type="dxa"/>
            <w:vMerge w:val="continue"/>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333" w:type="dxa"/>
            <w:gridSpan w:val="4"/>
            <w:noWrap w:val="0"/>
            <w:vAlign w:val="center"/>
          </w:tcPr>
          <w:p>
            <w:pPr>
              <w:pageBreakBefore w:val="0"/>
              <w:overflowPunct/>
              <w:topLinePunct w:val="0"/>
              <w:bidi w:val="0"/>
              <w:adjustRightInd/>
              <w:snapToGrid/>
              <w:spacing w:line="560" w:lineRule="exact"/>
              <w:jc w:val="left"/>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8"/>
                <w:szCs w:val="28"/>
                <w:highlight w:val="none"/>
              </w:rPr>
              <w:t>注：</w:t>
            </w:r>
            <w:r>
              <w:rPr>
                <w:rFonts w:ascii="Times New Roman" w:hAnsi="Times New Roman" w:eastAsia="仿宋_GB2312" w:cs="仿宋_GB2312"/>
                <w:color w:val="000000"/>
                <w:sz w:val="24"/>
                <w:szCs w:val="24"/>
                <w:highlight w:val="none"/>
              </w:rPr>
              <w:t>1.</w:t>
            </w:r>
            <w:r>
              <w:rPr>
                <w:rFonts w:hint="eastAsia" w:ascii="Times New Roman" w:hAnsi="Times New Roman" w:eastAsia="仿宋_GB2312" w:cs="仿宋_GB2312"/>
                <w:color w:val="000000"/>
                <w:sz w:val="24"/>
                <w:szCs w:val="24"/>
                <w:highlight w:val="none"/>
              </w:rPr>
              <w:t xml:space="preserve"> “通用结构—一般要求”的检验项目为GB 35848—2024中5.2.1.13；</w:t>
            </w:r>
          </w:p>
          <w:p>
            <w:pPr>
              <w:pageBreakBefore w:val="0"/>
              <w:overflowPunct/>
              <w:topLinePunct w:val="0"/>
              <w:bidi w:val="0"/>
              <w:adjustRightInd/>
              <w:snapToGrid/>
              <w:spacing w:line="560" w:lineRule="exact"/>
              <w:ind w:firstLine="480" w:firstLineChars="200"/>
              <w:jc w:val="left"/>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2. “通用结构—电气系统”的检验项目为GB 35848—2024中5.2.4.5；</w:t>
            </w:r>
          </w:p>
          <w:p>
            <w:pPr>
              <w:pageBreakBefore w:val="0"/>
              <w:overflowPunct/>
              <w:topLinePunct w:val="0"/>
              <w:bidi w:val="0"/>
              <w:adjustRightInd/>
              <w:snapToGrid/>
              <w:spacing w:line="560" w:lineRule="exact"/>
              <w:ind w:firstLine="480" w:firstLineChars="200"/>
              <w:jc w:val="left"/>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3. “燃气系统零部件—一般要求” 的检验项目为GB 35848—2024中5.3.1.15；</w:t>
            </w:r>
          </w:p>
          <w:p>
            <w:pPr>
              <w:pageBreakBefore w:val="0"/>
              <w:overflowPunct/>
              <w:topLinePunct w:val="0"/>
              <w:bidi w:val="0"/>
              <w:adjustRightInd/>
              <w:snapToGrid/>
              <w:spacing w:line="560" w:lineRule="exact"/>
              <w:ind w:firstLine="480" w:firstLineChars="200"/>
              <w:jc w:val="left"/>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4"/>
                <w:szCs w:val="24"/>
                <w:highlight w:val="none"/>
              </w:rPr>
              <w:t>4. “熄火保护装置”的检验项目为GB 35848—2024中5.5.5。</w:t>
            </w:r>
          </w:p>
        </w:tc>
      </w:tr>
    </w:tbl>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表5 家用瓶装液化石油气调压器</w:t>
      </w:r>
    </w:p>
    <w:tbl>
      <w:tblPr>
        <w:tblStyle w:val="4"/>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
        <w:gridCol w:w="928"/>
        <w:gridCol w:w="5004"/>
        <w:gridCol w:w="2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5932"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928" w:type="dxa"/>
            <w:vMerge w:val="restart"/>
            <w:tcBorders>
              <w:top w:val="single" w:color="000000" w:sz="4" w:space="0"/>
              <w:left w:val="single" w:color="000000" w:sz="4" w:space="0"/>
              <w:bottom w:val="single" w:color="000000"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结构</w:t>
            </w:r>
          </w:p>
        </w:tc>
        <w:tc>
          <w:tcPr>
            <w:tcW w:w="5004"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一般要求</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928" w:type="dxa"/>
            <w:vMerge w:val="continue"/>
            <w:tcBorders>
              <w:top w:val="single" w:color="000000" w:sz="4" w:space="0"/>
              <w:left w:val="single" w:color="000000" w:sz="4" w:space="0"/>
              <w:bottom w:val="single" w:color="000000"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5004"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调压器的接头组件</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928" w:type="dxa"/>
            <w:vMerge w:val="continue"/>
            <w:tcBorders>
              <w:top w:val="single" w:color="000000" w:sz="4" w:space="0"/>
              <w:left w:val="single" w:color="000000" w:sz="4" w:space="0"/>
              <w:bottom w:val="single" w:color="000000"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5004"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压力或流量安全装置</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5932"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气密性</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5932"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调压静特性</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5932"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耐冲击性</w:t>
            </w:r>
          </w:p>
        </w:tc>
        <w:tc>
          <w:tcPr>
            <w:tcW w:w="2363" w:type="dxa"/>
            <w:tcBorders>
              <w:top w:val="single" w:color="000000" w:sz="4" w:space="0"/>
              <w:left w:val="single" w:color="000000" w:sz="4" w:space="0"/>
              <w:bottom w:val="single" w:color="000000"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w:t>
            </w:r>
          </w:p>
        </w:tc>
        <w:tc>
          <w:tcPr>
            <w:tcW w:w="5932"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连接接头机械强度</w:t>
            </w:r>
          </w:p>
        </w:tc>
        <w:tc>
          <w:tcPr>
            <w:tcW w:w="2363" w:type="dxa"/>
            <w:tcBorders>
              <w:top w:val="single" w:color="000000" w:sz="4" w:space="0"/>
              <w:left w:val="single" w:color="000000" w:sz="4" w:space="0"/>
              <w:bottom w:val="single" w:color="000000"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5932"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材料</w:t>
            </w:r>
          </w:p>
        </w:tc>
        <w:tc>
          <w:tcPr>
            <w:tcW w:w="2363" w:type="dxa"/>
            <w:tcBorders>
              <w:top w:val="single" w:color="000000" w:sz="4" w:space="0"/>
              <w:left w:val="single" w:color="000000" w:sz="4" w:space="0"/>
              <w:bottom w:val="single" w:color="000000"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35844—2018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jc w:val="center"/>
        </w:trPr>
        <w:tc>
          <w:tcPr>
            <w:tcW w:w="9167"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注：1. “一般要求”的检验项目为GB 35844—2018中5.2.1.3；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2. “调压器的接头组件”的检验项目为GB 35844—2018中5.2.5.2“手轮外径和宽度”、5.2.5.3“软管连接接头外径”、5.2.5.4；</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3. “压力或流量安全装置”的检验项目为GB 35844—2018中附录C.3.2、C.3.3；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4. “材料”的检验项目为GB 35844—2018中5.1.3.2“膜片试样耐液化石油气性能”。</w:t>
            </w:r>
          </w:p>
        </w:tc>
      </w:tr>
    </w:tbl>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表6 燃气用不锈钢波纹软管</w:t>
      </w:r>
    </w:p>
    <w:tbl>
      <w:tblPr>
        <w:tblStyle w:val="4"/>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5154"/>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blHeader/>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5154" w:type="dxa"/>
            <w:tcBorders>
              <w:top w:val="single" w:color="000000" w:sz="4" w:space="0"/>
              <w:left w:val="single" w:color="000000" w:sz="4" w:space="0"/>
              <w:bottom w:val="single" w:color="auto"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气密性</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41317—2024</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5154" w:type="dxa"/>
            <w:tcBorders>
              <w:top w:val="single" w:color="auto" w:sz="4" w:space="0"/>
              <w:left w:val="single" w:color="000000" w:sz="4" w:space="0"/>
              <w:bottom w:val="single" w:color="auto"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耐压性</w:t>
            </w:r>
          </w:p>
        </w:tc>
        <w:tc>
          <w:tcPr>
            <w:tcW w:w="3113" w:type="dxa"/>
            <w:tcBorders>
              <w:top w:val="single" w:color="000000" w:sz="4" w:space="0"/>
              <w:left w:val="single" w:color="000000" w:sz="4" w:space="0"/>
              <w:bottom w:val="single" w:color="000000"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41317—2024</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5154" w:type="dxa"/>
            <w:tcBorders>
              <w:top w:val="single" w:color="auto"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弯曲性</w:t>
            </w:r>
          </w:p>
        </w:tc>
        <w:tc>
          <w:tcPr>
            <w:tcW w:w="3113" w:type="dxa"/>
            <w:tcBorders>
              <w:top w:val="single" w:color="000000" w:sz="4" w:space="0"/>
              <w:left w:val="single" w:color="000000" w:sz="4" w:space="0"/>
              <w:bottom w:val="single" w:color="000000"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41317—2024</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jc w:val="center"/>
        </w:trPr>
        <w:tc>
          <w:tcPr>
            <w:tcW w:w="900" w:type="dxa"/>
            <w:vMerge w:val="restart"/>
            <w:tcBorders>
              <w:top w:val="single" w:color="000000" w:sz="4" w:space="0"/>
              <w:left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耐安装强度</w:t>
            </w:r>
          </w:p>
        </w:tc>
        <w:tc>
          <w:tcPr>
            <w:tcW w:w="3113" w:type="dxa"/>
            <w:tcBorders>
              <w:top w:val="single" w:color="000000" w:sz="4" w:space="0"/>
              <w:left w:val="single" w:color="000000" w:sz="4" w:space="0"/>
              <w:bottom w:val="single" w:color="000000"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41317—2024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0" w:hRule="atLeast"/>
          <w:jc w:val="center"/>
        </w:trPr>
        <w:tc>
          <w:tcPr>
            <w:tcW w:w="900" w:type="dxa"/>
            <w:vMerge w:val="continue"/>
            <w:tcBorders>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耐安装性</w:t>
            </w:r>
          </w:p>
        </w:tc>
        <w:tc>
          <w:tcPr>
            <w:tcW w:w="3113" w:type="dxa"/>
            <w:tcBorders>
              <w:top w:val="single" w:color="000000" w:sz="4" w:space="0"/>
              <w:left w:val="single" w:color="000000" w:sz="4" w:space="0"/>
              <w:bottom w:val="single" w:color="000000"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CJ/T 197—2010</w:t>
            </w:r>
          </w:p>
        </w:tc>
      </w:tr>
    </w:tbl>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表7 燃气用金属包覆软管</w:t>
      </w:r>
    </w:p>
    <w:tbl>
      <w:tblPr>
        <w:tblStyle w:val="4"/>
        <w:tblW w:w="92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2455"/>
        <w:gridCol w:w="2795"/>
        <w:gridCol w:w="3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 w:hRule="atLeast"/>
          <w:tblHeader/>
          <w:jc w:val="center"/>
        </w:trPr>
        <w:tc>
          <w:tcPr>
            <w:tcW w:w="88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5250"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316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 w:hRule="atLeast"/>
          <w:tblHeader/>
          <w:jc w:val="center"/>
        </w:trPr>
        <w:tc>
          <w:tcPr>
            <w:tcW w:w="88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5250"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气密性</w:t>
            </w:r>
          </w:p>
        </w:tc>
        <w:tc>
          <w:tcPr>
            <w:tcW w:w="316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44017—2024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9" w:hRule="atLeast"/>
          <w:jc w:val="center"/>
        </w:trPr>
        <w:tc>
          <w:tcPr>
            <w:tcW w:w="88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2455" w:type="dxa"/>
            <w:vMerge w:val="restart"/>
            <w:tcBorders>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内层胶管</w:t>
            </w:r>
          </w:p>
        </w:tc>
        <w:tc>
          <w:tcPr>
            <w:tcW w:w="2795" w:type="dxa"/>
            <w:tcBorders>
              <w:left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拉伸强度</w:t>
            </w:r>
          </w:p>
        </w:tc>
        <w:tc>
          <w:tcPr>
            <w:tcW w:w="316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440</w:t>
            </w:r>
            <w:r>
              <w:rPr>
                <w:rFonts w:hint="eastAsia" w:ascii="Times New Roman" w:hAnsi="Times New Roman" w:eastAsia="仿宋_GB2312" w:cs="仿宋_GB2312"/>
                <w:color w:val="000000"/>
                <w:sz w:val="28"/>
                <w:szCs w:val="28"/>
                <w:highlight w:val="none"/>
                <w:lang w:val="en-US" w:eastAsia="zh-CN"/>
              </w:rPr>
              <w:t>17</w:t>
            </w:r>
            <w:r>
              <w:rPr>
                <w:rFonts w:hint="eastAsia" w:ascii="Times New Roman" w:hAnsi="Times New Roman" w:eastAsia="仿宋_GB2312" w:cs="仿宋_GB2312"/>
                <w:color w:val="000000"/>
                <w:sz w:val="28"/>
                <w:szCs w:val="28"/>
                <w:highlight w:val="none"/>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1" w:hRule="atLeast"/>
          <w:jc w:val="center"/>
        </w:trPr>
        <w:tc>
          <w:tcPr>
            <w:tcW w:w="88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2455" w:type="dxa"/>
            <w:vMerge w:val="continue"/>
            <w:tcBorders>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795" w:type="dxa"/>
            <w:tcBorders>
              <w:left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拉断伸长率</w:t>
            </w:r>
          </w:p>
        </w:tc>
        <w:tc>
          <w:tcPr>
            <w:tcW w:w="316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440</w:t>
            </w:r>
            <w:r>
              <w:rPr>
                <w:rFonts w:hint="eastAsia" w:ascii="Times New Roman" w:hAnsi="Times New Roman" w:eastAsia="仿宋_GB2312" w:cs="仿宋_GB2312"/>
                <w:color w:val="000000"/>
                <w:sz w:val="28"/>
                <w:szCs w:val="28"/>
                <w:highlight w:val="none"/>
                <w:lang w:val="en-US" w:eastAsia="zh-CN"/>
              </w:rPr>
              <w:t>17</w:t>
            </w:r>
            <w:r>
              <w:rPr>
                <w:rFonts w:hint="eastAsia" w:ascii="Times New Roman" w:hAnsi="Times New Roman" w:eastAsia="仿宋_GB2312" w:cs="仿宋_GB2312"/>
                <w:color w:val="000000"/>
                <w:sz w:val="28"/>
                <w:szCs w:val="28"/>
                <w:highlight w:val="none"/>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9" w:hRule="atLeast"/>
          <w:jc w:val="center"/>
        </w:trPr>
        <w:tc>
          <w:tcPr>
            <w:tcW w:w="88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5250" w:type="dxa"/>
            <w:gridSpan w:val="2"/>
            <w:tcBorders>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耐压性</w:t>
            </w:r>
          </w:p>
        </w:tc>
        <w:tc>
          <w:tcPr>
            <w:tcW w:w="316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44017—2024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jc w:val="center"/>
        </w:trPr>
        <w:tc>
          <w:tcPr>
            <w:tcW w:w="88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5250" w:type="dxa"/>
            <w:gridSpan w:val="2"/>
            <w:tcBorders>
              <w:top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耐安装强度</w:t>
            </w:r>
          </w:p>
        </w:tc>
        <w:tc>
          <w:tcPr>
            <w:tcW w:w="3164" w:type="dxa"/>
            <w:tcBorders>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44017—2024</w:t>
            </w:r>
          </w:p>
        </w:tc>
      </w:tr>
    </w:tbl>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表8</w:t>
      </w:r>
      <w:r>
        <w:rPr>
          <w:rFonts w:ascii="Times New Roman" w:hAnsi="Times New Roman" w:eastAsia="仿宋_GB2312" w:cs="仿宋_GB2312"/>
          <w:color w:val="000000"/>
          <w:sz w:val="32"/>
          <w:szCs w:val="40"/>
          <w:highlight w:val="none"/>
        </w:rPr>
        <w:t xml:space="preserve"> 电磁式</w:t>
      </w:r>
      <w:r>
        <w:rPr>
          <w:rFonts w:hint="eastAsia" w:ascii="Times New Roman" w:hAnsi="Times New Roman" w:eastAsia="仿宋_GB2312" w:cs="仿宋_GB2312"/>
          <w:color w:val="000000"/>
          <w:sz w:val="32"/>
          <w:szCs w:val="40"/>
          <w:highlight w:val="none"/>
        </w:rPr>
        <w:t>燃气紧急切断阀</w:t>
      </w:r>
    </w:p>
    <w:tbl>
      <w:tblPr>
        <w:tblStyle w:val="4"/>
        <w:tblW w:w="92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5249"/>
        <w:gridCol w:w="3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tblHeader/>
          <w:jc w:val="center"/>
        </w:trPr>
        <w:tc>
          <w:tcPr>
            <w:tcW w:w="861" w:type="dxa"/>
            <w:noWrap w:val="0"/>
            <w:vAlign w:val="center"/>
          </w:tcPr>
          <w:p>
            <w:pPr>
              <w:pageBreakBefore w:val="0"/>
              <w:overflowPunct/>
              <w:topLinePunct w:val="0"/>
              <w:bidi w:val="0"/>
              <w:adjustRightInd/>
              <w:snapToGrid/>
              <w:spacing w:line="560" w:lineRule="exact"/>
              <w:jc w:val="center"/>
              <w:rPr>
                <w:rFonts w:ascii="Times New Roman" w:hAnsi="Times New Roman" w:eastAsia="黑体" w:cs="黑体"/>
                <w:color w:val="000000"/>
                <w:szCs w:val="21"/>
                <w:highlight w:val="none"/>
              </w:rPr>
            </w:pPr>
            <w:r>
              <w:rPr>
                <w:rFonts w:hint="eastAsia" w:ascii="Times New Roman" w:hAnsi="Times New Roman" w:eastAsia="黑体" w:cs="黑体"/>
                <w:color w:val="000000"/>
                <w:szCs w:val="21"/>
                <w:highlight w:val="none"/>
              </w:rPr>
              <w:t>序号</w:t>
            </w:r>
          </w:p>
        </w:tc>
        <w:tc>
          <w:tcPr>
            <w:tcW w:w="5249" w:type="dxa"/>
            <w:noWrap w:val="0"/>
            <w:vAlign w:val="center"/>
          </w:tcPr>
          <w:p>
            <w:pPr>
              <w:pageBreakBefore w:val="0"/>
              <w:overflowPunct/>
              <w:topLinePunct w:val="0"/>
              <w:bidi w:val="0"/>
              <w:adjustRightInd/>
              <w:snapToGrid/>
              <w:spacing w:line="560" w:lineRule="exact"/>
              <w:jc w:val="center"/>
              <w:rPr>
                <w:rFonts w:ascii="Times New Roman" w:hAnsi="Times New Roman" w:eastAsia="黑体" w:cs="黑体"/>
                <w:color w:val="000000"/>
                <w:szCs w:val="21"/>
                <w:highlight w:val="none"/>
              </w:rPr>
            </w:pPr>
            <w:r>
              <w:rPr>
                <w:rFonts w:hint="eastAsia" w:ascii="Times New Roman" w:hAnsi="Times New Roman" w:eastAsia="黑体" w:cs="黑体"/>
                <w:color w:val="000000"/>
                <w:szCs w:val="21"/>
                <w:highlight w:val="none"/>
              </w:rPr>
              <w:t>检验项目</w:t>
            </w:r>
          </w:p>
        </w:tc>
        <w:tc>
          <w:tcPr>
            <w:tcW w:w="3143" w:type="dxa"/>
            <w:noWrap w:val="0"/>
            <w:vAlign w:val="center"/>
          </w:tcPr>
          <w:p>
            <w:pPr>
              <w:pageBreakBefore w:val="0"/>
              <w:overflowPunct/>
              <w:topLinePunct w:val="0"/>
              <w:bidi w:val="0"/>
              <w:adjustRightInd/>
              <w:snapToGrid/>
              <w:spacing w:line="560" w:lineRule="exact"/>
              <w:jc w:val="center"/>
              <w:rPr>
                <w:rFonts w:ascii="Times New Roman" w:hAnsi="Times New Roman" w:eastAsia="黑体" w:cs="黑体"/>
                <w:color w:val="000000"/>
                <w:szCs w:val="21"/>
                <w:highlight w:val="none"/>
              </w:rPr>
            </w:pPr>
            <w:r>
              <w:rPr>
                <w:rFonts w:hint="eastAsia" w:ascii="Times New Roman" w:hAnsi="Times New Roman" w:eastAsia="黑体" w:cs="黑体"/>
                <w:color w:val="000000"/>
                <w:szCs w:val="21"/>
                <w:highlight w:val="none"/>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86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524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气密性</w:t>
            </w:r>
          </w:p>
        </w:tc>
        <w:tc>
          <w:tcPr>
            <w:tcW w:w="314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44016—2024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atLeast"/>
          <w:jc w:val="center"/>
        </w:trPr>
        <w:tc>
          <w:tcPr>
            <w:tcW w:w="86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524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紧急切断性能</w:t>
            </w:r>
          </w:p>
        </w:tc>
        <w:tc>
          <w:tcPr>
            <w:tcW w:w="314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44016—2024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atLeast"/>
          <w:jc w:val="center"/>
        </w:trPr>
        <w:tc>
          <w:tcPr>
            <w:tcW w:w="86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524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电气安全性</w:t>
            </w:r>
          </w:p>
        </w:tc>
        <w:tc>
          <w:tcPr>
            <w:tcW w:w="314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44016—2024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atLeast"/>
          <w:jc w:val="center"/>
        </w:trPr>
        <w:tc>
          <w:tcPr>
            <w:tcW w:w="86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524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承压件强度</w:t>
            </w:r>
          </w:p>
        </w:tc>
        <w:tc>
          <w:tcPr>
            <w:tcW w:w="314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44016—2024</w:t>
            </w:r>
          </w:p>
        </w:tc>
      </w:tr>
    </w:tbl>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ascii="Times New Roman" w:hAnsi="Times New Roman"/>
          <w:color w:val="000000"/>
          <w:szCs w:val="32"/>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ascii="Times New Roman" w:hAnsi="Times New Roman" w:eastAsia="黑体" w:cs="黑体"/>
          <w:color w:val="000000"/>
          <w:sz w:val="32"/>
          <w:szCs w:val="40"/>
          <w:highlight w:val="none"/>
        </w:rPr>
        <w:t xml:space="preserve">3 </w:t>
      </w:r>
      <w:r>
        <w:rPr>
          <w:rFonts w:hint="eastAsia" w:ascii="Times New Roman" w:hAnsi="Times New Roman" w:eastAsia="黑体" w:cs="黑体"/>
          <w:color w:val="000000"/>
          <w:sz w:val="32"/>
          <w:szCs w:val="40"/>
          <w:highlight w:val="none"/>
        </w:rPr>
        <w:t>判定规则</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olor w:val="000000"/>
          <w:sz w:val="32"/>
          <w:szCs w:val="32"/>
          <w:highlight w:val="none"/>
          <w:lang w:bidi="ar"/>
        </w:rPr>
        <w:t>G</w:t>
      </w:r>
      <w:r>
        <w:rPr>
          <w:rFonts w:hint="eastAsia" w:ascii="Times New Roman" w:hAnsi="Times New Roman" w:eastAsia="仿宋_GB2312" w:cs="仿宋_GB2312"/>
          <w:color w:val="000000"/>
          <w:sz w:val="32"/>
          <w:szCs w:val="40"/>
          <w:highlight w:val="none"/>
        </w:rPr>
        <w:t>B 6932—2015 家用燃气快速热水器</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16410—2020 家用燃气灶具</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20665—2015 家用燃气快速热水器和燃气采暖热水炉能效限定值及能效等级</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25034—2020 燃气采暖热水炉</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30720—2014 家用燃气灶具能效限定值及能效等级</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35844—2018 瓶装液化石油气调压器</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35848—2024 商用燃气燃烧器具</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41317—2024 燃气用具连接用不锈钢波纹软管</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44016—2024 电磁式燃气紧急切断阀</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44017—2024 燃气用具连接用金属包覆软管</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CJ/T 197—2010 燃气用具连接用不锈钢波纹软管</w:t>
      </w:r>
    </w:p>
    <w:p>
      <w:pPr>
        <w:pageBreakBefore w:val="0"/>
        <w:overflowPunct/>
        <w:topLinePunct w:val="0"/>
        <w:bidi w:val="0"/>
        <w:adjustRightInd/>
        <w:snapToGrid/>
        <w:spacing w:line="560" w:lineRule="exact"/>
        <w:ind w:firstLine="640" w:firstLineChars="200"/>
        <w:rPr>
          <w:rFonts w:ascii="Times New Roman" w:hAnsi="Times New Roman"/>
          <w:color w:val="000000"/>
          <w:szCs w:val="32"/>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r>
        <w:rPr>
          <w:rFonts w:ascii="Times New Roman" w:hAnsi="Times New Roman" w:eastAsia="仿宋_GB2312"/>
          <w:color w:val="000000"/>
          <w:sz w:val="32"/>
          <w:szCs w:val="32"/>
          <w:highlight w:val="none"/>
          <w:lang w:bidi="ar"/>
        </w:rPr>
        <w:t xml:space="preserve"> </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lang w:val="en-US" w:eastAsia="zh-CN"/>
        </w:rPr>
      </w:pPr>
      <w:r>
        <w:rPr>
          <w:rFonts w:hint="eastAsia" w:cs="仿宋_GB2312"/>
          <w:color w:val="000000"/>
          <w:sz w:val="32"/>
          <w:szCs w:val="40"/>
          <w:highlight w:val="none"/>
          <w:lang w:val="en-US" w:eastAsia="zh-CN"/>
        </w:rPr>
        <w:t xml:space="preserve">    </w:t>
      </w: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r>
        <w:rPr>
          <w:rFonts w:hint="eastAsia" w:cs="仿宋_GB2312"/>
          <w:color w:val="000000"/>
          <w:sz w:val="32"/>
          <w:szCs w:val="40"/>
          <w:highlight w:val="none"/>
          <w:lang w:eastAsia="zh-CN"/>
        </w:rPr>
        <w:t>。</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47CB4C9E"/>
    <w:rsid w:val="7BF771D3"/>
    <w:rsid w:val="7F7F0549"/>
    <w:rsid w:val="DF779636"/>
    <w:rsid w:val="EB3F22CA"/>
    <w:rsid w:val="F78F2BA5"/>
    <w:rsid w:val="FD37B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8</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2024-06-06T01:04:00Z</dcterms:created>
  <dc:creator>胡翌婧</dc:creator>
  <cp:lastModifiedBy>greatwall</cp:lastModifiedBy>
  <dcterms:modified xsi:type="dcterms:W3CDTF">2025-05-20T16:15:25Z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F85659674065A6777B06ED677C69C555_43</vt:lpwstr>
  </property>
</Properties>
</file>