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41FE" w:rsidRDefault="00FD18FD">
      <w:pPr>
        <w:jc w:val="center"/>
        <w:rPr>
          <w:rFonts w:eastAsiaTheme="majorEastAsia" w:hAnsi="宋体"/>
          <w:kern w:val="0"/>
          <w:sz w:val="44"/>
          <w:szCs w:val="44"/>
        </w:rPr>
      </w:pPr>
      <w:proofErr w:type="gramStart"/>
      <w:r w:rsidRPr="00FD18FD">
        <w:rPr>
          <w:rFonts w:eastAsiaTheme="majorEastAsia" w:hAnsi="宋体" w:hint="eastAsia"/>
          <w:kern w:val="0"/>
          <w:sz w:val="44"/>
          <w:szCs w:val="44"/>
        </w:rPr>
        <w:t>大埔银盛船舶</w:t>
      </w:r>
      <w:proofErr w:type="gramEnd"/>
      <w:r w:rsidRPr="00FD18FD">
        <w:rPr>
          <w:rFonts w:eastAsiaTheme="majorEastAsia" w:hAnsi="宋体" w:hint="eastAsia"/>
          <w:kern w:val="0"/>
          <w:sz w:val="44"/>
          <w:szCs w:val="44"/>
        </w:rPr>
        <w:t>修造有限公司维修维护船舶项目</w:t>
      </w:r>
    </w:p>
    <w:p w:rsidR="005307C3" w:rsidRDefault="00F74687">
      <w:pPr>
        <w:jc w:val="center"/>
        <w:rPr>
          <w:rFonts w:eastAsiaTheme="majorEastAsia" w:hAnsi="宋体"/>
          <w:kern w:val="0"/>
          <w:sz w:val="44"/>
          <w:szCs w:val="44"/>
        </w:rPr>
      </w:pPr>
      <w:r>
        <w:rPr>
          <w:rFonts w:eastAsiaTheme="majorEastAsia" w:hAnsi="宋体" w:hint="eastAsia"/>
          <w:kern w:val="0"/>
          <w:sz w:val="44"/>
          <w:szCs w:val="44"/>
        </w:rPr>
        <w:t>环境影响报告书审批前公示</w:t>
      </w:r>
    </w:p>
    <w:p w:rsidR="003A11A2" w:rsidRDefault="003A11A2">
      <w:pPr>
        <w:jc w:val="center"/>
        <w:rPr>
          <w:rFonts w:eastAsiaTheme="majorEastAsia" w:hAnsi="宋体"/>
          <w:kern w:val="0"/>
          <w:sz w:val="44"/>
          <w:szCs w:val="44"/>
        </w:rPr>
      </w:pPr>
    </w:p>
    <w:p w:rsidR="005307C3" w:rsidRDefault="00F74687">
      <w:pPr>
        <w:ind w:firstLineChars="200" w:firstLine="640"/>
        <w:jc w:val="left"/>
        <w:rPr>
          <w:rFonts w:eastAsia="仿宋_GB2312"/>
          <w:sz w:val="32"/>
          <w:szCs w:val="32"/>
        </w:rPr>
      </w:pPr>
      <w:r>
        <w:rPr>
          <w:rFonts w:eastAsia="仿宋_GB2312"/>
          <w:sz w:val="32"/>
          <w:szCs w:val="32"/>
        </w:rPr>
        <w:t>根据建设项目环境影响评价审批程序的有关规定，经审议，我局拟批准《</w:t>
      </w:r>
      <w:r w:rsidR="00FD18FD" w:rsidRPr="00FD18FD">
        <w:rPr>
          <w:rFonts w:eastAsia="仿宋_GB2312" w:hint="eastAsia"/>
          <w:sz w:val="32"/>
          <w:szCs w:val="32"/>
        </w:rPr>
        <w:t>大埔银盛船舶修造有限公司维修维护船舶项目</w:t>
      </w:r>
      <w:r>
        <w:rPr>
          <w:rFonts w:eastAsia="仿宋_GB2312" w:hint="eastAsia"/>
          <w:sz w:val="32"/>
          <w:szCs w:val="32"/>
        </w:rPr>
        <w:t>环境影响报告书</w:t>
      </w:r>
      <w:r>
        <w:rPr>
          <w:rFonts w:eastAsia="仿宋_GB2312"/>
          <w:sz w:val="32"/>
          <w:szCs w:val="32"/>
        </w:rPr>
        <w:t>》，为体现公开、公正的原则，强化公众参与，现予公示</w:t>
      </w:r>
      <w:r>
        <w:rPr>
          <w:rFonts w:eastAsia="仿宋_GB2312"/>
          <w:sz w:val="32"/>
          <w:szCs w:val="32"/>
        </w:rPr>
        <w:t>5</w:t>
      </w:r>
      <w:r>
        <w:rPr>
          <w:rFonts w:eastAsia="仿宋_GB2312"/>
          <w:sz w:val="32"/>
          <w:szCs w:val="32"/>
        </w:rPr>
        <w:t>个工作日，如有意见，请在公示期内来信或来电向我局反映。</w:t>
      </w:r>
    </w:p>
    <w:p w:rsidR="005307C3" w:rsidRDefault="00F74687">
      <w:pPr>
        <w:ind w:firstLineChars="200" w:firstLine="640"/>
        <w:jc w:val="left"/>
        <w:rPr>
          <w:rFonts w:eastAsia="仿宋_GB2312"/>
          <w:sz w:val="32"/>
          <w:szCs w:val="32"/>
        </w:rPr>
      </w:pPr>
      <w:r>
        <w:rPr>
          <w:rFonts w:eastAsia="仿宋_GB2312"/>
          <w:sz w:val="32"/>
          <w:szCs w:val="32"/>
        </w:rPr>
        <w:t>联系地址：梅州市行政服务中心</w:t>
      </w:r>
      <w:r>
        <w:rPr>
          <w:rFonts w:eastAsia="仿宋_GB2312" w:hint="eastAsia"/>
          <w:sz w:val="32"/>
          <w:szCs w:val="32"/>
        </w:rPr>
        <w:t>三</w:t>
      </w:r>
      <w:r>
        <w:rPr>
          <w:rFonts w:eastAsia="仿宋_GB2312"/>
          <w:sz w:val="32"/>
          <w:szCs w:val="32"/>
        </w:rPr>
        <w:t>楼环保窗口，邮编：</w:t>
      </w:r>
      <w:r>
        <w:rPr>
          <w:rFonts w:eastAsia="仿宋_GB2312"/>
          <w:sz w:val="32"/>
          <w:szCs w:val="32"/>
        </w:rPr>
        <w:t>514021</w:t>
      </w:r>
    </w:p>
    <w:p w:rsidR="005307C3" w:rsidRDefault="00F74687">
      <w:pPr>
        <w:ind w:firstLineChars="200" w:firstLine="640"/>
        <w:jc w:val="left"/>
        <w:rPr>
          <w:rFonts w:eastAsia="仿宋_GB2312"/>
          <w:sz w:val="32"/>
          <w:szCs w:val="32"/>
        </w:rPr>
      </w:pPr>
      <w:r>
        <w:rPr>
          <w:rFonts w:eastAsia="仿宋_GB2312"/>
          <w:sz w:val="32"/>
          <w:szCs w:val="32"/>
        </w:rPr>
        <w:t>联系电话：</w:t>
      </w:r>
      <w:r>
        <w:rPr>
          <w:rFonts w:eastAsia="仿宋_GB2312"/>
          <w:sz w:val="32"/>
          <w:szCs w:val="32"/>
        </w:rPr>
        <w:t>0753</w:t>
      </w:r>
      <w:r>
        <w:rPr>
          <w:rFonts w:eastAsia="仿宋_GB2312"/>
          <w:sz w:val="32"/>
          <w:szCs w:val="32"/>
        </w:rPr>
        <w:t>－</w:t>
      </w:r>
      <w:r>
        <w:rPr>
          <w:rFonts w:eastAsia="仿宋_GB2312"/>
          <w:sz w:val="32"/>
          <w:szCs w:val="32"/>
        </w:rPr>
        <w:t>6133820</w:t>
      </w:r>
      <w:r>
        <w:rPr>
          <w:rFonts w:eastAsia="仿宋_GB2312"/>
          <w:sz w:val="32"/>
          <w:szCs w:val="32"/>
        </w:rPr>
        <w:t>传真：</w:t>
      </w:r>
      <w:r>
        <w:rPr>
          <w:rFonts w:eastAsia="仿宋_GB2312"/>
          <w:sz w:val="32"/>
          <w:szCs w:val="32"/>
        </w:rPr>
        <w:t>0753</w:t>
      </w:r>
      <w:r>
        <w:rPr>
          <w:rFonts w:eastAsia="仿宋_GB2312"/>
          <w:sz w:val="32"/>
          <w:szCs w:val="32"/>
        </w:rPr>
        <w:t>－</w:t>
      </w:r>
      <w:r>
        <w:rPr>
          <w:rFonts w:eastAsia="仿宋_GB2312"/>
          <w:sz w:val="32"/>
          <w:szCs w:val="32"/>
        </w:rPr>
        <w:t>6133820</w:t>
      </w:r>
    </w:p>
    <w:p w:rsidR="005307C3" w:rsidRDefault="00F74687">
      <w:pPr>
        <w:ind w:firstLineChars="200" w:firstLine="640"/>
        <w:jc w:val="left"/>
        <w:rPr>
          <w:rFonts w:eastAsia="仿宋_GB2312"/>
          <w:sz w:val="32"/>
          <w:szCs w:val="32"/>
        </w:rPr>
      </w:pPr>
      <w:r>
        <w:rPr>
          <w:rFonts w:eastAsia="仿宋_GB2312"/>
          <w:sz w:val="32"/>
          <w:szCs w:val="32"/>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rsidR="005307C3" w:rsidRDefault="005307C3">
      <w:pPr>
        <w:ind w:firstLineChars="200" w:firstLine="640"/>
        <w:jc w:val="left"/>
        <w:rPr>
          <w:rFonts w:eastAsia="仿宋_GB2312"/>
          <w:sz w:val="32"/>
          <w:szCs w:val="32"/>
        </w:rPr>
      </w:pPr>
    </w:p>
    <w:p w:rsidR="005307C3" w:rsidRDefault="005307C3">
      <w:pPr>
        <w:ind w:firstLineChars="200" w:firstLine="640"/>
        <w:jc w:val="left"/>
        <w:rPr>
          <w:rFonts w:eastAsia="仿宋_GB2312"/>
          <w:sz w:val="32"/>
          <w:szCs w:val="32"/>
        </w:rPr>
      </w:pP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4"/>
        <w:gridCol w:w="811"/>
        <w:gridCol w:w="876"/>
        <w:gridCol w:w="2804"/>
        <w:gridCol w:w="7229"/>
        <w:gridCol w:w="1496"/>
      </w:tblGrid>
      <w:tr w:rsidR="005307C3">
        <w:tc>
          <w:tcPr>
            <w:tcW w:w="675" w:type="dxa"/>
            <w:vAlign w:val="center"/>
          </w:tcPr>
          <w:p w:rsidR="005307C3" w:rsidRDefault="00F74687">
            <w:pPr>
              <w:jc w:val="center"/>
              <w:rPr>
                <w:b/>
                <w:bCs/>
              </w:rPr>
            </w:pPr>
            <w:r>
              <w:rPr>
                <w:b/>
                <w:bCs/>
              </w:rPr>
              <w:lastRenderedPageBreak/>
              <w:t>项目</w:t>
            </w:r>
          </w:p>
          <w:p w:rsidR="005307C3" w:rsidRDefault="00F74687">
            <w:pPr>
              <w:jc w:val="center"/>
            </w:pPr>
            <w:r>
              <w:rPr>
                <w:b/>
                <w:bCs/>
              </w:rPr>
              <w:t>名称</w:t>
            </w:r>
          </w:p>
        </w:tc>
        <w:tc>
          <w:tcPr>
            <w:tcW w:w="754" w:type="dxa"/>
            <w:vAlign w:val="center"/>
          </w:tcPr>
          <w:p w:rsidR="005307C3" w:rsidRDefault="00F74687">
            <w:pPr>
              <w:jc w:val="center"/>
            </w:pPr>
            <w:r>
              <w:rPr>
                <w:b/>
                <w:bCs/>
              </w:rPr>
              <w:t>建设单位</w:t>
            </w:r>
          </w:p>
        </w:tc>
        <w:tc>
          <w:tcPr>
            <w:tcW w:w="811" w:type="dxa"/>
            <w:vAlign w:val="center"/>
          </w:tcPr>
          <w:p w:rsidR="005307C3" w:rsidRDefault="00F74687">
            <w:pPr>
              <w:jc w:val="center"/>
              <w:rPr>
                <w:b/>
                <w:bCs/>
              </w:rPr>
            </w:pPr>
            <w:r>
              <w:rPr>
                <w:b/>
                <w:bCs/>
              </w:rPr>
              <w:t>建设</w:t>
            </w:r>
          </w:p>
          <w:p w:rsidR="005307C3" w:rsidRDefault="00F74687">
            <w:pPr>
              <w:jc w:val="center"/>
            </w:pPr>
            <w:r>
              <w:rPr>
                <w:b/>
                <w:bCs/>
              </w:rPr>
              <w:t>地点</w:t>
            </w:r>
          </w:p>
        </w:tc>
        <w:tc>
          <w:tcPr>
            <w:tcW w:w="876" w:type="dxa"/>
            <w:shd w:val="clear" w:color="auto" w:fill="FFFFFF"/>
            <w:vAlign w:val="center"/>
          </w:tcPr>
          <w:p w:rsidR="005307C3" w:rsidRDefault="00F74687">
            <w:pPr>
              <w:jc w:val="center"/>
              <w:rPr>
                <w:b/>
                <w:bCs/>
              </w:rPr>
            </w:pPr>
            <w:r>
              <w:rPr>
                <w:b/>
                <w:bCs/>
              </w:rPr>
              <w:t>环评</w:t>
            </w:r>
          </w:p>
          <w:p w:rsidR="005307C3" w:rsidRDefault="00F74687">
            <w:pPr>
              <w:jc w:val="center"/>
              <w:rPr>
                <w:b/>
                <w:bCs/>
              </w:rPr>
            </w:pPr>
            <w:r>
              <w:rPr>
                <w:b/>
                <w:bCs/>
              </w:rPr>
              <w:t>机构</w:t>
            </w:r>
          </w:p>
        </w:tc>
        <w:tc>
          <w:tcPr>
            <w:tcW w:w="2804" w:type="dxa"/>
            <w:shd w:val="clear" w:color="auto" w:fill="FFFFFF"/>
            <w:vAlign w:val="center"/>
          </w:tcPr>
          <w:p w:rsidR="005307C3" w:rsidRDefault="00F74687">
            <w:pPr>
              <w:jc w:val="center"/>
            </w:pPr>
            <w:r>
              <w:rPr>
                <w:b/>
                <w:bCs/>
              </w:rPr>
              <w:t>项目概况</w:t>
            </w:r>
          </w:p>
        </w:tc>
        <w:tc>
          <w:tcPr>
            <w:tcW w:w="7229" w:type="dxa"/>
            <w:shd w:val="clear" w:color="auto" w:fill="FFFFFF"/>
            <w:vAlign w:val="center"/>
          </w:tcPr>
          <w:p w:rsidR="005307C3" w:rsidRDefault="00F74687">
            <w:pPr>
              <w:jc w:val="center"/>
              <w:rPr>
                <w:b/>
                <w:bCs/>
              </w:rPr>
            </w:pPr>
            <w:r>
              <w:rPr>
                <w:b/>
                <w:bCs/>
              </w:rPr>
              <w:t>主要环境影响及预防或者减轻不良环境影响的对策和措施</w:t>
            </w:r>
          </w:p>
        </w:tc>
        <w:tc>
          <w:tcPr>
            <w:tcW w:w="1496" w:type="dxa"/>
            <w:shd w:val="clear" w:color="auto" w:fill="FFFFFF"/>
            <w:vAlign w:val="center"/>
          </w:tcPr>
          <w:p w:rsidR="005307C3" w:rsidRDefault="00F74687">
            <w:pPr>
              <w:jc w:val="center"/>
            </w:pPr>
            <w:r>
              <w:rPr>
                <w:rFonts w:hint="eastAsia"/>
                <w:b/>
                <w:bCs/>
              </w:rPr>
              <w:t>公众参与情况</w:t>
            </w:r>
          </w:p>
        </w:tc>
      </w:tr>
      <w:tr w:rsidR="005307C3">
        <w:trPr>
          <w:trHeight w:val="1141"/>
        </w:trPr>
        <w:tc>
          <w:tcPr>
            <w:tcW w:w="675" w:type="dxa"/>
            <w:vAlign w:val="center"/>
          </w:tcPr>
          <w:p w:rsidR="005307C3" w:rsidRDefault="00A23395" w:rsidP="00AF11F7">
            <w:pPr>
              <w:jc w:val="center"/>
            </w:pPr>
            <w:proofErr w:type="gramStart"/>
            <w:r w:rsidRPr="00A23395">
              <w:rPr>
                <w:rFonts w:hint="eastAsia"/>
              </w:rPr>
              <w:t>大埔银盛船舶</w:t>
            </w:r>
            <w:proofErr w:type="gramEnd"/>
            <w:r w:rsidRPr="00A23395">
              <w:rPr>
                <w:rFonts w:hint="eastAsia"/>
              </w:rPr>
              <w:t>修造有限公司维修维护船舶项目</w:t>
            </w:r>
          </w:p>
        </w:tc>
        <w:tc>
          <w:tcPr>
            <w:tcW w:w="754" w:type="dxa"/>
            <w:vAlign w:val="center"/>
          </w:tcPr>
          <w:p w:rsidR="005307C3" w:rsidRDefault="00A23395">
            <w:pPr>
              <w:jc w:val="center"/>
            </w:pPr>
            <w:proofErr w:type="gramStart"/>
            <w:r w:rsidRPr="00A23395">
              <w:rPr>
                <w:rFonts w:hint="eastAsia"/>
              </w:rPr>
              <w:t>大埔银盛船舶</w:t>
            </w:r>
            <w:proofErr w:type="gramEnd"/>
            <w:r w:rsidRPr="00A23395">
              <w:rPr>
                <w:rFonts w:hint="eastAsia"/>
              </w:rPr>
              <w:t>修造有限公司</w:t>
            </w:r>
          </w:p>
        </w:tc>
        <w:tc>
          <w:tcPr>
            <w:tcW w:w="811" w:type="dxa"/>
            <w:vAlign w:val="center"/>
          </w:tcPr>
          <w:p w:rsidR="005307C3" w:rsidRDefault="00A23395">
            <w:pPr>
              <w:jc w:val="center"/>
            </w:pPr>
            <w:r w:rsidRPr="00A23395">
              <w:rPr>
                <w:rFonts w:hint="eastAsia"/>
              </w:rPr>
              <w:t>大埔县高</w:t>
            </w:r>
            <w:proofErr w:type="gramStart"/>
            <w:r w:rsidRPr="00A23395">
              <w:rPr>
                <w:rFonts w:hint="eastAsia"/>
              </w:rPr>
              <w:t>陂</w:t>
            </w:r>
            <w:proofErr w:type="gramEnd"/>
            <w:r w:rsidRPr="00A23395">
              <w:rPr>
                <w:rFonts w:hint="eastAsia"/>
              </w:rPr>
              <w:t>镇坪溪村上坪坝（原大埔县高</w:t>
            </w:r>
            <w:proofErr w:type="gramStart"/>
            <w:r w:rsidRPr="00A23395">
              <w:rPr>
                <w:rFonts w:hint="eastAsia"/>
              </w:rPr>
              <w:t>陂</w:t>
            </w:r>
            <w:proofErr w:type="gramEnd"/>
            <w:r w:rsidRPr="00A23395">
              <w:rPr>
                <w:rFonts w:hint="eastAsia"/>
              </w:rPr>
              <w:t>造船厂旧址附近）</w:t>
            </w:r>
          </w:p>
        </w:tc>
        <w:tc>
          <w:tcPr>
            <w:tcW w:w="876" w:type="dxa"/>
            <w:vAlign w:val="center"/>
          </w:tcPr>
          <w:p w:rsidR="005307C3" w:rsidRDefault="00A23395">
            <w:pPr>
              <w:jc w:val="center"/>
            </w:pPr>
            <w:r w:rsidRPr="00A23395">
              <w:rPr>
                <w:rFonts w:hint="eastAsia"/>
                <w:bCs/>
              </w:rPr>
              <w:t>湖南汇恒环境保护科技发展有限公司</w:t>
            </w:r>
          </w:p>
        </w:tc>
        <w:tc>
          <w:tcPr>
            <w:tcW w:w="2804" w:type="dxa"/>
            <w:vAlign w:val="center"/>
          </w:tcPr>
          <w:p w:rsidR="003F5A68" w:rsidRDefault="003F5A68" w:rsidP="003F5A68">
            <w:pPr>
              <w:ind w:firstLineChars="200" w:firstLine="420"/>
              <w:rPr>
                <w:rFonts w:hint="eastAsia"/>
              </w:rPr>
            </w:pPr>
            <w:r>
              <w:rPr>
                <w:rFonts w:hint="eastAsia"/>
              </w:rPr>
              <w:t>项目位于梅州市大埔县高</w:t>
            </w:r>
            <w:proofErr w:type="gramStart"/>
            <w:r>
              <w:rPr>
                <w:rFonts w:hint="eastAsia"/>
              </w:rPr>
              <w:t>陂</w:t>
            </w:r>
            <w:proofErr w:type="gramEnd"/>
            <w:r>
              <w:rPr>
                <w:rFonts w:hint="eastAsia"/>
              </w:rPr>
              <w:t>镇坪溪村上坪坝</w:t>
            </w:r>
            <w:r>
              <w:rPr>
                <w:rFonts w:hint="eastAsia"/>
              </w:rPr>
              <w:t>(</w:t>
            </w:r>
            <w:r>
              <w:rPr>
                <w:rFonts w:hint="eastAsia"/>
              </w:rPr>
              <w:t>原大埔县高</w:t>
            </w:r>
            <w:proofErr w:type="gramStart"/>
            <w:r>
              <w:rPr>
                <w:rFonts w:hint="eastAsia"/>
              </w:rPr>
              <w:t>陂</w:t>
            </w:r>
            <w:proofErr w:type="gramEnd"/>
            <w:r>
              <w:rPr>
                <w:rFonts w:hint="eastAsia"/>
              </w:rPr>
              <w:t>造船厂旧址的西北角</w:t>
            </w:r>
            <w:r>
              <w:rPr>
                <w:rFonts w:hint="eastAsia"/>
              </w:rPr>
              <w:t>)</w:t>
            </w:r>
            <w:r>
              <w:rPr>
                <w:rFonts w:hint="eastAsia"/>
              </w:rPr>
              <w:t>，</w:t>
            </w:r>
            <w:r>
              <w:rPr>
                <w:rFonts w:hint="eastAsia"/>
              </w:rPr>
              <w:t>S222</w:t>
            </w:r>
            <w:r>
              <w:rPr>
                <w:rFonts w:hint="eastAsia"/>
              </w:rPr>
              <w:t>省道靠近韩江一侧的空地</w:t>
            </w:r>
            <w:r w:rsidR="00594082">
              <w:rPr>
                <w:rFonts w:hint="eastAsia"/>
              </w:rPr>
              <w:t>。</w:t>
            </w:r>
            <w:r>
              <w:rPr>
                <w:rFonts w:hint="eastAsia"/>
              </w:rPr>
              <w:t>项目建成后年维护维修船舶</w:t>
            </w:r>
            <w:r>
              <w:rPr>
                <w:rFonts w:hint="eastAsia"/>
              </w:rPr>
              <w:t>90</w:t>
            </w:r>
            <w:r>
              <w:rPr>
                <w:rFonts w:hint="eastAsia"/>
              </w:rPr>
              <w:t>艘，其中工程船</w:t>
            </w:r>
            <w:r>
              <w:rPr>
                <w:rFonts w:hint="eastAsia"/>
              </w:rPr>
              <w:t>45</w:t>
            </w:r>
            <w:r>
              <w:rPr>
                <w:rFonts w:hint="eastAsia"/>
              </w:rPr>
              <w:t>艘、货船</w:t>
            </w:r>
            <w:r>
              <w:rPr>
                <w:rFonts w:hint="eastAsia"/>
              </w:rPr>
              <w:t>25</w:t>
            </w:r>
            <w:r>
              <w:rPr>
                <w:rFonts w:hint="eastAsia"/>
              </w:rPr>
              <w:t>艘、旅游船</w:t>
            </w:r>
            <w:r>
              <w:rPr>
                <w:rFonts w:hint="eastAsia"/>
              </w:rPr>
              <w:t>20</w:t>
            </w:r>
            <w:r>
              <w:rPr>
                <w:rFonts w:hint="eastAsia"/>
              </w:rPr>
              <w:t>艘。本项目不涉及拆船，维修的船舶不包括</w:t>
            </w:r>
            <w:proofErr w:type="gramStart"/>
            <w:r>
              <w:rPr>
                <w:rFonts w:hint="eastAsia"/>
              </w:rPr>
              <w:t>含危险</w:t>
            </w:r>
            <w:proofErr w:type="gramEnd"/>
            <w:r>
              <w:rPr>
                <w:rFonts w:hint="eastAsia"/>
              </w:rPr>
              <w:t>化学品、供油的船。</w:t>
            </w:r>
            <w:r w:rsidR="00594082" w:rsidRPr="00594082">
              <w:rPr>
                <w:rFonts w:hint="eastAsia"/>
              </w:rPr>
              <w:t>工程总投资</w:t>
            </w:r>
            <w:r w:rsidR="00594082" w:rsidRPr="00594082">
              <w:rPr>
                <w:rFonts w:hint="eastAsia"/>
              </w:rPr>
              <w:t>500</w:t>
            </w:r>
            <w:r w:rsidR="00594082" w:rsidRPr="00594082">
              <w:rPr>
                <w:rFonts w:hint="eastAsia"/>
              </w:rPr>
              <w:t>万元，其中环保投资</w:t>
            </w:r>
            <w:r w:rsidR="00594082" w:rsidRPr="00594082">
              <w:rPr>
                <w:rFonts w:hint="eastAsia"/>
              </w:rPr>
              <w:t>50</w:t>
            </w:r>
            <w:r w:rsidR="00594082" w:rsidRPr="00594082">
              <w:rPr>
                <w:rFonts w:hint="eastAsia"/>
              </w:rPr>
              <w:t>万元。</w:t>
            </w:r>
          </w:p>
          <w:p w:rsidR="00EF7390" w:rsidRDefault="003F5A68" w:rsidP="003F5A68">
            <w:pPr>
              <w:ind w:firstLineChars="200" w:firstLine="420"/>
            </w:pPr>
            <w:r>
              <w:rPr>
                <w:rFonts w:hint="eastAsia"/>
              </w:rPr>
              <w:t>项目总占地面积为</w:t>
            </w:r>
            <w:r>
              <w:rPr>
                <w:rFonts w:hint="eastAsia"/>
              </w:rPr>
              <w:t>1188.54m2</w:t>
            </w:r>
            <w:r>
              <w:rPr>
                <w:rFonts w:hint="eastAsia"/>
              </w:rPr>
              <w:t>，露天工作区约</w:t>
            </w:r>
            <w:r>
              <w:rPr>
                <w:rFonts w:hint="eastAsia"/>
              </w:rPr>
              <w:t>770m2</w:t>
            </w:r>
            <w:r>
              <w:rPr>
                <w:rFonts w:hint="eastAsia"/>
              </w:rPr>
              <w:t>。主要建设内容包括露天船台区（</w:t>
            </w:r>
            <w:r>
              <w:rPr>
                <w:rFonts w:hint="eastAsia"/>
              </w:rPr>
              <w:t>650m2</w:t>
            </w:r>
            <w:r>
              <w:rPr>
                <w:rFonts w:hint="eastAsia"/>
              </w:rPr>
              <w:t>，混凝土硬化，用于船体清洗修理等）、露天构件加工区、露天钢材堆放区、原辅材料堆存处、</w:t>
            </w:r>
            <w:proofErr w:type="gramStart"/>
            <w:r>
              <w:rPr>
                <w:rFonts w:hint="eastAsia"/>
              </w:rPr>
              <w:t>材料室</w:t>
            </w:r>
            <w:proofErr w:type="gramEnd"/>
            <w:r>
              <w:rPr>
                <w:rFonts w:hint="eastAsia"/>
              </w:rPr>
              <w:t>等。环保设施有废水处理设施、三级化粪池及固体废物暂存场等。</w:t>
            </w:r>
          </w:p>
        </w:tc>
        <w:tc>
          <w:tcPr>
            <w:tcW w:w="7229" w:type="dxa"/>
          </w:tcPr>
          <w:p w:rsidR="000F0CE3" w:rsidRDefault="000F0CE3" w:rsidP="000F0CE3">
            <w:pPr>
              <w:ind w:firstLine="480"/>
            </w:pPr>
            <w:r>
              <w:rPr>
                <w:rFonts w:hint="eastAsia"/>
              </w:rPr>
              <w:t>1</w:t>
            </w:r>
            <w:r>
              <w:rPr>
                <w:rFonts w:hint="eastAsia"/>
              </w:rPr>
              <w:t>、地表水环境保护措施及主要环境影响</w:t>
            </w:r>
          </w:p>
          <w:p w:rsidR="000F0CE3" w:rsidRDefault="00594082" w:rsidP="000F0CE3">
            <w:pPr>
              <w:ind w:firstLine="480"/>
            </w:pPr>
            <w:r w:rsidRPr="00594082">
              <w:rPr>
                <w:rFonts w:hint="eastAsia"/>
              </w:rPr>
              <w:t>非雨天项目的综合生产废水（船舶清洗用水、地面冲洗用水、调试用水、机舱清洗用水）总量约</w:t>
            </w:r>
            <w:r w:rsidRPr="00594082">
              <w:rPr>
                <w:rFonts w:hint="eastAsia"/>
              </w:rPr>
              <w:t>772.2m3/a</w:t>
            </w:r>
            <w:r w:rsidRPr="00594082">
              <w:rPr>
                <w:rFonts w:hint="eastAsia"/>
              </w:rPr>
              <w:t>（</w:t>
            </w:r>
            <w:r w:rsidRPr="00594082">
              <w:rPr>
                <w:rFonts w:hint="eastAsia"/>
              </w:rPr>
              <w:t>2.574m3/d</w:t>
            </w:r>
            <w:r w:rsidRPr="00594082">
              <w:rPr>
                <w:rFonts w:hint="eastAsia"/>
              </w:rPr>
              <w:t>），雨天的综合生产废水（船舶清洗用水、调试用水、机舱清洗用水及初期雨水）总量约</w:t>
            </w:r>
            <w:r w:rsidRPr="00594082">
              <w:rPr>
                <w:rFonts w:hint="eastAsia"/>
              </w:rPr>
              <w:t>1049.3m3/a</w:t>
            </w:r>
            <w:r w:rsidRPr="00594082">
              <w:rPr>
                <w:rFonts w:hint="eastAsia"/>
              </w:rPr>
              <w:t>（</w:t>
            </w:r>
            <w:r w:rsidRPr="00594082">
              <w:rPr>
                <w:rFonts w:hint="eastAsia"/>
              </w:rPr>
              <w:t>11.939m3/d</w:t>
            </w:r>
            <w:r w:rsidRPr="00594082">
              <w:rPr>
                <w:rFonts w:hint="eastAsia"/>
              </w:rPr>
              <w:t>），营运期的生产废水经厂区自建废水处理设施（“隔油</w:t>
            </w:r>
            <w:r w:rsidRPr="00594082">
              <w:rPr>
                <w:rFonts w:hint="eastAsia"/>
              </w:rPr>
              <w:t>+</w:t>
            </w:r>
            <w:r w:rsidRPr="00594082">
              <w:rPr>
                <w:rFonts w:hint="eastAsia"/>
              </w:rPr>
              <w:t>气浮</w:t>
            </w:r>
            <w:r w:rsidRPr="00594082">
              <w:rPr>
                <w:rFonts w:hint="eastAsia"/>
              </w:rPr>
              <w:t>+</w:t>
            </w:r>
            <w:r w:rsidRPr="00594082">
              <w:rPr>
                <w:rFonts w:hint="eastAsia"/>
              </w:rPr>
              <w:t>物化沉淀”，处理能力</w:t>
            </w:r>
            <w:r w:rsidRPr="00594082">
              <w:rPr>
                <w:rFonts w:hint="eastAsia"/>
              </w:rPr>
              <w:t>15m3/d</w:t>
            </w:r>
            <w:r w:rsidRPr="00594082">
              <w:rPr>
                <w:rFonts w:hint="eastAsia"/>
              </w:rPr>
              <w:t>）处理达到广东省地方标准《水污染物排放限值》（</w:t>
            </w:r>
            <w:r w:rsidRPr="00594082">
              <w:rPr>
                <w:rFonts w:hint="eastAsia"/>
              </w:rPr>
              <w:t>DB44/26-2001</w:t>
            </w:r>
            <w:r w:rsidRPr="00594082">
              <w:rPr>
                <w:rFonts w:hint="eastAsia"/>
              </w:rPr>
              <w:t>）第二时段一级标准及《城市污水再生利用城市杂用水水质》（</w:t>
            </w:r>
            <w:r w:rsidRPr="00594082">
              <w:rPr>
                <w:rFonts w:hint="eastAsia"/>
              </w:rPr>
              <w:t>GB/T18920-2002</w:t>
            </w:r>
            <w:r w:rsidRPr="00594082">
              <w:rPr>
                <w:rFonts w:hint="eastAsia"/>
              </w:rPr>
              <w:t>）“道路清扫、消防”标准中较严的指标要求后回用于厂区冲洗清洁用水，不外排。生活污水经三级化粪池处理达到《农田灌溉水质标准》（</w:t>
            </w:r>
            <w:r w:rsidRPr="00594082">
              <w:rPr>
                <w:rFonts w:hint="eastAsia"/>
              </w:rPr>
              <w:t>GB5084-2005</w:t>
            </w:r>
            <w:r w:rsidRPr="00594082">
              <w:rPr>
                <w:rFonts w:hint="eastAsia"/>
              </w:rPr>
              <w:t>）水作标准后用于附近农田灌溉，不外排。</w:t>
            </w:r>
          </w:p>
          <w:p w:rsidR="001251BD" w:rsidRDefault="001251BD" w:rsidP="001251BD">
            <w:pPr>
              <w:ind w:firstLine="480"/>
              <w:rPr>
                <w:rFonts w:hint="eastAsia"/>
              </w:rPr>
            </w:pPr>
            <w:r>
              <w:t>2</w:t>
            </w:r>
            <w:r>
              <w:rPr>
                <w:rFonts w:hint="eastAsia"/>
              </w:rPr>
              <w:t>、地下水污染防治措施及主要环境影响</w:t>
            </w:r>
          </w:p>
          <w:p w:rsidR="001251BD" w:rsidRPr="00E453F6" w:rsidRDefault="001251BD" w:rsidP="001251BD">
            <w:pPr>
              <w:ind w:firstLine="480"/>
              <w:rPr>
                <w:rFonts w:hint="eastAsia"/>
              </w:rPr>
            </w:pPr>
            <w:r>
              <w:rPr>
                <w:rFonts w:hint="eastAsia"/>
              </w:rPr>
              <w:t>项目采用分区防渗。露天修船区、加工区、钢材堆放区的一般固废暂存间等一般防渗区均采取粘土铺底，再在上层铺</w:t>
            </w:r>
            <w:r>
              <w:rPr>
                <w:rFonts w:hint="eastAsia"/>
              </w:rPr>
              <w:t>10~15cm</w:t>
            </w:r>
            <w:r>
              <w:rPr>
                <w:rFonts w:hint="eastAsia"/>
              </w:rPr>
              <w:t>的水泥进行硬化，通过上述措施可使一般污染区各单元防渗层渗透系数≤</w:t>
            </w:r>
            <w:r>
              <w:rPr>
                <w:rFonts w:hint="eastAsia"/>
              </w:rPr>
              <w:t>10-7cm/s</w:t>
            </w:r>
            <w:r>
              <w:rPr>
                <w:rFonts w:hint="eastAsia"/>
              </w:rPr>
              <w:t>。重点防渗区的危险废物暂存场要求按《广东省固体废物污染环境条例》及《危险废物贮存污染控制标准》规定，采用耐腐蚀、防渗透、防破裂的硬化地面，并配套防雨、防洪、防晒、防风等措施；重点防渗区的废水处理设</w:t>
            </w:r>
            <w:bookmarkStart w:id="0" w:name="_GoBack"/>
            <w:bookmarkEnd w:id="0"/>
            <w:r>
              <w:rPr>
                <w:rFonts w:hint="eastAsia"/>
              </w:rPr>
              <w:t>施、沉淀池、事故应急池、消防池和化粪池等均用水泥硬化，四周壁用砖砌再用水泥硬化防渗，</w:t>
            </w:r>
            <w:proofErr w:type="gramStart"/>
            <w:r>
              <w:rPr>
                <w:rFonts w:hint="eastAsia"/>
              </w:rPr>
              <w:t>全池涂环氧树脂</w:t>
            </w:r>
            <w:proofErr w:type="gramEnd"/>
            <w:r>
              <w:rPr>
                <w:rFonts w:hint="eastAsia"/>
              </w:rPr>
              <w:t>防腐防渗。项目对可能产生地下水影响的各项途径均进行有效预防，在确保各项防渗措施得以落实，并加强维护和厂区环境管理的前提下，可有效控制厂区内的废水污染物下渗现象，避免污染地下水。</w:t>
            </w:r>
          </w:p>
          <w:p w:rsidR="000F0CE3" w:rsidRDefault="001251BD" w:rsidP="000F0CE3">
            <w:pPr>
              <w:ind w:firstLine="480"/>
            </w:pPr>
            <w:r>
              <w:t>3</w:t>
            </w:r>
            <w:r w:rsidR="000F0CE3">
              <w:rPr>
                <w:rFonts w:hint="eastAsia"/>
              </w:rPr>
              <w:t>、环境空气保护措施及主要环境影响</w:t>
            </w:r>
          </w:p>
          <w:p w:rsidR="00594082" w:rsidRDefault="00594082" w:rsidP="000F0CE3">
            <w:pPr>
              <w:ind w:firstLine="480"/>
            </w:pPr>
            <w:r w:rsidRPr="00594082">
              <w:rPr>
                <w:rFonts w:hint="eastAsia"/>
              </w:rPr>
              <w:t>项目刷漆所产生的有机废气经一套移动式“</w:t>
            </w:r>
            <w:r w:rsidRPr="00594082">
              <w:rPr>
                <w:rFonts w:hint="eastAsia"/>
              </w:rPr>
              <w:t>UV</w:t>
            </w:r>
            <w:r w:rsidRPr="00594082">
              <w:rPr>
                <w:rFonts w:hint="eastAsia"/>
              </w:rPr>
              <w:t>光解</w:t>
            </w:r>
            <w:r w:rsidRPr="00594082">
              <w:rPr>
                <w:rFonts w:hint="eastAsia"/>
              </w:rPr>
              <w:t>+</w:t>
            </w:r>
            <w:r w:rsidRPr="00594082">
              <w:rPr>
                <w:rFonts w:hint="eastAsia"/>
              </w:rPr>
              <w:t>活性炭”设施处理，二甲苯及</w:t>
            </w:r>
            <w:r w:rsidRPr="00594082">
              <w:rPr>
                <w:rFonts w:hint="eastAsia"/>
              </w:rPr>
              <w:t>TVOC</w:t>
            </w:r>
            <w:r w:rsidRPr="00594082">
              <w:rPr>
                <w:rFonts w:hint="eastAsia"/>
              </w:rPr>
              <w:t>排放满足《集装箱制造业挥发性有机化合物排放标准》</w:t>
            </w:r>
            <w:r w:rsidRPr="00594082">
              <w:rPr>
                <w:rFonts w:hint="eastAsia"/>
              </w:rPr>
              <w:lastRenderedPageBreak/>
              <w:t>（</w:t>
            </w:r>
            <w:r w:rsidRPr="00594082">
              <w:rPr>
                <w:rFonts w:hint="eastAsia"/>
              </w:rPr>
              <w:t>DB44/1837-2016</w:t>
            </w:r>
            <w:r w:rsidRPr="00594082">
              <w:rPr>
                <w:rFonts w:hint="eastAsia"/>
              </w:rPr>
              <w:t>）Ⅱ时段和无组织排放监控点浓度限值要求。项目焊接烟尘采用移动式焊接烟尘净化机组进行收集处理，颗粒物排放满足广东省《大气污染物排放限值》（</w:t>
            </w:r>
            <w:r w:rsidRPr="00594082">
              <w:rPr>
                <w:rFonts w:hint="eastAsia"/>
              </w:rPr>
              <w:t>DB44/27-2001</w:t>
            </w:r>
            <w:r w:rsidRPr="00594082">
              <w:rPr>
                <w:rFonts w:hint="eastAsia"/>
              </w:rPr>
              <w:t>）第二时段无组织排放监控浓度限值。项目污水处理设施恶臭气体通过加强通风，同时采取喷洒除臭剂的方式减少污水处理站恶臭对环境的影响，污水处理站氨气、硫化氢排放满足《恶臭污染物排放标准》（</w:t>
            </w:r>
            <w:r w:rsidRPr="00594082">
              <w:rPr>
                <w:rFonts w:hint="eastAsia"/>
              </w:rPr>
              <w:t>GB14554-93</w:t>
            </w:r>
            <w:r w:rsidRPr="00594082">
              <w:rPr>
                <w:rFonts w:hint="eastAsia"/>
              </w:rPr>
              <w:t>）厂界标准值的新扩改建二级标准。</w:t>
            </w:r>
          </w:p>
          <w:p w:rsidR="000F0CE3" w:rsidRDefault="00BC6368" w:rsidP="000F0CE3">
            <w:pPr>
              <w:ind w:firstLine="480"/>
            </w:pPr>
            <w:r>
              <w:t>4</w:t>
            </w:r>
            <w:r w:rsidR="000F0CE3">
              <w:rPr>
                <w:rFonts w:hint="eastAsia"/>
              </w:rPr>
              <w:t>、声环境保护措施及主要环境影响</w:t>
            </w:r>
          </w:p>
          <w:p w:rsidR="000F0CE3" w:rsidRDefault="007D781A" w:rsidP="007D781A">
            <w:pPr>
              <w:ind w:firstLine="480"/>
            </w:pPr>
            <w:r>
              <w:rPr>
                <w:rFonts w:hint="eastAsia"/>
              </w:rPr>
              <w:t>项目优化平面布置，尽可能将高噪声源布置在远离厂界位置，加强厂区绿化；选用小功率、低噪声的设备；高噪声设备安装减振底座，安装位置具有减振台基础，在风机出口配置消声器。根据预测结果，昼间边界环境噪声可达到《工业企业厂界环境噪声排放标准》（</w:t>
            </w:r>
            <w:r>
              <w:rPr>
                <w:rFonts w:hint="eastAsia"/>
              </w:rPr>
              <w:t>GB12348-2008</w:t>
            </w:r>
            <w:r>
              <w:rPr>
                <w:rFonts w:hint="eastAsia"/>
              </w:rPr>
              <w:t>）</w:t>
            </w:r>
            <w:r>
              <w:rPr>
                <w:rFonts w:hint="eastAsia"/>
              </w:rPr>
              <w:t>4</w:t>
            </w:r>
            <w:r>
              <w:rPr>
                <w:rFonts w:hint="eastAsia"/>
              </w:rPr>
              <w:t>类标准。</w:t>
            </w:r>
          </w:p>
          <w:p w:rsidR="000F0CE3" w:rsidRDefault="00BC6368" w:rsidP="000F0CE3">
            <w:pPr>
              <w:ind w:firstLine="480"/>
            </w:pPr>
            <w:r>
              <w:t>5</w:t>
            </w:r>
            <w:r w:rsidR="000F0CE3">
              <w:rPr>
                <w:rFonts w:hint="eastAsia"/>
              </w:rPr>
              <w:t>、固体废物污染防治措施及主要环境影响</w:t>
            </w:r>
          </w:p>
          <w:p w:rsidR="00E453F6" w:rsidRDefault="007A7BD4" w:rsidP="00E453F6">
            <w:pPr>
              <w:ind w:firstLine="480"/>
            </w:pPr>
            <w:r w:rsidRPr="007A7BD4">
              <w:rPr>
                <w:rFonts w:hint="eastAsia"/>
              </w:rPr>
              <w:t>修理船舶过程中产生的铁锈、修船加工产生的废钢材边角料、焊接工序产生的焊渣、更换零部件过程中产生的废零部件、焊接烟尘过程中收集的烟尘属于一般工业固废，一般固废由物资回收公司回收利用。生活垃圾由当地环卫部门定期清运处理。机舱漏油由船东拉走进行处理。含油抹布、含油污泥、漆渣、废油漆桶及废活性炭等危险废物经收集后</w:t>
            </w:r>
            <w:proofErr w:type="gramStart"/>
            <w:r w:rsidRPr="007A7BD4">
              <w:rPr>
                <w:rFonts w:hint="eastAsia"/>
              </w:rPr>
              <w:t>暂存于危废暂存</w:t>
            </w:r>
            <w:proofErr w:type="gramEnd"/>
            <w:r w:rsidRPr="007A7BD4">
              <w:rPr>
                <w:rFonts w:hint="eastAsia"/>
              </w:rPr>
              <w:t>间，委托有资质单位回收处理。</w:t>
            </w:r>
          </w:p>
          <w:p w:rsidR="000F0CE3" w:rsidRDefault="00BC6368" w:rsidP="00E453F6">
            <w:pPr>
              <w:ind w:firstLine="480"/>
            </w:pPr>
            <w:r>
              <w:t>6</w:t>
            </w:r>
            <w:r w:rsidR="000F0CE3">
              <w:rPr>
                <w:rFonts w:hint="eastAsia"/>
              </w:rPr>
              <w:t>、风险防范措施及主要环境影响</w:t>
            </w:r>
          </w:p>
          <w:p w:rsidR="0059240A" w:rsidRDefault="0059240A" w:rsidP="000F0CE3">
            <w:pPr>
              <w:ind w:firstLine="480"/>
            </w:pPr>
            <w:r w:rsidRPr="0059240A">
              <w:rPr>
                <w:rFonts w:hint="eastAsia"/>
              </w:rPr>
              <w:t>本项目突发环境事件风险物质为丙酮和乙炔。项目风险源主要有化学品泄漏及由此而引发的火灾、爆炸风险事故，废气治理设施故障对周围大气污染和废水治理设施故障对周围水环境的影响等。项目生产中应加强安全生产管理，采取各种预防措施，杜绝事故发生，同时制定事故应急预案；在极端暴雨期（洪水期）停产，危险废物转移至厂区外的仓库，生产废水应及时进入废水处理设施进行处理并回用，废水处理设施应密闭，且清掏并收集完含油污泥，生活污水应及时消纳于农田灌溉。</w:t>
            </w:r>
          </w:p>
          <w:p w:rsidR="000F0CE3" w:rsidRDefault="00BC6368" w:rsidP="000F0CE3">
            <w:pPr>
              <w:ind w:firstLine="480"/>
            </w:pPr>
            <w:r>
              <w:lastRenderedPageBreak/>
              <w:t>7</w:t>
            </w:r>
            <w:r w:rsidR="000F0CE3">
              <w:rPr>
                <w:rFonts w:hint="eastAsia"/>
              </w:rPr>
              <w:t>、生态环境保护措施及主要环境影响</w:t>
            </w:r>
          </w:p>
          <w:p w:rsidR="00E453F6" w:rsidRDefault="007A7BD4" w:rsidP="00E453F6">
            <w:pPr>
              <w:ind w:firstLineChars="200" w:firstLine="420"/>
            </w:pPr>
            <w:r w:rsidRPr="007A7BD4">
              <w:rPr>
                <w:rFonts w:hint="eastAsia"/>
              </w:rPr>
              <w:t>运营期对周边陆地生态环境、水生态环境影响较小，不会对自然生态系统整体性、连续性和周围景观造成破坏。项目建成后，通过厂区绿化等措施，可以减少项目造成的生态影响。</w:t>
            </w:r>
          </w:p>
          <w:p w:rsidR="005307C3" w:rsidRPr="00906B7F" w:rsidRDefault="005307C3" w:rsidP="00E453F6">
            <w:pPr>
              <w:ind w:firstLineChars="200" w:firstLine="420"/>
              <w:rPr>
                <w:color w:val="FF0000"/>
              </w:rPr>
            </w:pPr>
          </w:p>
        </w:tc>
        <w:tc>
          <w:tcPr>
            <w:tcW w:w="1496" w:type="dxa"/>
            <w:vAlign w:val="center"/>
          </w:tcPr>
          <w:p w:rsidR="005307C3" w:rsidRDefault="00C33C79" w:rsidP="008D4551">
            <w:pPr>
              <w:rPr>
                <w:color w:val="FF0000"/>
              </w:rPr>
            </w:pPr>
            <w:r w:rsidRPr="00C33C79">
              <w:rPr>
                <w:rFonts w:hint="eastAsia"/>
              </w:rPr>
              <w:lastRenderedPageBreak/>
              <w:t>本</w:t>
            </w:r>
            <w:proofErr w:type="gramStart"/>
            <w:r w:rsidRPr="00C33C79">
              <w:rPr>
                <w:rFonts w:hint="eastAsia"/>
              </w:rPr>
              <w:t>项目环</w:t>
            </w:r>
            <w:proofErr w:type="gramEnd"/>
            <w:r w:rsidRPr="00C33C79">
              <w:rPr>
                <w:rFonts w:hint="eastAsia"/>
              </w:rPr>
              <w:t>评报告书已按《环境影响评价公众参与办法》要求进行公示，公示期间未收到公众反馈意见。</w:t>
            </w:r>
          </w:p>
        </w:tc>
      </w:tr>
    </w:tbl>
    <w:p w:rsidR="005307C3" w:rsidRDefault="00F74687">
      <w:pPr>
        <w:ind w:firstLineChars="1800" w:firstLine="5760"/>
        <w:rPr>
          <w:rFonts w:eastAsia="仿宋_GB2312"/>
          <w:sz w:val="32"/>
          <w:szCs w:val="32"/>
        </w:rPr>
      </w:pPr>
      <w:r>
        <w:rPr>
          <w:rFonts w:eastAsia="仿宋_GB2312"/>
          <w:sz w:val="32"/>
          <w:szCs w:val="32"/>
        </w:rPr>
        <w:lastRenderedPageBreak/>
        <w:t>201</w:t>
      </w:r>
      <w:r w:rsidR="00826809">
        <w:rPr>
          <w:rFonts w:eastAsia="仿宋_GB2312"/>
          <w:sz w:val="32"/>
          <w:szCs w:val="32"/>
        </w:rPr>
        <w:t>9</w:t>
      </w:r>
      <w:r>
        <w:rPr>
          <w:rFonts w:eastAsia="仿宋_GB2312"/>
          <w:sz w:val="32"/>
          <w:szCs w:val="32"/>
        </w:rPr>
        <w:t>年</w:t>
      </w:r>
      <w:r w:rsidR="00BC6368">
        <w:rPr>
          <w:rFonts w:eastAsia="仿宋_GB2312"/>
          <w:sz w:val="32"/>
          <w:szCs w:val="32"/>
        </w:rPr>
        <w:t>8</w:t>
      </w:r>
      <w:r>
        <w:rPr>
          <w:rFonts w:eastAsia="仿宋_GB2312"/>
          <w:sz w:val="32"/>
          <w:szCs w:val="32"/>
        </w:rPr>
        <w:t>月</w:t>
      </w:r>
      <w:r w:rsidR="00826809">
        <w:rPr>
          <w:rFonts w:eastAsia="仿宋_GB2312"/>
          <w:sz w:val="32"/>
          <w:szCs w:val="32"/>
        </w:rPr>
        <w:t>2</w:t>
      </w:r>
      <w:r w:rsidR="00BC6368">
        <w:rPr>
          <w:rFonts w:eastAsia="仿宋_GB2312"/>
          <w:sz w:val="32"/>
          <w:szCs w:val="32"/>
        </w:rPr>
        <w:t>8</w:t>
      </w:r>
      <w:r>
        <w:rPr>
          <w:rFonts w:eastAsia="仿宋_GB2312"/>
          <w:sz w:val="32"/>
          <w:szCs w:val="32"/>
        </w:rPr>
        <w:t>日</w:t>
      </w:r>
    </w:p>
    <w:sectPr w:rsidR="005307C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61" w:rsidRDefault="00893061">
      <w:r>
        <w:separator/>
      </w:r>
    </w:p>
  </w:endnote>
  <w:endnote w:type="continuationSeparator" w:id="0">
    <w:p w:rsidR="00893061" w:rsidRDefault="0089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61" w:rsidRDefault="00893061">
      <w:r>
        <w:separator/>
      </w:r>
    </w:p>
  </w:footnote>
  <w:footnote w:type="continuationSeparator" w:id="0">
    <w:p w:rsidR="00893061" w:rsidRDefault="0089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307C3"/>
    <w:rsid w:val="00006DA0"/>
    <w:rsid w:val="00051048"/>
    <w:rsid w:val="000705B0"/>
    <w:rsid w:val="000768B5"/>
    <w:rsid w:val="00090D57"/>
    <w:rsid w:val="000B11FB"/>
    <w:rsid w:val="000B3988"/>
    <w:rsid w:val="000F0CE3"/>
    <w:rsid w:val="000F0D5C"/>
    <w:rsid w:val="000F255D"/>
    <w:rsid w:val="00100511"/>
    <w:rsid w:val="001251BD"/>
    <w:rsid w:val="00150981"/>
    <w:rsid w:val="001D20EC"/>
    <w:rsid w:val="002531B8"/>
    <w:rsid w:val="00263EF0"/>
    <w:rsid w:val="00275140"/>
    <w:rsid w:val="0027688C"/>
    <w:rsid w:val="002F71DB"/>
    <w:rsid w:val="00306674"/>
    <w:rsid w:val="0031289A"/>
    <w:rsid w:val="003141FE"/>
    <w:rsid w:val="0031552F"/>
    <w:rsid w:val="0034188C"/>
    <w:rsid w:val="0034286E"/>
    <w:rsid w:val="0034358F"/>
    <w:rsid w:val="003A11A2"/>
    <w:rsid w:val="003B168B"/>
    <w:rsid w:val="003C1F97"/>
    <w:rsid w:val="003F5A68"/>
    <w:rsid w:val="00451870"/>
    <w:rsid w:val="004B5E69"/>
    <w:rsid w:val="00503931"/>
    <w:rsid w:val="005307C3"/>
    <w:rsid w:val="00532FAC"/>
    <w:rsid w:val="005913CE"/>
    <w:rsid w:val="0059240A"/>
    <w:rsid w:val="00593094"/>
    <w:rsid w:val="00594082"/>
    <w:rsid w:val="00601E39"/>
    <w:rsid w:val="00632F45"/>
    <w:rsid w:val="00680913"/>
    <w:rsid w:val="006C4B8B"/>
    <w:rsid w:val="006F6056"/>
    <w:rsid w:val="00767A6C"/>
    <w:rsid w:val="0077053E"/>
    <w:rsid w:val="007A7BD4"/>
    <w:rsid w:val="007D781A"/>
    <w:rsid w:val="00826809"/>
    <w:rsid w:val="00844ABA"/>
    <w:rsid w:val="008573E3"/>
    <w:rsid w:val="0085767A"/>
    <w:rsid w:val="008732A8"/>
    <w:rsid w:val="00881EAF"/>
    <w:rsid w:val="00893061"/>
    <w:rsid w:val="008B5D88"/>
    <w:rsid w:val="008D4551"/>
    <w:rsid w:val="00906B7F"/>
    <w:rsid w:val="0091254F"/>
    <w:rsid w:val="009156CA"/>
    <w:rsid w:val="00926F23"/>
    <w:rsid w:val="00980F03"/>
    <w:rsid w:val="009B0C51"/>
    <w:rsid w:val="00A0025F"/>
    <w:rsid w:val="00A23395"/>
    <w:rsid w:val="00A337F8"/>
    <w:rsid w:val="00A72594"/>
    <w:rsid w:val="00AE10F9"/>
    <w:rsid w:val="00AF11F7"/>
    <w:rsid w:val="00B50B9D"/>
    <w:rsid w:val="00B73022"/>
    <w:rsid w:val="00BC6368"/>
    <w:rsid w:val="00BE0A08"/>
    <w:rsid w:val="00BF1DF8"/>
    <w:rsid w:val="00C1783C"/>
    <w:rsid w:val="00C33C79"/>
    <w:rsid w:val="00C52DD3"/>
    <w:rsid w:val="00C94ADF"/>
    <w:rsid w:val="00CA5E1B"/>
    <w:rsid w:val="00D071A7"/>
    <w:rsid w:val="00D61394"/>
    <w:rsid w:val="00D67672"/>
    <w:rsid w:val="00D94E44"/>
    <w:rsid w:val="00DB017A"/>
    <w:rsid w:val="00E453F6"/>
    <w:rsid w:val="00E56111"/>
    <w:rsid w:val="00E673CD"/>
    <w:rsid w:val="00E6747B"/>
    <w:rsid w:val="00E6786C"/>
    <w:rsid w:val="00E738D1"/>
    <w:rsid w:val="00EB4741"/>
    <w:rsid w:val="00EF7390"/>
    <w:rsid w:val="00F23011"/>
    <w:rsid w:val="00F3283F"/>
    <w:rsid w:val="00F33C60"/>
    <w:rsid w:val="00F46C5A"/>
    <w:rsid w:val="00F74687"/>
    <w:rsid w:val="00F949F6"/>
    <w:rsid w:val="00FA10E3"/>
    <w:rsid w:val="00FA6FFC"/>
    <w:rsid w:val="00FD18FD"/>
    <w:rsid w:val="00FF3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EC3F6"/>
  <w15:docId w15:val="{1A2532E5-4F91-4A08-866B-7FE33111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ind w:firstLineChars="200" w:firstLine="420"/>
    </w:pPr>
    <w:rPr>
      <w:rFonts w:ascii="Calibri" w:hAnsi="Calibri" w:cs="黑体"/>
      <w:sz w:val="24"/>
      <w:szCs w:val="22"/>
    </w:rPr>
  </w:style>
  <w:style w:type="paragraph" w:styleId="a4">
    <w:name w:val="Body Text Indent"/>
    <w:basedOn w:val="a"/>
    <w:pPr>
      <w:spacing w:after="120"/>
      <w:ind w:leftChars="200" w:left="4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0"/>
      <w:szCs w:val="20"/>
    </w:rPr>
  </w:style>
  <w:style w:type="paragraph" w:customStyle="1" w:styleId="1">
    <w:name w:val="列出段落1"/>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Char">
    <w:name w:val="[正文格式] Char"/>
    <w:link w:val="aa"/>
    <w:qFormat/>
    <w:rPr>
      <w:rFonts w:cs="宋体"/>
      <w:kern w:val="2"/>
      <w:sz w:val="24"/>
    </w:rPr>
  </w:style>
  <w:style w:type="paragraph" w:customStyle="1" w:styleId="aa">
    <w:name w:val="[正文格式]"/>
    <w:basedOn w:val="a"/>
    <w:link w:val="Char"/>
    <w:pPr>
      <w:spacing w:line="440" w:lineRule="exact"/>
      <w:ind w:firstLineChars="200" w:firstLine="500"/>
    </w:pPr>
    <w:rPr>
      <w:rFonts w:cs="宋体"/>
      <w:sz w:val="24"/>
      <w:szCs w:val="20"/>
    </w:rPr>
  </w:style>
  <w:style w:type="character" w:customStyle="1" w:styleId="CharChar">
    <w:name w:val="正 文 Char Char"/>
    <w:link w:val="ab"/>
    <w:qFormat/>
    <w:rPr>
      <w:sz w:val="24"/>
    </w:rPr>
  </w:style>
  <w:style w:type="paragraph" w:customStyle="1" w:styleId="ab">
    <w:name w:val="正 文"/>
    <w:link w:val="CharChar"/>
    <w:qFormat/>
    <w:pPr>
      <w:widowControl w:val="0"/>
      <w:spacing w:line="480" w:lineRule="exact"/>
      <w:ind w:firstLine="471"/>
      <w:jc w:val="both"/>
    </w:pPr>
    <w:rPr>
      <w:sz w:val="24"/>
    </w:rPr>
  </w:style>
  <w:style w:type="character" w:customStyle="1" w:styleId="CharChar0">
    <w:name w:val="表格字体 Char Char"/>
    <w:link w:val="ac"/>
    <w:qFormat/>
    <w:rPr>
      <w:bCs/>
      <w:snapToGrid w:val="0"/>
      <w:color w:val="000000"/>
    </w:rPr>
  </w:style>
  <w:style w:type="paragraph" w:customStyle="1" w:styleId="ac">
    <w:name w:val="表格字体"/>
    <w:basedOn w:val="a"/>
    <w:link w:val="CharChar0"/>
    <w:pPr>
      <w:ind w:leftChars="-21" w:left="-12" w:rightChars="-15" w:right="-31" w:hangingChars="18" w:hanging="32"/>
      <w:jc w:val="center"/>
    </w:pPr>
    <w:rPr>
      <w:bCs/>
      <w:snapToGrid w:val="0"/>
      <w:color w:val="000000"/>
      <w:kern w:val="0"/>
      <w:sz w:val="20"/>
      <w:szCs w:val="20"/>
    </w:rPr>
  </w:style>
  <w:style w:type="paragraph" w:customStyle="1" w:styleId="CharCharCharChar1">
    <w:name w:val="Char Char Char Char1"/>
    <w:basedOn w:val="a"/>
    <w:qFormat/>
    <w:rPr>
      <w:szCs w:val="21"/>
    </w:rPr>
  </w:style>
  <w:style w:type="paragraph" w:customStyle="1" w:styleId="10">
    <w:name w:val="1"/>
    <w:basedOn w:val="a"/>
    <w:pPr>
      <w:spacing w:afterLines="50" w:line="560" w:lineRule="exact"/>
    </w:pPr>
    <w:rPr>
      <w:szCs w:val="20"/>
    </w:rPr>
  </w:style>
  <w:style w:type="paragraph" w:customStyle="1" w:styleId="ad">
    <w:name w:val="我的正文"/>
    <w:basedOn w:val="a"/>
    <w:link w:val="Char0"/>
    <w:qFormat/>
    <w:pPr>
      <w:spacing w:beforeLines="50" w:afterLines="50" w:line="360" w:lineRule="auto"/>
      <w:ind w:firstLineChars="200" w:firstLine="200"/>
    </w:pPr>
    <w:rPr>
      <w:sz w:val="24"/>
    </w:rPr>
  </w:style>
  <w:style w:type="character" w:customStyle="1" w:styleId="Char0">
    <w:name w:val="我的正文 Char"/>
    <w:link w:val="ad"/>
    <w:rPr>
      <w:kern w:val="2"/>
      <w:sz w:val="24"/>
      <w:szCs w:val="24"/>
    </w:rPr>
  </w:style>
  <w:style w:type="character" w:customStyle="1" w:styleId="26CharChar">
    <w:name w:val="样式 首行缩进:  2 字符6 Char Char"/>
    <w:link w:val="26"/>
    <w:rPr>
      <w:rFonts w:cs="宋体"/>
      <w:sz w:val="24"/>
    </w:rPr>
  </w:style>
  <w:style w:type="paragraph" w:customStyle="1" w:styleId="26">
    <w:name w:val="样式 首行缩进:  2 字符6"/>
    <w:basedOn w:val="a"/>
    <w:link w:val="26CharChar"/>
    <w:qFormat/>
    <w:pPr>
      <w:snapToGrid w:val="0"/>
      <w:spacing w:line="360" w:lineRule="auto"/>
      <w:ind w:firstLineChars="200" w:firstLine="480"/>
    </w:pPr>
    <w:rPr>
      <w:rFonts w:cs="宋体"/>
      <w:kern w:val="0"/>
      <w:sz w:val="24"/>
      <w:szCs w:val="20"/>
    </w:rPr>
  </w:style>
  <w:style w:type="paragraph" w:customStyle="1" w:styleId="YHY-GDB">
    <w:name w:val="正文（YHY-GDB)"/>
    <w:basedOn w:val="a"/>
    <w:link w:val="YHY-GDBChar"/>
    <w:qFormat/>
    <w:pPr>
      <w:spacing w:beforeLines="50" w:afterLines="50" w:line="360" w:lineRule="auto"/>
      <w:ind w:firstLineChars="200" w:firstLine="200"/>
    </w:pPr>
    <w:rPr>
      <w:sz w:val="24"/>
    </w:rPr>
  </w:style>
  <w:style w:type="character" w:customStyle="1" w:styleId="YHY-GDBChar">
    <w:name w:val="正文（YHY-GDB) Char"/>
    <w:basedOn w:val="a0"/>
    <w:link w:val="YHY-GDB"/>
    <w:rPr>
      <w:kern w:val="2"/>
      <w:sz w:val="24"/>
      <w:szCs w:val="24"/>
    </w:rPr>
  </w:style>
  <w:style w:type="paragraph" w:customStyle="1" w:styleId="ae">
    <w:name w:val="报告正文"/>
    <w:basedOn w:val="a"/>
    <w:pPr>
      <w:adjustRightInd w:val="0"/>
      <w:snapToGrid w:val="0"/>
      <w:spacing w:line="360" w:lineRule="auto"/>
      <w:ind w:firstLineChars="200" w:firstLine="200"/>
    </w:pPr>
    <w:rPr>
      <w:rFonts w:ascii="宋体"/>
      <w:sz w:val="24"/>
      <w:szCs w:val="20"/>
    </w:rPr>
  </w:style>
  <w:style w:type="paragraph" w:customStyle="1" w:styleId="11">
    <w:name w:val="表格样式1"/>
    <w:basedOn w:val="a"/>
    <w:qFormat/>
    <w:pPr>
      <w:adjustRightInd w:val="0"/>
      <w:spacing w:line="20" w:lineRule="atLeast"/>
      <w:ind w:firstLineChars="200" w:firstLine="200"/>
      <w:jc w:val="center"/>
      <w:textAlignment w:val="baseline"/>
    </w:pPr>
    <w:rPr>
      <w:rFonts w:ascii="宋体" w:hAnsi="宋体" w:cs="黑体"/>
      <w:kern w:val="0"/>
      <w:sz w:val="24"/>
      <w:szCs w:val="20"/>
    </w:rPr>
  </w:style>
  <w:style w:type="paragraph" w:customStyle="1" w:styleId="5">
    <w:name w:val="正文5"/>
    <w:next w:val="ab"/>
    <w:link w:val="Char1"/>
    <w:qFormat/>
    <w:pPr>
      <w:spacing w:line="480" w:lineRule="exact"/>
      <w:ind w:firstLine="482"/>
    </w:pPr>
    <w:rPr>
      <w:rFonts w:cs="宋体"/>
      <w:kern w:val="2"/>
      <w:sz w:val="24"/>
    </w:rPr>
  </w:style>
  <w:style w:type="character" w:customStyle="1" w:styleId="Char1">
    <w:name w:val="正文 Char1"/>
    <w:basedOn w:val="a0"/>
    <w:link w:val="5"/>
    <w:qFormat/>
    <w:rPr>
      <w:rFonts w:cs="宋体"/>
      <w:kern w:val="2"/>
      <w:sz w:val="24"/>
    </w:rPr>
  </w:style>
  <w:style w:type="paragraph" w:customStyle="1" w:styleId="01">
    <w:name w:val="正文01"/>
    <w:basedOn w:val="a"/>
    <w:link w:val="01Char"/>
    <w:qFormat/>
    <w:pPr>
      <w:spacing w:before="60" w:line="460" w:lineRule="exact"/>
      <w:ind w:firstLineChars="200" w:firstLine="200"/>
    </w:pPr>
    <w:rPr>
      <w:kern w:val="0"/>
      <w:sz w:val="24"/>
    </w:rPr>
  </w:style>
  <w:style w:type="character" w:customStyle="1" w:styleId="01Char">
    <w:name w:val="正文01 Char"/>
    <w:link w:val="01"/>
    <w:qFormat/>
    <w:rPr>
      <w:sz w:val="24"/>
      <w:szCs w:val="24"/>
    </w:rPr>
  </w:style>
  <w:style w:type="paragraph" w:customStyle="1" w:styleId="af">
    <w:name w:val="缩进"/>
    <w:basedOn w:val="a"/>
    <w:qFormat/>
    <w:pPr>
      <w:autoSpaceDE w:val="0"/>
      <w:autoSpaceDN w:val="0"/>
      <w:adjustRightInd w:val="0"/>
      <w:spacing w:line="400" w:lineRule="atLeast"/>
      <w:ind w:firstLine="425"/>
      <w:textAlignment w:val="baseline"/>
    </w:pPr>
    <w:rPr>
      <w:kern w:val="0"/>
      <w:sz w:val="24"/>
      <w:szCs w:val="20"/>
    </w:rPr>
  </w:style>
  <w:style w:type="paragraph" w:customStyle="1" w:styleId="12">
    <w:name w:val="列出段落1"/>
    <w:basedOn w:val="a"/>
    <w:uiPriority w:val="34"/>
    <w:qFormat/>
    <w:pPr>
      <w:ind w:firstLineChars="200" w:firstLine="420"/>
    </w:pPr>
    <w:rPr>
      <w:rFonts w:ascii="Calibri" w:hAnsi="Calibri" w:cs="黑体"/>
      <w:szCs w:val="22"/>
    </w:rPr>
  </w:style>
  <w:style w:type="paragraph" w:customStyle="1" w:styleId="21">
    <w:name w:val="正文2"/>
    <w:basedOn w:val="a"/>
    <w:qFormat/>
    <w:pPr>
      <w:widowControl/>
      <w:tabs>
        <w:tab w:val="left" w:pos="900"/>
        <w:tab w:val="left" w:pos="1080"/>
      </w:tabs>
      <w:autoSpaceDE w:val="0"/>
      <w:autoSpaceDN w:val="0"/>
      <w:adjustRightInd w:val="0"/>
      <w:snapToGrid w:val="0"/>
      <w:spacing w:line="360" w:lineRule="auto"/>
      <w:ind w:firstLineChars="200" w:firstLine="480"/>
    </w:pPr>
    <w:rPr>
      <w:rFonts w:cs="宋体"/>
      <w:kern w:val="0"/>
      <w:sz w:val="24"/>
      <w:lang w:val="zh-CN" w:bidi="en-US"/>
    </w:rPr>
  </w:style>
  <w:style w:type="paragraph" w:customStyle="1" w:styleId="260">
    <w:name w:val="样式 宋体 小四 行距: 固定值 26 磅"/>
    <w:basedOn w:val="a"/>
    <w:link w:val="26Char"/>
    <w:qFormat/>
    <w:pPr>
      <w:spacing w:line="520" w:lineRule="exact"/>
      <w:ind w:firstLineChars="200" w:firstLine="480"/>
    </w:pPr>
    <w:rPr>
      <w:rFonts w:cs="宋体"/>
      <w:sz w:val="24"/>
    </w:rPr>
  </w:style>
  <w:style w:type="character" w:customStyle="1" w:styleId="26Char">
    <w:name w:val="样式 宋体 小四 行距: 固定值 26 磅 Char"/>
    <w:link w:val="260"/>
    <w:qFormat/>
    <w:rPr>
      <w:rFonts w:cs="宋体"/>
      <w:kern w:val="2"/>
      <w:sz w:val="24"/>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af0">
    <w:name w:val="报告书正文"/>
    <w:basedOn w:val="af1"/>
    <w:qFormat/>
    <w:pPr>
      <w:adjustRightInd w:val="0"/>
      <w:snapToGrid w:val="0"/>
      <w:spacing w:after="0" w:line="360" w:lineRule="auto"/>
      <w:ind w:firstLineChars="200" w:firstLine="200"/>
    </w:pPr>
    <w:rPr>
      <w:sz w:val="24"/>
      <w:szCs w:val="20"/>
    </w:rPr>
  </w:style>
  <w:style w:type="paragraph" w:styleId="af2">
    <w:name w:val="Body Text"/>
    <w:basedOn w:val="a"/>
    <w:link w:val="af3"/>
    <w:pPr>
      <w:spacing w:after="120"/>
    </w:pPr>
  </w:style>
  <w:style w:type="character" w:customStyle="1" w:styleId="af3">
    <w:name w:val="正文文本 字符"/>
    <w:basedOn w:val="a0"/>
    <w:link w:val="af2"/>
    <w:rPr>
      <w:kern w:val="2"/>
      <w:sz w:val="21"/>
      <w:szCs w:val="24"/>
    </w:rPr>
  </w:style>
  <w:style w:type="paragraph" w:styleId="af1">
    <w:name w:val="Body Text First Indent"/>
    <w:basedOn w:val="af2"/>
    <w:link w:val="af4"/>
    <w:pPr>
      <w:ind w:firstLineChars="100" w:firstLine="420"/>
    </w:pPr>
  </w:style>
  <w:style w:type="character" w:customStyle="1" w:styleId="af4">
    <w:name w:val="正文文本首行缩进 字符"/>
    <w:basedOn w:val="af3"/>
    <w:link w:val="af1"/>
    <w:rPr>
      <w:kern w:val="2"/>
      <w:sz w:val="21"/>
      <w:szCs w:val="24"/>
    </w:rPr>
  </w:style>
  <w:style w:type="paragraph" w:styleId="af5">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Pages>
  <Words>366</Words>
  <Characters>2092</Characters>
  <Application>Microsoft Office Word</Application>
  <DocSecurity>0</DocSecurity>
  <Lines>17</Lines>
  <Paragraphs>4</Paragraphs>
  <ScaleCrop>false</ScaleCrop>
  <Company>mzms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环保窗口</dc:creator>
  <cp:lastModifiedBy>PCHSDS</cp:lastModifiedBy>
  <cp:revision>249</cp:revision>
  <dcterms:created xsi:type="dcterms:W3CDTF">2015-06-29T07:32:00Z</dcterms:created>
  <dcterms:modified xsi:type="dcterms:W3CDTF">2019-08-28T02:48:00Z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