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附件1</w:t>
      </w:r>
    </w:p>
    <w:p/>
    <w:p>
      <w:pPr>
        <w:spacing w:line="560" w:lineRule="exact"/>
        <w:jc w:val="center"/>
      </w:pPr>
      <w:r>
        <w:rPr>
          <w:rFonts w:hint="eastAsia" w:ascii="方正小标宋简体" w:eastAsia="方正小标宋简体"/>
          <w:sz w:val="44"/>
          <w:szCs w:val="44"/>
        </w:rPr>
        <w:t>标定地价的基本内容</w:t>
      </w:r>
    </w:p>
    <w:p>
      <w:pPr>
        <w:spacing w:line="560" w:lineRule="exact"/>
      </w:pPr>
    </w:p>
    <w:p>
      <w:pPr>
        <w:spacing w:line="560" w:lineRule="exact"/>
        <w:ind w:firstLine="640" w:firstLineChars="200"/>
      </w:pPr>
      <w:r>
        <w:rPr>
          <w:rFonts w:hint="eastAsia"/>
        </w:rPr>
        <w:t>一、本次公布的城镇国有建设用地标定地价（以下简称标定地价）的公示范围为《梅州市城市总体规划（2015-2030）》确定的梅江区城市建设区范围，辖3个街道（金山、江南、西郊）、4个镇（长沙、三角、城北、西阳），以及梅州高新技术产业园区辖区范围的规划建设区范围。</w:t>
      </w:r>
    </w:p>
    <w:p>
      <w:pPr>
        <w:pStyle w:val="13"/>
        <w:spacing w:line="560" w:lineRule="exact"/>
        <w:ind w:firstLine="640"/>
      </w:pPr>
      <w:r>
        <w:rPr>
          <w:rFonts w:hint="eastAsia"/>
        </w:rPr>
        <w:t>二、本次梅州城区（不含梅县区）城镇国有建设用地标定地价体系主要用地类型分为商服用地、住宅用地、混合用地（商住混合用地）、公共服务项目用地、工业用地共五种用途。价格单位为元/平方米，币种为人民币。各用途标定地价的内涵见下表：</w:t>
      </w:r>
      <w:r>
        <w:t xml:space="preserve"> </w:t>
      </w:r>
    </w:p>
    <w:p>
      <w:pPr>
        <w:pStyle w:val="13"/>
        <w:spacing w:line="560" w:lineRule="exact"/>
        <w:ind w:firstLine="640"/>
      </w:pPr>
    </w:p>
    <w:p>
      <w:pPr>
        <w:pStyle w:val="13"/>
        <w:spacing w:line="560" w:lineRule="exact"/>
        <w:ind w:firstLine="640"/>
        <w:sectPr>
          <w:footerReference r:id="rId3" w:type="default"/>
          <w:pgSz w:w="11906" w:h="16838"/>
          <w:pgMar w:top="1474" w:right="1701" w:bottom="1474" w:left="1701" w:header="851" w:footer="652" w:gutter="0"/>
          <w:pgNumType w:start="1"/>
          <w:cols w:space="425" w:num="1"/>
          <w:docGrid w:type="lines" w:linePitch="312" w:charSpace="0"/>
        </w:sectPr>
      </w:pPr>
    </w:p>
    <w:tbl>
      <w:tblPr>
        <w:tblStyle w:val="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225"/>
        <w:gridCol w:w="2417"/>
        <w:gridCol w:w="1875"/>
        <w:gridCol w:w="1949"/>
        <w:gridCol w:w="3668"/>
        <w:gridCol w:w="18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858" w:type="pct"/>
            <w:gridSpan w:val="2"/>
            <w:shd w:val="clear" w:color="auto" w:fill="auto"/>
            <w:noWrap/>
            <w:vAlign w:val="center"/>
          </w:tcPr>
          <w:p>
            <w:pPr>
              <w:adjustRightInd w:val="0"/>
              <w:snapToGrid w:val="0"/>
              <w:spacing w:before="108" w:beforeLines="25" w:after="108" w:afterLines="25"/>
              <w:jc w:val="center"/>
              <w:rPr>
                <w:rFonts w:ascii="仿宋_GB2312"/>
                <w:b/>
                <w:bCs/>
                <w:color w:val="000000"/>
                <w:sz w:val="28"/>
                <w:szCs w:val="28"/>
              </w:rPr>
            </w:pPr>
            <w:r>
              <w:rPr>
                <w:rFonts w:hint="eastAsia" w:ascii="仿宋_GB2312"/>
                <w:b/>
                <w:bCs/>
                <w:color w:val="000000"/>
                <w:sz w:val="28"/>
                <w:szCs w:val="28"/>
              </w:rPr>
              <w:t>用地类型</w:t>
            </w:r>
          </w:p>
        </w:tc>
        <w:tc>
          <w:tcPr>
            <w:tcW w:w="852" w:type="pct"/>
            <w:shd w:val="clear" w:color="auto" w:fill="auto"/>
            <w:vAlign w:val="center"/>
          </w:tcPr>
          <w:p>
            <w:pPr>
              <w:adjustRightInd w:val="0"/>
              <w:snapToGrid w:val="0"/>
              <w:spacing w:before="108" w:beforeLines="25" w:after="108" w:afterLines="25"/>
              <w:jc w:val="center"/>
              <w:rPr>
                <w:rFonts w:ascii="仿宋_GB2312"/>
                <w:b/>
                <w:bCs/>
                <w:color w:val="000000"/>
                <w:sz w:val="28"/>
                <w:szCs w:val="28"/>
              </w:rPr>
            </w:pPr>
            <w:r>
              <w:rPr>
                <w:rFonts w:hint="eastAsia" w:ascii="仿宋_GB2312"/>
                <w:b/>
                <w:bCs/>
                <w:color w:val="000000"/>
                <w:sz w:val="28"/>
                <w:szCs w:val="28"/>
              </w:rPr>
              <w:t>土地开发程度</w:t>
            </w:r>
          </w:p>
        </w:tc>
        <w:tc>
          <w:tcPr>
            <w:tcW w:w="661" w:type="pct"/>
            <w:shd w:val="clear" w:color="auto" w:fill="auto"/>
            <w:vAlign w:val="center"/>
          </w:tcPr>
          <w:p>
            <w:pPr>
              <w:adjustRightInd w:val="0"/>
              <w:snapToGrid w:val="0"/>
              <w:spacing w:before="108" w:beforeLines="25" w:after="108" w:afterLines="25"/>
              <w:jc w:val="center"/>
              <w:rPr>
                <w:rFonts w:ascii="仿宋_GB2312"/>
                <w:b/>
                <w:bCs/>
                <w:color w:val="000000"/>
                <w:sz w:val="28"/>
                <w:szCs w:val="28"/>
              </w:rPr>
            </w:pPr>
            <w:r>
              <w:rPr>
                <w:rFonts w:hint="eastAsia" w:ascii="仿宋_GB2312"/>
                <w:b/>
                <w:bCs/>
                <w:color w:val="000000"/>
                <w:sz w:val="28"/>
                <w:szCs w:val="28"/>
              </w:rPr>
              <w:t>容积率</w:t>
            </w:r>
          </w:p>
        </w:tc>
        <w:tc>
          <w:tcPr>
            <w:tcW w:w="687" w:type="pct"/>
            <w:shd w:val="clear" w:color="auto" w:fill="auto"/>
            <w:vAlign w:val="center"/>
          </w:tcPr>
          <w:p>
            <w:pPr>
              <w:adjustRightInd w:val="0"/>
              <w:snapToGrid w:val="0"/>
              <w:spacing w:before="108" w:beforeLines="25" w:after="108" w:afterLines="25"/>
              <w:jc w:val="center"/>
              <w:rPr>
                <w:rFonts w:ascii="仿宋_GB2312"/>
                <w:b/>
                <w:bCs/>
                <w:color w:val="000000"/>
                <w:sz w:val="28"/>
                <w:szCs w:val="28"/>
              </w:rPr>
            </w:pPr>
            <w:r>
              <w:rPr>
                <w:rFonts w:hint="eastAsia" w:ascii="仿宋_GB2312"/>
                <w:b/>
                <w:bCs/>
                <w:color w:val="000000"/>
                <w:sz w:val="28"/>
                <w:szCs w:val="28"/>
              </w:rPr>
              <w:t>价格类型</w:t>
            </w:r>
          </w:p>
        </w:tc>
        <w:tc>
          <w:tcPr>
            <w:tcW w:w="1293" w:type="pct"/>
            <w:shd w:val="clear" w:color="auto" w:fill="auto"/>
            <w:vAlign w:val="center"/>
          </w:tcPr>
          <w:p>
            <w:pPr>
              <w:adjustRightInd w:val="0"/>
              <w:snapToGrid w:val="0"/>
              <w:spacing w:before="108" w:beforeLines="25" w:after="108" w:afterLines="25"/>
              <w:jc w:val="center"/>
              <w:rPr>
                <w:rFonts w:ascii="仿宋_GB2312"/>
                <w:b/>
                <w:bCs/>
                <w:color w:val="000000"/>
                <w:sz w:val="28"/>
                <w:szCs w:val="28"/>
              </w:rPr>
            </w:pPr>
            <w:r>
              <w:rPr>
                <w:rFonts w:hint="eastAsia" w:ascii="仿宋_GB2312"/>
                <w:b/>
                <w:bCs/>
                <w:color w:val="000000"/>
                <w:sz w:val="28"/>
                <w:szCs w:val="28"/>
              </w:rPr>
              <w:t>权利特征</w:t>
            </w:r>
          </w:p>
        </w:tc>
        <w:tc>
          <w:tcPr>
            <w:tcW w:w="646" w:type="pct"/>
            <w:shd w:val="clear" w:color="auto" w:fill="auto"/>
            <w:vAlign w:val="center"/>
          </w:tcPr>
          <w:p>
            <w:pPr>
              <w:adjustRightInd w:val="0"/>
              <w:snapToGrid w:val="0"/>
              <w:spacing w:before="108" w:beforeLines="25" w:after="108" w:afterLines="25"/>
              <w:jc w:val="center"/>
              <w:rPr>
                <w:rFonts w:ascii="仿宋_GB2312"/>
                <w:b/>
                <w:bCs/>
                <w:color w:val="000000"/>
                <w:sz w:val="28"/>
                <w:szCs w:val="28"/>
              </w:rPr>
            </w:pPr>
            <w:r>
              <w:rPr>
                <w:rFonts w:hint="eastAsia" w:ascii="仿宋_GB2312"/>
                <w:b/>
                <w:bCs/>
                <w:color w:val="000000"/>
                <w:sz w:val="28"/>
                <w:szCs w:val="28"/>
              </w:rPr>
              <w:t>使用年期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8" w:type="pct"/>
            <w:gridSpan w:val="2"/>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商服用地</w:t>
            </w:r>
          </w:p>
        </w:tc>
        <w:tc>
          <w:tcPr>
            <w:tcW w:w="852" w:type="pct"/>
            <w:vMerge w:val="restar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设定开发程度为宗地红线外五通（包括通上水、通下水、通电、通路、通讯），宗地红线内场地平整，即“五通一平”</w:t>
            </w:r>
          </w:p>
        </w:tc>
        <w:tc>
          <w:tcPr>
            <w:tcW w:w="661"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1.50</w:t>
            </w:r>
            <w:r>
              <w:rPr>
                <w:rFonts w:hint="eastAsia" w:ascii="仿宋_GB2312" w:hAnsi="宋体" w:cs="宋体"/>
                <w:color w:val="000000"/>
                <w:kern w:val="0"/>
                <w:sz w:val="28"/>
                <w:szCs w:val="28"/>
              </w:rPr>
              <w:t>～</w:t>
            </w:r>
            <w:r>
              <w:rPr>
                <w:rFonts w:hint="eastAsia" w:ascii="仿宋_GB2312"/>
                <w:color w:val="000000"/>
                <w:sz w:val="28"/>
                <w:szCs w:val="28"/>
              </w:rPr>
              <w:t>3.94</w:t>
            </w:r>
          </w:p>
        </w:tc>
        <w:tc>
          <w:tcPr>
            <w:tcW w:w="687"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平均楼面地价</w:t>
            </w:r>
          </w:p>
        </w:tc>
        <w:tc>
          <w:tcPr>
            <w:tcW w:w="1293"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具有相对完整的国有出让土地权利，不考虑抵押权、地役权等他项权利的限制</w:t>
            </w:r>
          </w:p>
        </w:tc>
        <w:tc>
          <w:tcPr>
            <w:tcW w:w="646"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40年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8" w:type="pct"/>
            <w:gridSpan w:val="2"/>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住宅用地</w:t>
            </w:r>
          </w:p>
        </w:tc>
        <w:tc>
          <w:tcPr>
            <w:tcW w:w="852" w:type="pct"/>
            <w:vMerge w:val="continue"/>
            <w:vAlign w:val="center"/>
          </w:tcPr>
          <w:p>
            <w:pPr>
              <w:adjustRightInd w:val="0"/>
              <w:snapToGrid w:val="0"/>
              <w:spacing w:before="108" w:beforeLines="25" w:after="108" w:afterLines="25"/>
              <w:rPr>
                <w:rFonts w:ascii="仿宋_GB2312"/>
                <w:color w:val="000000"/>
                <w:sz w:val="28"/>
                <w:szCs w:val="28"/>
              </w:rPr>
            </w:pPr>
          </w:p>
        </w:tc>
        <w:tc>
          <w:tcPr>
            <w:tcW w:w="661"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1.27</w:t>
            </w:r>
            <w:r>
              <w:rPr>
                <w:rFonts w:hint="eastAsia" w:ascii="仿宋_GB2312" w:hAnsi="宋体" w:cs="宋体"/>
                <w:color w:val="000000"/>
                <w:kern w:val="0"/>
                <w:sz w:val="28"/>
                <w:szCs w:val="28"/>
              </w:rPr>
              <w:t>～</w:t>
            </w:r>
            <w:r>
              <w:rPr>
                <w:rFonts w:hint="eastAsia" w:ascii="仿宋_GB2312"/>
                <w:color w:val="000000"/>
                <w:sz w:val="28"/>
                <w:szCs w:val="28"/>
              </w:rPr>
              <w:t>5.21</w:t>
            </w:r>
          </w:p>
        </w:tc>
        <w:tc>
          <w:tcPr>
            <w:tcW w:w="687"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平均楼面地价</w:t>
            </w:r>
          </w:p>
        </w:tc>
        <w:tc>
          <w:tcPr>
            <w:tcW w:w="1293"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具有相对完整的国有出让土地权利，不考虑抵押权、地役权等他项权利的限制</w:t>
            </w:r>
            <w:bookmarkStart w:id="0" w:name="_GoBack"/>
            <w:bookmarkEnd w:id="0"/>
          </w:p>
        </w:tc>
        <w:tc>
          <w:tcPr>
            <w:tcW w:w="646"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70年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6"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混合用地</w:t>
            </w:r>
          </w:p>
        </w:tc>
        <w:tc>
          <w:tcPr>
            <w:tcW w:w="432"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商住混合用地</w:t>
            </w:r>
          </w:p>
        </w:tc>
        <w:tc>
          <w:tcPr>
            <w:tcW w:w="852" w:type="pct"/>
            <w:vMerge w:val="continue"/>
            <w:vAlign w:val="center"/>
          </w:tcPr>
          <w:p>
            <w:pPr>
              <w:adjustRightInd w:val="0"/>
              <w:snapToGrid w:val="0"/>
              <w:spacing w:before="108" w:beforeLines="25" w:after="108" w:afterLines="25"/>
              <w:rPr>
                <w:rFonts w:ascii="仿宋_GB2312"/>
                <w:color w:val="000000"/>
                <w:sz w:val="28"/>
                <w:szCs w:val="28"/>
              </w:rPr>
            </w:pPr>
          </w:p>
        </w:tc>
        <w:tc>
          <w:tcPr>
            <w:tcW w:w="661"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1.53</w:t>
            </w:r>
            <w:r>
              <w:rPr>
                <w:rFonts w:hint="eastAsia" w:ascii="仿宋_GB2312" w:hAnsi="宋体" w:cs="宋体"/>
                <w:color w:val="000000"/>
                <w:kern w:val="0"/>
                <w:sz w:val="28"/>
                <w:szCs w:val="28"/>
              </w:rPr>
              <w:t>～</w:t>
            </w:r>
            <w:r>
              <w:rPr>
                <w:rFonts w:hint="eastAsia" w:ascii="仿宋_GB2312"/>
                <w:color w:val="000000"/>
                <w:sz w:val="28"/>
                <w:szCs w:val="28"/>
              </w:rPr>
              <w:t>12.64</w:t>
            </w:r>
          </w:p>
        </w:tc>
        <w:tc>
          <w:tcPr>
            <w:tcW w:w="687"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平均楼面地价</w:t>
            </w:r>
          </w:p>
        </w:tc>
        <w:tc>
          <w:tcPr>
            <w:tcW w:w="1293"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具有相对完整的国有出让土地权利，不考虑抵押权、地役权等他项权利的限制</w:t>
            </w:r>
          </w:p>
        </w:tc>
        <w:tc>
          <w:tcPr>
            <w:tcW w:w="646"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商服用地40年，住宅用地70年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8" w:type="pct"/>
            <w:gridSpan w:val="2"/>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公共服务项目用地</w:t>
            </w:r>
          </w:p>
        </w:tc>
        <w:tc>
          <w:tcPr>
            <w:tcW w:w="852" w:type="pct"/>
            <w:vMerge w:val="continue"/>
            <w:vAlign w:val="center"/>
          </w:tcPr>
          <w:p>
            <w:pPr>
              <w:adjustRightInd w:val="0"/>
              <w:snapToGrid w:val="0"/>
              <w:spacing w:before="108" w:beforeLines="25" w:after="108" w:afterLines="25"/>
              <w:rPr>
                <w:rFonts w:ascii="仿宋_GB2312"/>
                <w:color w:val="000000"/>
                <w:sz w:val="28"/>
                <w:szCs w:val="28"/>
              </w:rPr>
            </w:pPr>
          </w:p>
        </w:tc>
        <w:tc>
          <w:tcPr>
            <w:tcW w:w="661"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0.81</w:t>
            </w:r>
            <w:r>
              <w:rPr>
                <w:rFonts w:hint="eastAsia" w:ascii="仿宋_GB2312" w:hAnsi="宋体" w:cs="宋体"/>
                <w:color w:val="000000"/>
                <w:kern w:val="0"/>
                <w:sz w:val="28"/>
                <w:szCs w:val="28"/>
              </w:rPr>
              <w:t>～</w:t>
            </w:r>
            <w:r>
              <w:rPr>
                <w:rFonts w:hint="eastAsia" w:ascii="仿宋_GB2312"/>
                <w:color w:val="000000"/>
                <w:sz w:val="28"/>
                <w:szCs w:val="28"/>
              </w:rPr>
              <w:t>1.50</w:t>
            </w:r>
          </w:p>
        </w:tc>
        <w:tc>
          <w:tcPr>
            <w:tcW w:w="687"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平均楼面地价</w:t>
            </w:r>
          </w:p>
        </w:tc>
        <w:tc>
          <w:tcPr>
            <w:tcW w:w="1293"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具有相对完整的国有出让土地权利，不考虑抵押权、地役权等他项权利的限制</w:t>
            </w:r>
          </w:p>
        </w:tc>
        <w:tc>
          <w:tcPr>
            <w:tcW w:w="646"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50年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8" w:type="pct"/>
            <w:gridSpan w:val="2"/>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工业用地</w:t>
            </w:r>
          </w:p>
        </w:tc>
        <w:tc>
          <w:tcPr>
            <w:tcW w:w="852" w:type="pct"/>
            <w:vMerge w:val="continue"/>
            <w:vAlign w:val="center"/>
          </w:tcPr>
          <w:p>
            <w:pPr>
              <w:adjustRightInd w:val="0"/>
              <w:snapToGrid w:val="0"/>
              <w:spacing w:before="108" w:beforeLines="25" w:after="108" w:afterLines="25"/>
              <w:rPr>
                <w:rFonts w:ascii="仿宋_GB2312"/>
                <w:color w:val="000000"/>
                <w:sz w:val="28"/>
                <w:szCs w:val="28"/>
              </w:rPr>
            </w:pPr>
          </w:p>
        </w:tc>
        <w:tc>
          <w:tcPr>
            <w:tcW w:w="661"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0.08</w:t>
            </w:r>
            <w:r>
              <w:rPr>
                <w:rFonts w:hint="eastAsia" w:ascii="仿宋_GB2312" w:hAnsi="宋体" w:cs="宋体"/>
                <w:color w:val="000000"/>
                <w:kern w:val="0"/>
                <w:sz w:val="28"/>
                <w:szCs w:val="28"/>
              </w:rPr>
              <w:t>～</w:t>
            </w:r>
            <w:r>
              <w:rPr>
                <w:rFonts w:hint="eastAsia" w:ascii="仿宋_GB2312"/>
                <w:color w:val="000000"/>
                <w:sz w:val="28"/>
                <w:szCs w:val="28"/>
              </w:rPr>
              <w:t>2.29</w:t>
            </w:r>
          </w:p>
        </w:tc>
        <w:tc>
          <w:tcPr>
            <w:tcW w:w="687"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地面地价</w:t>
            </w:r>
          </w:p>
        </w:tc>
        <w:tc>
          <w:tcPr>
            <w:tcW w:w="1293"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具有相对完整的国有出让土地权利，不考虑抵押权、地役权等他项权利的限制</w:t>
            </w:r>
          </w:p>
        </w:tc>
        <w:tc>
          <w:tcPr>
            <w:tcW w:w="646" w:type="pct"/>
            <w:shd w:val="clear" w:color="auto" w:fill="auto"/>
            <w:vAlign w:val="center"/>
          </w:tcPr>
          <w:p>
            <w:pPr>
              <w:adjustRightInd w:val="0"/>
              <w:snapToGrid w:val="0"/>
              <w:spacing w:before="108" w:beforeLines="25" w:after="108" w:afterLines="25"/>
              <w:jc w:val="center"/>
              <w:rPr>
                <w:rFonts w:ascii="仿宋_GB2312"/>
                <w:color w:val="000000"/>
                <w:sz w:val="28"/>
                <w:szCs w:val="28"/>
              </w:rPr>
            </w:pPr>
            <w:r>
              <w:rPr>
                <w:rFonts w:hint="eastAsia" w:ascii="仿宋_GB2312"/>
                <w:color w:val="000000"/>
                <w:sz w:val="28"/>
                <w:szCs w:val="28"/>
              </w:rPr>
              <w:t>50年</w:t>
            </w:r>
          </w:p>
        </w:tc>
      </w:tr>
    </w:tbl>
    <w:p>
      <w:pPr>
        <w:spacing w:line="40" w:lineRule="exact"/>
        <w:rPr>
          <w:sz w:val="24"/>
          <w:szCs w:val="24"/>
        </w:rPr>
      </w:pPr>
    </w:p>
    <w:p>
      <w:pPr>
        <w:ind w:firstLine="400" w:firstLineChars="200"/>
        <w:jc w:val="left"/>
        <w:rPr>
          <w:rFonts w:ascii="仿宋_GB2312" w:hAnsi="宋体"/>
          <w:sz w:val="20"/>
          <w:szCs w:val="20"/>
        </w:rPr>
      </w:pPr>
    </w:p>
    <w:p>
      <w:pPr>
        <w:jc w:val="right"/>
      </w:pPr>
    </w:p>
    <w:p>
      <w:pPr>
        <w:jc w:val="right"/>
        <w:sectPr>
          <w:pgSz w:w="16838" w:h="11906" w:orient="landscape"/>
          <w:pgMar w:top="1800" w:right="1440" w:bottom="1800" w:left="1440" w:header="851" w:footer="992" w:gutter="0"/>
          <w:cols w:space="425" w:num="1"/>
          <w:docGrid w:type="lines" w:linePitch="435" w:charSpace="0"/>
        </w:sectPr>
      </w:pPr>
    </w:p>
    <w:p>
      <w:pPr>
        <w:pStyle w:val="13"/>
        <w:spacing w:line="500" w:lineRule="exact"/>
        <w:ind w:firstLine="640"/>
        <w:jc w:val="left"/>
      </w:pPr>
      <w:r>
        <w:rPr>
          <w:rFonts w:hint="eastAsia"/>
        </w:rPr>
        <w:t>三、本次标定地价的估价期日设定为2019年1月1日。</w:t>
      </w:r>
    </w:p>
    <w:p>
      <w:pPr>
        <w:spacing w:after="156" w:afterLines="50" w:line="500" w:lineRule="exact"/>
        <w:ind w:firstLine="640" w:firstLineChars="200"/>
      </w:pPr>
      <w:r>
        <w:rPr>
          <w:rFonts w:hint="eastAsia"/>
        </w:rPr>
        <w:t>四、参考《土地利用现状分类》（GB/T 21010-2017），进一步将标定地价的土地用途细分至二级类。具体如下表：</w:t>
      </w:r>
    </w:p>
    <w:tbl>
      <w:tblPr>
        <w:tblStyle w:val="7"/>
        <w:tblW w:w="8740" w:type="dxa"/>
        <w:tblInd w:w="0" w:type="dxa"/>
        <w:tblLayout w:type="fixed"/>
        <w:tblCellMar>
          <w:top w:w="0" w:type="dxa"/>
          <w:left w:w="108" w:type="dxa"/>
          <w:bottom w:w="0" w:type="dxa"/>
          <w:right w:w="108" w:type="dxa"/>
        </w:tblCellMar>
      </w:tblPr>
      <w:tblGrid>
        <w:gridCol w:w="960"/>
        <w:gridCol w:w="1587"/>
        <w:gridCol w:w="1984"/>
        <w:gridCol w:w="4209"/>
      </w:tblGrid>
      <w:tr>
        <w:tblPrEx>
          <w:tblCellMar>
            <w:top w:w="0" w:type="dxa"/>
            <w:left w:w="108" w:type="dxa"/>
            <w:bottom w:w="0" w:type="dxa"/>
            <w:right w:w="108" w:type="dxa"/>
          </w:tblCellMar>
        </w:tblPrEx>
        <w:trPr>
          <w:cantSplit/>
          <w:trHeight w:val="680" w:hRule="atLeast"/>
          <w:tblHeader/>
        </w:trPr>
        <w:tc>
          <w:tcPr>
            <w:tcW w:w="25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b/>
                <w:bCs/>
                <w:sz w:val="28"/>
                <w:szCs w:val="28"/>
              </w:rPr>
            </w:pPr>
            <w:r>
              <w:rPr>
                <w:rFonts w:hint="eastAsia" w:ascii="仿宋_GB2312" w:hAnsi="仿宋" w:cs="宋体"/>
                <w:b/>
                <w:bCs/>
                <w:sz w:val="28"/>
                <w:szCs w:val="28"/>
              </w:rPr>
              <w:t>标定地价评估用途</w:t>
            </w:r>
          </w:p>
        </w:tc>
        <w:tc>
          <w:tcPr>
            <w:tcW w:w="198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b/>
                <w:bCs/>
                <w:sz w:val="28"/>
                <w:szCs w:val="28"/>
              </w:rPr>
            </w:pPr>
            <w:r>
              <w:rPr>
                <w:rFonts w:hint="eastAsia" w:ascii="仿宋_GB2312" w:hAnsi="仿宋" w:cs="宋体"/>
                <w:b/>
                <w:bCs/>
                <w:sz w:val="28"/>
                <w:szCs w:val="28"/>
              </w:rPr>
              <w:t>一级类</w:t>
            </w:r>
          </w:p>
        </w:tc>
        <w:tc>
          <w:tcPr>
            <w:tcW w:w="420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b/>
                <w:bCs/>
                <w:sz w:val="28"/>
                <w:szCs w:val="28"/>
              </w:rPr>
            </w:pPr>
            <w:r>
              <w:rPr>
                <w:rFonts w:hint="eastAsia" w:ascii="仿宋_GB2312" w:hAnsi="仿宋" w:cs="宋体"/>
                <w:b/>
                <w:bCs/>
                <w:sz w:val="28"/>
                <w:szCs w:val="28"/>
              </w:rPr>
              <w:t>二级类</w:t>
            </w:r>
          </w:p>
        </w:tc>
      </w:tr>
      <w:tr>
        <w:tblPrEx>
          <w:tblCellMar>
            <w:top w:w="0" w:type="dxa"/>
            <w:left w:w="108" w:type="dxa"/>
            <w:bottom w:w="0" w:type="dxa"/>
            <w:right w:w="108" w:type="dxa"/>
          </w:tblCellMar>
        </w:tblPrEx>
        <w:trPr>
          <w:cantSplit/>
          <w:trHeight w:val="680" w:hRule="atLeast"/>
        </w:trPr>
        <w:tc>
          <w:tcPr>
            <w:tcW w:w="25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商服用地</w:t>
            </w:r>
          </w:p>
        </w:tc>
        <w:tc>
          <w:tcPr>
            <w:tcW w:w="1984" w:type="dxa"/>
            <w:tcBorders>
              <w:top w:val="nil"/>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商服用地</w:t>
            </w:r>
          </w:p>
        </w:tc>
        <w:tc>
          <w:tcPr>
            <w:tcW w:w="4209" w:type="dxa"/>
            <w:tcBorders>
              <w:top w:val="nil"/>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零售商业用地、批发市场用地、餐饮用地、其他商服用地</w:t>
            </w:r>
          </w:p>
        </w:tc>
      </w:tr>
      <w:tr>
        <w:tblPrEx>
          <w:tblCellMar>
            <w:top w:w="0" w:type="dxa"/>
            <w:left w:w="108" w:type="dxa"/>
            <w:bottom w:w="0" w:type="dxa"/>
            <w:right w:w="108" w:type="dxa"/>
          </w:tblCellMar>
        </w:tblPrEx>
        <w:trPr>
          <w:cantSplit/>
          <w:trHeight w:val="680" w:hRule="atLeast"/>
        </w:trPr>
        <w:tc>
          <w:tcPr>
            <w:tcW w:w="25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住宅用地</w:t>
            </w:r>
          </w:p>
        </w:tc>
        <w:tc>
          <w:tcPr>
            <w:tcW w:w="1984" w:type="dxa"/>
            <w:tcBorders>
              <w:top w:val="nil"/>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住宅用地</w:t>
            </w:r>
          </w:p>
        </w:tc>
        <w:tc>
          <w:tcPr>
            <w:tcW w:w="4209" w:type="dxa"/>
            <w:tcBorders>
              <w:top w:val="nil"/>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城镇住宅用地</w:t>
            </w:r>
          </w:p>
        </w:tc>
      </w:tr>
      <w:tr>
        <w:tblPrEx>
          <w:tblCellMar>
            <w:top w:w="0" w:type="dxa"/>
            <w:left w:w="108" w:type="dxa"/>
            <w:bottom w:w="0" w:type="dxa"/>
            <w:right w:w="108" w:type="dxa"/>
          </w:tblCellMar>
        </w:tblPrEx>
        <w:trPr>
          <w:cantSplit/>
          <w:trHeight w:val="68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混合用地</w:t>
            </w:r>
          </w:p>
        </w:tc>
        <w:tc>
          <w:tcPr>
            <w:tcW w:w="1587" w:type="dxa"/>
            <w:tcBorders>
              <w:top w:val="nil"/>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商住混合用地</w:t>
            </w:r>
          </w:p>
        </w:tc>
        <w:tc>
          <w:tcPr>
            <w:tcW w:w="1984" w:type="dxa"/>
            <w:tcBorders>
              <w:top w:val="nil"/>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商服用地、住宅用地</w:t>
            </w:r>
          </w:p>
        </w:tc>
        <w:tc>
          <w:tcPr>
            <w:tcW w:w="4209" w:type="dxa"/>
            <w:tcBorders>
              <w:top w:val="nil"/>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零售商业用地、批发市场用地、餐饮用地、其他商服用地、城镇住宅用地</w:t>
            </w:r>
          </w:p>
        </w:tc>
      </w:tr>
      <w:tr>
        <w:tblPrEx>
          <w:tblCellMar>
            <w:top w:w="0" w:type="dxa"/>
            <w:left w:w="108" w:type="dxa"/>
            <w:bottom w:w="0" w:type="dxa"/>
            <w:right w:w="108" w:type="dxa"/>
          </w:tblCellMar>
        </w:tblPrEx>
        <w:trPr>
          <w:cantSplit/>
          <w:trHeight w:val="680" w:hRule="atLeast"/>
        </w:trPr>
        <w:tc>
          <w:tcPr>
            <w:tcW w:w="25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公共服务项目用地</w:t>
            </w:r>
          </w:p>
        </w:tc>
        <w:tc>
          <w:tcPr>
            <w:tcW w:w="1984" w:type="dxa"/>
            <w:tcBorders>
              <w:top w:val="nil"/>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公共管理与公共服务用地</w:t>
            </w:r>
          </w:p>
        </w:tc>
        <w:tc>
          <w:tcPr>
            <w:tcW w:w="4209" w:type="dxa"/>
            <w:tcBorders>
              <w:top w:val="nil"/>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教育用地、医疗卫生用地</w:t>
            </w:r>
          </w:p>
        </w:tc>
      </w:tr>
      <w:tr>
        <w:tblPrEx>
          <w:tblCellMar>
            <w:top w:w="0" w:type="dxa"/>
            <w:left w:w="108" w:type="dxa"/>
            <w:bottom w:w="0" w:type="dxa"/>
            <w:right w:w="108" w:type="dxa"/>
          </w:tblCellMar>
        </w:tblPrEx>
        <w:trPr>
          <w:cantSplit/>
          <w:trHeight w:val="680" w:hRule="atLeast"/>
        </w:trPr>
        <w:tc>
          <w:tcPr>
            <w:tcW w:w="25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工业用地</w:t>
            </w:r>
          </w:p>
        </w:tc>
        <w:tc>
          <w:tcPr>
            <w:tcW w:w="1984" w:type="dxa"/>
            <w:tcBorders>
              <w:top w:val="nil"/>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工矿仓储用地</w:t>
            </w:r>
          </w:p>
        </w:tc>
        <w:tc>
          <w:tcPr>
            <w:tcW w:w="4209" w:type="dxa"/>
            <w:tcBorders>
              <w:top w:val="nil"/>
              <w:left w:val="nil"/>
              <w:bottom w:val="single" w:color="auto" w:sz="4" w:space="0"/>
              <w:right w:val="single" w:color="auto" w:sz="4" w:space="0"/>
            </w:tcBorders>
            <w:shd w:val="clear" w:color="auto" w:fill="auto"/>
            <w:vAlign w:val="center"/>
          </w:tcPr>
          <w:p>
            <w:pPr>
              <w:adjustRightInd w:val="0"/>
              <w:snapToGrid w:val="0"/>
              <w:spacing w:before="78" w:beforeLines="25" w:after="78" w:afterLines="25"/>
              <w:jc w:val="center"/>
              <w:rPr>
                <w:rFonts w:ascii="仿宋_GB2312" w:hAnsi="仿宋" w:cs="宋体"/>
                <w:sz w:val="28"/>
                <w:szCs w:val="28"/>
              </w:rPr>
            </w:pPr>
            <w:r>
              <w:rPr>
                <w:rFonts w:hint="eastAsia" w:ascii="仿宋_GB2312" w:hAnsi="仿宋" w:cs="宋体"/>
                <w:sz w:val="28"/>
                <w:szCs w:val="28"/>
              </w:rPr>
              <w:t>工业用地、仓储用地</w:t>
            </w:r>
          </w:p>
        </w:tc>
      </w:tr>
    </w:tbl>
    <w:p>
      <w:pPr>
        <w:spacing w:line="560" w:lineRule="exact"/>
        <w:ind w:firstLine="640" w:firstLineChars="200"/>
      </w:pPr>
      <w:r>
        <w:rPr>
          <w:rFonts w:hint="eastAsia"/>
        </w:rPr>
        <w:t>五、标定地价将标定区域、标准宗地和公示信息表予以公布。</w:t>
      </w:r>
    </w:p>
    <w:p>
      <w:pPr>
        <w:spacing w:line="560" w:lineRule="exact"/>
        <w:ind w:firstLine="643" w:firstLineChars="201"/>
      </w:pPr>
      <w:r>
        <w:rPr>
          <w:rFonts w:hint="eastAsia"/>
        </w:rPr>
        <w:t>六、梅州市自然资源局将根据土地市场的变化情况对标定地价进行更新修订，经市政府批准后，对外公布执行。</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p>
  <w:p>
    <w:pPr>
      <w:pStyle w:val="4"/>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4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E4"/>
    <w:rsid w:val="000E082E"/>
    <w:rsid w:val="002E43AB"/>
    <w:rsid w:val="00307C07"/>
    <w:rsid w:val="00540A56"/>
    <w:rsid w:val="005A6887"/>
    <w:rsid w:val="006E5B78"/>
    <w:rsid w:val="006E6C57"/>
    <w:rsid w:val="00710A37"/>
    <w:rsid w:val="008E0487"/>
    <w:rsid w:val="00937F90"/>
    <w:rsid w:val="009A0E8B"/>
    <w:rsid w:val="00A422E4"/>
    <w:rsid w:val="00BE1BC0"/>
    <w:rsid w:val="00CC2A64"/>
    <w:rsid w:val="175C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9-2表内容"/>
    <w:basedOn w:val="1"/>
    <w:qFormat/>
    <w:uiPriority w:val="0"/>
    <w:pPr>
      <w:jc w:val="center"/>
      <w:textAlignment w:val="center"/>
    </w:pPr>
    <w:rPr>
      <w:kern w:val="0"/>
      <w:sz w:val="21"/>
      <w:szCs w:val="22"/>
      <w:lang w:val="zh-CN"/>
    </w:rPr>
  </w:style>
  <w:style w:type="paragraph" w:styleId="13">
    <w:name w:val="List Paragraph"/>
    <w:basedOn w:val="1"/>
    <w:qFormat/>
    <w:uiPriority w:val="99"/>
    <w:pPr>
      <w:ind w:firstLine="420" w:firstLineChars="200"/>
    </w:pPr>
  </w:style>
  <w:style w:type="character" w:customStyle="1" w:styleId="14">
    <w:name w:val="批注框文本 Char"/>
    <w:basedOn w:val="8"/>
    <w:link w:val="3"/>
    <w:semiHidden/>
    <w:qFormat/>
    <w:uiPriority w:val="99"/>
    <w:rPr>
      <w:rFonts w:ascii="Times New Roman" w:hAnsi="Times New Roman" w:eastAsia="仿宋_GB2312" w:cs="Times New Roman"/>
      <w:sz w:val="18"/>
      <w:szCs w:val="18"/>
    </w:rPr>
  </w:style>
  <w:style w:type="character" w:customStyle="1" w:styleId="15">
    <w:name w:val="批注文字 Char"/>
    <w:basedOn w:val="8"/>
    <w:link w:val="2"/>
    <w:semiHidden/>
    <w:qFormat/>
    <w:uiPriority w:val="99"/>
    <w:rPr>
      <w:rFonts w:ascii="Times New Roman" w:hAnsi="Times New Roman" w:eastAsia="仿宋_GB2312" w:cs="Times New Roman"/>
      <w:sz w:val="32"/>
      <w:szCs w:val="32"/>
    </w:rPr>
  </w:style>
  <w:style w:type="character" w:customStyle="1" w:styleId="16">
    <w:name w:val="批注主题 Char"/>
    <w:basedOn w:val="15"/>
    <w:link w:val="6"/>
    <w:semiHidden/>
    <w:qFormat/>
    <w:uiPriority w:val="99"/>
    <w:rPr>
      <w:rFonts w:ascii="Times New Roman" w:hAnsi="Times New Roman" w:eastAsia="仿宋_GB2312"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154</Words>
  <Characters>883</Characters>
  <Lines>7</Lines>
  <Paragraphs>2</Paragraphs>
  <TotalTime>20</TotalTime>
  <ScaleCrop>false</ScaleCrop>
  <LinksUpToDate>false</LinksUpToDate>
  <CharactersWithSpaces>1035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2019-06-11T02:05:00Z</dcterms:created>
  <dc:creator>杜凯</dc:creator>
  <cp:lastModifiedBy>听见1418628468</cp:lastModifiedBy>
  <dcterms:modified xsi:type="dcterms:W3CDTF">2019-12-24T08:57:56Z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