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255" w:leftChars="-85" w:right="-219" w:rightChars="-73"/>
        <w:jc w:val="center"/>
        <w:rPr>
          <w:rFonts w:ascii="宋体" w:hAnsi="宋体" w:eastAsia="方正小标宋简体"/>
          <w:sz w:val="44"/>
          <w:szCs w:val="44"/>
        </w:rPr>
      </w:pPr>
    </w:p>
    <w:p>
      <w:pPr>
        <w:spacing w:line="400" w:lineRule="exact"/>
        <w:ind w:left="-255" w:leftChars="-85" w:right="-219" w:rightChars="-73"/>
        <w:jc w:val="center"/>
        <w:rPr>
          <w:rFonts w:ascii="宋体" w:hAnsi="宋体" w:eastAsia="方正小标宋简体"/>
          <w:sz w:val="44"/>
          <w:szCs w:val="44"/>
        </w:rPr>
      </w:pPr>
    </w:p>
    <w:p>
      <w:pPr>
        <w:spacing w:line="400" w:lineRule="exact"/>
        <w:ind w:left="-255" w:leftChars="-85" w:right="-219" w:rightChars="-73"/>
        <w:jc w:val="center"/>
        <w:rPr>
          <w:rFonts w:ascii="宋体" w:hAnsi="宋体" w:eastAsia="方正小标宋简体"/>
          <w:sz w:val="44"/>
          <w:szCs w:val="44"/>
        </w:rPr>
      </w:pPr>
    </w:p>
    <w:p>
      <w:pPr>
        <w:spacing w:line="400" w:lineRule="exact"/>
        <w:ind w:left="-255" w:leftChars="-85" w:right="-219" w:rightChars="-73"/>
        <w:jc w:val="center"/>
        <w:rPr>
          <w:rFonts w:ascii="宋体" w:hAnsi="宋体" w:eastAsia="方正小标宋简体"/>
          <w:sz w:val="44"/>
          <w:szCs w:val="44"/>
        </w:rPr>
      </w:pPr>
    </w:p>
    <w:p>
      <w:pPr>
        <w:spacing w:line="400" w:lineRule="exact"/>
        <w:ind w:left="-255" w:leftChars="-85" w:right="-219" w:rightChars="-73"/>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梅市民宗函〔</w:t>
      </w:r>
      <w:r>
        <w:rPr>
          <w:rFonts w:hint="eastAsia" w:ascii="仿宋_GB2312" w:hAnsi="仿宋_GB2312" w:eastAsia="仿宋_GB2312" w:cs="仿宋_GB2312"/>
          <w:sz w:val="32"/>
          <w:szCs w:val="32"/>
          <w:lang w:val="en-US" w:eastAsia="zh-CN"/>
        </w:rPr>
        <w:t>20</w:t>
      </w:r>
      <w:r>
        <w:rPr>
          <w:rFonts w:hint="eastAsia" w:hAnsi="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hAnsi="仿宋_GB2312" w:cs="仿宋_GB2312"/>
          <w:sz w:val="32"/>
          <w:szCs w:val="32"/>
          <w:lang w:val="en-US" w:eastAsia="zh-CN"/>
        </w:rPr>
        <w:t>24</w:t>
      </w:r>
      <w:r>
        <w:rPr>
          <w:rFonts w:hint="eastAsia" w:ascii="仿宋_GB2312" w:hAnsi="仿宋_GB2312" w:eastAsia="仿宋_GB2312" w:cs="仿宋_GB2312"/>
          <w:sz w:val="32"/>
          <w:szCs w:val="32"/>
          <w:lang w:val="en-US" w:eastAsia="zh-CN"/>
        </w:rPr>
        <w:t>号</w:t>
      </w:r>
    </w:p>
    <w:p>
      <w:pPr>
        <w:spacing w:line="400" w:lineRule="exact"/>
        <w:ind w:left="-255" w:leftChars="-85" w:right="-219" w:rightChars="-73"/>
        <w:jc w:val="right"/>
        <w:rPr>
          <w:rFonts w:hint="eastAsia" w:ascii="仿宋_GB2312" w:hAnsi="仿宋_GB2312" w:eastAsia="仿宋_GB2312" w:cs="仿宋_GB2312"/>
          <w:sz w:val="32"/>
          <w:szCs w:val="32"/>
          <w:lang w:val="en-US" w:eastAsia="zh-CN"/>
        </w:rPr>
      </w:pPr>
    </w:p>
    <w:p>
      <w:pPr>
        <w:spacing w:line="640" w:lineRule="exact"/>
        <w:ind w:left="-255" w:leftChars="-85" w:right="-219" w:rightChars="-73"/>
        <w:jc w:val="center"/>
        <w:rPr>
          <w:rFonts w:hint="eastAsia" w:ascii="黑体" w:hAnsi="黑体" w:eastAsia="黑体" w:cs="黑体"/>
          <w:b/>
          <w:bCs w:val="0"/>
          <w:sz w:val="44"/>
          <w:szCs w:val="44"/>
        </w:rPr>
      </w:pPr>
      <w:r>
        <w:rPr>
          <w:rFonts w:hint="eastAsia" w:ascii="黑体" w:hAnsi="黑体" w:eastAsia="黑体" w:cs="黑体"/>
          <w:b/>
          <w:bCs w:val="0"/>
          <w:sz w:val="44"/>
          <w:szCs w:val="44"/>
        </w:rPr>
        <w:t>梅州市民族宗教局2019年度行政许可</w:t>
      </w:r>
    </w:p>
    <w:p>
      <w:pPr>
        <w:keepNext w:val="0"/>
        <w:keepLines w:val="0"/>
        <w:pageBreakBefore w:val="0"/>
        <w:widowControl w:val="0"/>
        <w:kinsoku/>
        <w:wordWrap/>
        <w:overflowPunct/>
        <w:topLinePunct w:val="0"/>
        <w:autoSpaceDE/>
        <w:autoSpaceDN/>
        <w:bidi w:val="0"/>
        <w:spacing w:line="240" w:lineRule="auto"/>
        <w:ind w:left="-255" w:leftChars="-85" w:right="-219" w:rightChars="-73"/>
        <w:jc w:val="center"/>
        <w:textAlignment w:val="auto"/>
        <w:rPr>
          <w:rFonts w:hint="eastAsia" w:ascii="黑体" w:hAnsi="黑体" w:eastAsia="黑体" w:cs="黑体"/>
          <w:b/>
          <w:bCs w:val="0"/>
          <w:sz w:val="44"/>
          <w:szCs w:val="44"/>
        </w:rPr>
      </w:pPr>
      <w:r>
        <w:rPr>
          <w:rFonts w:hint="eastAsia" w:ascii="黑体" w:hAnsi="黑体" w:eastAsia="黑体" w:cs="黑体"/>
          <w:b/>
          <w:bCs w:val="0"/>
          <w:sz w:val="44"/>
          <w:szCs w:val="44"/>
        </w:rPr>
        <w:t>实施和监督管理情况报告</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文星仿宋" w:hAnsi="宋体" w:eastAsia="文星仿宋"/>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rPr>
      </w:pPr>
      <w:r>
        <w:rPr>
          <w:rFonts w:hint="eastAsia" w:ascii="仿宋_GB2312" w:hAnsi="仿宋_GB2312" w:eastAsia="仿宋_GB2312" w:cs="仿宋_GB2312"/>
        </w:rPr>
        <w:t>市政务服务数据管理局：</w:t>
      </w:r>
    </w:p>
    <w:p>
      <w:pPr>
        <w:spacing w:line="600" w:lineRule="exact"/>
        <w:ind w:firstLine="600" w:firstLineChars="200"/>
        <w:jc w:val="left"/>
        <w:rPr>
          <w:rFonts w:hint="eastAsia" w:ascii="仿宋_GB2312" w:hAnsi="仿宋_GB2312" w:eastAsia="仿宋_GB2312" w:cs="仿宋_GB2312"/>
        </w:rPr>
      </w:pPr>
      <w:r>
        <w:rPr>
          <w:rFonts w:hint="eastAsia" w:ascii="仿宋_GB2312" w:hAnsi="仿宋_GB2312" w:eastAsia="仿宋_GB2312" w:cs="仿宋_GB2312"/>
        </w:rPr>
        <w:t>根据《关于报送2019年度行政许可实施和监督管理情况报告的通知》要求，现将我单位2019年度行政许可实施和监督管理情况报告如下：</w:t>
      </w:r>
    </w:p>
    <w:p>
      <w:pPr>
        <w:spacing w:line="600" w:lineRule="exact"/>
        <w:ind w:firstLine="600" w:firstLineChars="200"/>
        <w:rPr>
          <w:rFonts w:ascii="文星黑体" w:hAnsi="宋体" w:eastAsia="文星黑体"/>
        </w:rPr>
      </w:pPr>
      <w:r>
        <w:rPr>
          <w:rFonts w:hint="eastAsia" w:ascii="文星黑体" w:hAnsi="宋体" w:eastAsia="文星黑体"/>
        </w:rPr>
        <w:t>一、行政许可事项实施情况</w:t>
      </w:r>
    </w:p>
    <w:p>
      <w:pPr>
        <w:spacing w:line="600" w:lineRule="exact"/>
        <w:ind w:firstLine="600" w:firstLineChars="200"/>
        <w:rPr>
          <w:rFonts w:hint="eastAsia" w:ascii="仿宋_GB2312" w:hAnsi="仿宋_GB2312" w:eastAsia="仿宋_GB2312" w:cs="仿宋_GB2312"/>
        </w:rPr>
      </w:pPr>
      <w:r>
        <w:rPr>
          <w:rFonts w:ascii="文星楷体" w:hAnsi="宋体" w:eastAsia="文星楷体"/>
          <w:b w:val="0"/>
          <w:bCs/>
        </w:rPr>
        <w:t>1</w:t>
      </w:r>
      <w:r>
        <w:rPr>
          <w:rFonts w:hint="eastAsia" w:ascii="文星楷体" w:hAnsi="宋体" w:eastAsia="文星楷体"/>
          <w:b w:val="0"/>
          <w:bCs/>
        </w:rPr>
        <w:t>、现有事项及办理情况。</w:t>
      </w:r>
      <w:r>
        <w:rPr>
          <w:rFonts w:hint="eastAsia" w:ascii="仿宋_GB2312" w:hAnsi="仿宋_GB2312" w:eastAsia="仿宋_GB2312" w:cs="仿宋_GB2312"/>
        </w:rPr>
        <w:t>本单位现有行政许可事项</w:t>
      </w:r>
      <w:r>
        <w:rPr>
          <w:rFonts w:hint="eastAsia" w:hAnsi="仿宋_GB2312" w:cs="仿宋_GB2312"/>
          <w:lang w:val="en-US" w:eastAsia="zh-CN"/>
        </w:rPr>
        <w:t>7</w:t>
      </w:r>
      <w:r>
        <w:rPr>
          <w:rFonts w:hint="eastAsia" w:ascii="仿宋_GB2312" w:hAnsi="仿宋_GB2312" w:eastAsia="仿宋_GB2312" w:cs="仿宋_GB2312"/>
        </w:rPr>
        <w:t>项，子项2</w:t>
      </w:r>
      <w:r>
        <w:rPr>
          <w:rFonts w:hint="eastAsia" w:hAnsi="仿宋_GB2312" w:cs="仿宋_GB2312"/>
          <w:lang w:val="en-US" w:eastAsia="zh-CN"/>
        </w:rPr>
        <w:t>0</w:t>
      </w:r>
      <w:r>
        <w:rPr>
          <w:rFonts w:hint="eastAsia" w:ascii="仿宋_GB2312" w:hAnsi="仿宋_GB2312" w:eastAsia="仿宋_GB2312" w:cs="仿宋_GB2312"/>
        </w:rPr>
        <w:t>项，事项名称如下：</w:t>
      </w:r>
    </w:p>
    <w:tbl>
      <w:tblPr>
        <w:tblStyle w:val="6"/>
        <w:tblW w:w="8693" w:type="dxa"/>
        <w:tblInd w:w="93" w:type="dxa"/>
        <w:tblLayout w:type="autofit"/>
        <w:tblCellMar>
          <w:top w:w="0" w:type="dxa"/>
          <w:left w:w="108" w:type="dxa"/>
          <w:bottom w:w="0" w:type="dxa"/>
          <w:right w:w="108" w:type="dxa"/>
        </w:tblCellMar>
      </w:tblPr>
      <w:tblGrid>
        <w:gridCol w:w="456"/>
        <w:gridCol w:w="3387"/>
        <w:gridCol w:w="4850"/>
      </w:tblGrid>
      <w:tr>
        <w:tblPrEx>
          <w:tblCellMar>
            <w:top w:w="0" w:type="dxa"/>
            <w:left w:w="108" w:type="dxa"/>
            <w:bottom w:w="0" w:type="dxa"/>
            <w:right w:w="108" w:type="dxa"/>
          </w:tblCellMar>
        </w:tblPrEx>
        <w:trPr>
          <w:trHeight w:val="505" w:hRule="atLeast"/>
        </w:trPr>
        <w:tc>
          <w:tcPr>
            <w:tcW w:w="45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序号</w:t>
            </w:r>
          </w:p>
        </w:tc>
        <w:tc>
          <w:tcPr>
            <w:tcW w:w="823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4"/>
                <w:szCs w:val="24"/>
              </w:rPr>
              <w:t>行政审批事项</w:t>
            </w:r>
          </w:p>
        </w:tc>
      </w:tr>
      <w:tr>
        <w:tblPrEx>
          <w:tblCellMar>
            <w:top w:w="0" w:type="dxa"/>
            <w:left w:w="108" w:type="dxa"/>
            <w:bottom w:w="0" w:type="dxa"/>
            <w:right w:w="108" w:type="dxa"/>
          </w:tblCellMar>
        </w:tblPrEx>
        <w:trPr>
          <w:trHeight w:val="428"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33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事项名称</w:t>
            </w:r>
          </w:p>
        </w:tc>
        <w:tc>
          <w:tcPr>
            <w:tcW w:w="485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子项名称</w:t>
            </w:r>
          </w:p>
        </w:tc>
      </w:tr>
      <w:tr>
        <w:tblPrEx>
          <w:tblCellMar>
            <w:top w:w="0" w:type="dxa"/>
            <w:left w:w="108" w:type="dxa"/>
            <w:bottom w:w="0" w:type="dxa"/>
            <w:right w:w="108" w:type="dxa"/>
          </w:tblCellMar>
        </w:tblPrEx>
        <w:trPr>
          <w:trHeight w:val="222" w:hRule="atLeast"/>
        </w:trPr>
        <w:tc>
          <w:tcPr>
            <w:tcW w:w="45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1</w:t>
            </w:r>
          </w:p>
        </w:tc>
        <w:tc>
          <w:tcPr>
            <w:tcW w:w="3387"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筹备设立宗教活动场所、其他固定宗教活动处所变更为寺观教堂、扩建、异地重建宗教活动场所审核、审批</w:t>
            </w: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筹备设立其他固定宗教活动处所审批</w:t>
            </w:r>
          </w:p>
        </w:tc>
      </w:tr>
      <w:tr>
        <w:tblPrEx>
          <w:tblCellMar>
            <w:top w:w="0" w:type="dxa"/>
            <w:left w:w="108" w:type="dxa"/>
            <w:bottom w:w="0" w:type="dxa"/>
            <w:right w:w="108" w:type="dxa"/>
          </w:tblCellMar>
        </w:tblPrEx>
        <w:trPr>
          <w:trHeight w:val="222"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筹备设立寺观教堂审核</w:t>
            </w:r>
          </w:p>
        </w:tc>
      </w:tr>
      <w:tr>
        <w:tblPrEx>
          <w:tblCellMar>
            <w:top w:w="0" w:type="dxa"/>
            <w:left w:w="108" w:type="dxa"/>
            <w:bottom w:w="0" w:type="dxa"/>
            <w:right w:w="108" w:type="dxa"/>
          </w:tblCellMar>
        </w:tblPrEx>
        <w:trPr>
          <w:trHeight w:val="217"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扩建其他固定宗教活动处所审批</w:t>
            </w:r>
          </w:p>
        </w:tc>
      </w:tr>
      <w:tr>
        <w:tblPrEx>
          <w:tblCellMar>
            <w:top w:w="0" w:type="dxa"/>
            <w:left w:w="108" w:type="dxa"/>
            <w:bottom w:w="0" w:type="dxa"/>
            <w:right w:w="108" w:type="dxa"/>
          </w:tblCellMar>
        </w:tblPrEx>
        <w:trPr>
          <w:trHeight w:val="217"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扩建寺观教堂审核</w:t>
            </w:r>
          </w:p>
        </w:tc>
      </w:tr>
      <w:tr>
        <w:tblPrEx>
          <w:tblCellMar>
            <w:top w:w="0" w:type="dxa"/>
            <w:left w:w="108" w:type="dxa"/>
            <w:bottom w:w="0" w:type="dxa"/>
            <w:right w:w="108" w:type="dxa"/>
          </w:tblCellMar>
        </w:tblPrEx>
        <w:trPr>
          <w:trHeight w:val="217"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其他固定宗教活动处所变更为寺观教堂审核</w:t>
            </w:r>
          </w:p>
        </w:tc>
      </w:tr>
      <w:tr>
        <w:tblPrEx>
          <w:tblCellMar>
            <w:top w:w="0" w:type="dxa"/>
            <w:left w:w="108" w:type="dxa"/>
            <w:bottom w:w="0" w:type="dxa"/>
            <w:right w:w="108" w:type="dxa"/>
          </w:tblCellMar>
        </w:tblPrEx>
        <w:trPr>
          <w:trHeight w:val="217"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异地重建其他固定宗教活动处所审批</w:t>
            </w:r>
          </w:p>
        </w:tc>
      </w:tr>
      <w:tr>
        <w:tblPrEx>
          <w:tblCellMar>
            <w:top w:w="0" w:type="dxa"/>
            <w:left w:w="108" w:type="dxa"/>
            <w:bottom w:w="0" w:type="dxa"/>
            <w:right w:w="108" w:type="dxa"/>
          </w:tblCellMar>
        </w:tblPrEx>
        <w:trPr>
          <w:trHeight w:val="217"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异地重建寺观教堂审核</w:t>
            </w:r>
          </w:p>
        </w:tc>
      </w:tr>
      <w:tr>
        <w:tblPrEx>
          <w:tblCellMar>
            <w:top w:w="0" w:type="dxa"/>
            <w:left w:w="108" w:type="dxa"/>
            <w:bottom w:w="0" w:type="dxa"/>
            <w:right w:w="108" w:type="dxa"/>
          </w:tblCellMar>
        </w:tblPrEx>
        <w:trPr>
          <w:trHeight w:val="431" w:hRule="atLeast"/>
        </w:trPr>
        <w:tc>
          <w:tcPr>
            <w:tcW w:w="45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2</w:t>
            </w:r>
          </w:p>
        </w:tc>
        <w:tc>
          <w:tcPr>
            <w:tcW w:w="338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举行大型宗教活动审批</w:t>
            </w:r>
          </w:p>
        </w:tc>
        <w:tc>
          <w:tcPr>
            <w:tcW w:w="4850"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举行大型宗教活动审批</w:t>
            </w:r>
          </w:p>
        </w:tc>
      </w:tr>
      <w:tr>
        <w:tblPrEx>
          <w:tblCellMar>
            <w:top w:w="0" w:type="dxa"/>
            <w:left w:w="108" w:type="dxa"/>
            <w:bottom w:w="0" w:type="dxa"/>
            <w:right w:w="108" w:type="dxa"/>
          </w:tblCellMar>
        </w:tblPrEx>
        <w:trPr>
          <w:trHeight w:val="402" w:hRule="atLeast"/>
        </w:trPr>
        <w:tc>
          <w:tcPr>
            <w:tcW w:w="45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3</w:t>
            </w:r>
          </w:p>
        </w:tc>
        <w:tc>
          <w:tcPr>
            <w:tcW w:w="338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开展宗教教育培训审批</w:t>
            </w:r>
          </w:p>
        </w:tc>
        <w:tc>
          <w:tcPr>
            <w:tcW w:w="4850"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开展宗教教育培训审批</w:t>
            </w:r>
          </w:p>
        </w:tc>
      </w:tr>
      <w:tr>
        <w:tblPrEx>
          <w:tblCellMar>
            <w:top w:w="0" w:type="dxa"/>
            <w:left w:w="108" w:type="dxa"/>
            <w:bottom w:w="0" w:type="dxa"/>
            <w:right w:w="108" w:type="dxa"/>
          </w:tblCellMar>
        </w:tblPrEx>
        <w:trPr>
          <w:trHeight w:val="145" w:hRule="atLeast"/>
        </w:trPr>
        <w:tc>
          <w:tcPr>
            <w:tcW w:w="45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4</w:t>
            </w:r>
          </w:p>
        </w:tc>
        <w:tc>
          <w:tcPr>
            <w:tcW w:w="3387"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民族、宗教团体成立、变更、注销前审批</w:t>
            </w: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民族团体变更前审批</w:t>
            </w:r>
          </w:p>
        </w:tc>
      </w:tr>
      <w:tr>
        <w:tblPrEx>
          <w:tblCellMar>
            <w:top w:w="0" w:type="dxa"/>
            <w:left w:w="108" w:type="dxa"/>
            <w:bottom w:w="0" w:type="dxa"/>
            <w:right w:w="108" w:type="dxa"/>
          </w:tblCellMar>
        </w:tblPrEx>
        <w:trPr>
          <w:trHeight w:val="145"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民族团体成立前审批</w:t>
            </w:r>
          </w:p>
        </w:tc>
      </w:tr>
      <w:tr>
        <w:tblPrEx>
          <w:tblCellMar>
            <w:top w:w="0" w:type="dxa"/>
            <w:left w:w="108" w:type="dxa"/>
            <w:bottom w:w="0" w:type="dxa"/>
            <w:right w:w="108" w:type="dxa"/>
          </w:tblCellMar>
        </w:tblPrEx>
        <w:trPr>
          <w:trHeight w:val="145"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民族团体注销前审批</w:t>
            </w:r>
          </w:p>
        </w:tc>
      </w:tr>
      <w:tr>
        <w:tblPrEx>
          <w:tblCellMar>
            <w:top w:w="0" w:type="dxa"/>
            <w:left w:w="108" w:type="dxa"/>
            <w:bottom w:w="0" w:type="dxa"/>
            <w:right w:w="108" w:type="dxa"/>
          </w:tblCellMar>
        </w:tblPrEx>
        <w:trPr>
          <w:trHeight w:val="145"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宗教团体变更前审批</w:t>
            </w:r>
          </w:p>
        </w:tc>
      </w:tr>
      <w:tr>
        <w:tblPrEx>
          <w:tblCellMar>
            <w:top w:w="0" w:type="dxa"/>
            <w:left w:w="108" w:type="dxa"/>
            <w:bottom w:w="0" w:type="dxa"/>
            <w:right w:w="108" w:type="dxa"/>
          </w:tblCellMar>
        </w:tblPrEx>
        <w:trPr>
          <w:trHeight w:val="145"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宗教团体成立前审批</w:t>
            </w:r>
          </w:p>
        </w:tc>
      </w:tr>
      <w:tr>
        <w:tblPrEx>
          <w:tblCellMar>
            <w:top w:w="0" w:type="dxa"/>
            <w:left w:w="108" w:type="dxa"/>
            <w:bottom w:w="0" w:type="dxa"/>
            <w:right w:w="108" w:type="dxa"/>
          </w:tblCellMar>
        </w:tblPrEx>
        <w:trPr>
          <w:trHeight w:val="145" w:hRule="atLeast"/>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p>
        </w:tc>
        <w:tc>
          <w:tcPr>
            <w:tcW w:w="33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宗教团体注销前审批</w:t>
            </w:r>
          </w:p>
        </w:tc>
      </w:tr>
      <w:tr>
        <w:tblPrEx>
          <w:tblCellMar>
            <w:top w:w="0" w:type="dxa"/>
            <w:left w:w="108" w:type="dxa"/>
            <w:bottom w:w="0" w:type="dxa"/>
            <w:right w:w="108" w:type="dxa"/>
          </w:tblCellMar>
        </w:tblPrEx>
        <w:trPr>
          <w:trHeight w:val="425" w:hRule="atLeast"/>
        </w:trPr>
        <w:tc>
          <w:tcPr>
            <w:tcW w:w="456" w:type="dxa"/>
            <w:vMerge w:val="restart"/>
            <w:tcBorders>
              <w:top w:val="single" w:color="auto" w:sz="8" w:space="0"/>
              <w:left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5</w:t>
            </w:r>
          </w:p>
        </w:tc>
        <w:tc>
          <w:tcPr>
            <w:tcW w:w="3387" w:type="dxa"/>
            <w:vMerge w:val="restart"/>
            <w:tcBorders>
              <w:top w:val="single" w:color="auto" w:sz="8" w:space="0"/>
              <w:left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在宗教活动场所内改建或者新建建筑物审批</w:t>
            </w: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在其他固定宗教活动处所内拟改建或者新建的建筑物改变现有布局和功能的审批</w:t>
            </w:r>
          </w:p>
        </w:tc>
      </w:tr>
      <w:tr>
        <w:tblPrEx>
          <w:tblCellMar>
            <w:top w:w="0" w:type="dxa"/>
            <w:left w:w="108" w:type="dxa"/>
            <w:bottom w:w="0" w:type="dxa"/>
            <w:right w:w="108" w:type="dxa"/>
          </w:tblCellMar>
        </w:tblPrEx>
        <w:trPr>
          <w:trHeight w:val="425" w:hRule="atLeast"/>
        </w:trPr>
        <w:tc>
          <w:tcPr>
            <w:tcW w:w="456" w:type="dxa"/>
            <w:vMerge w:val="continue"/>
            <w:tcBorders>
              <w:left w:val="single" w:color="auto" w:sz="8" w:space="0"/>
              <w:bottom w:val="single" w:color="auto" w:sz="8" w:space="0"/>
              <w:right w:val="single" w:color="auto" w:sz="8" w:space="0"/>
            </w:tcBorders>
            <w:vAlign w:val="center"/>
          </w:tcPr>
          <w:p>
            <w:pPr>
              <w:widowControl/>
              <w:jc w:val="center"/>
            </w:pPr>
          </w:p>
        </w:tc>
        <w:tc>
          <w:tcPr>
            <w:tcW w:w="3387" w:type="dxa"/>
            <w:vMerge w:val="continue"/>
            <w:tcBorders>
              <w:left w:val="single" w:color="auto" w:sz="8" w:space="0"/>
              <w:bottom w:val="single" w:color="auto" w:sz="8" w:space="0"/>
              <w:right w:val="single" w:color="auto" w:sz="8" w:space="0"/>
            </w:tcBorders>
            <w:vAlign w:val="center"/>
          </w:tcPr>
          <w:p>
            <w:pPr>
              <w:widowControl/>
              <w:jc w:val="left"/>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在宗教活动场所内拟改建或者新建的建筑物改变现有布局和功能的审核</w:t>
            </w:r>
          </w:p>
        </w:tc>
      </w:tr>
      <w:tr>
        <w:tblPrEx>
          <w:tblCellMar>
            <w:top w:w="0" w:type="dxa"/>
            <w:left w:w="108" w:type="dxa"/>
            <w:bottom w:w="0" w:type="dxa"/>
            <w:right w:w="108" w:type="dxa"/>
          </w:tblCellMar>
        </w:tblPrEx>
        <w:trPr>
          <w:trHeight w:val="425" w:hRule="atLeast"/>
        </w:trPr>
        <w:tc>
          <w:tcPr>
            <w:tcW w:w="456" w:type="dxa"/>
            <w:vMerge w:val="restart"/>
            <w:tcBorders>
              <w:top w:val="single" w:color="auto" w:sz="8" w:space="0"/>
              <w:left w:val="single" w:color="auto" w:sz="8" w:space="0"/>
              <w:right w:val="single" w:color="auto" w:sz="8" w:space="0"/>
            </w:tcBorders>
            <w:vAlign w:val="center"/>
          </w:tcPr>
          <w:p>
            <w:pPr>
              <w:widowControl/>
              <w:jc w:val="center"/>
              <w:rPr>
                <w:rFonts w:ascii="宋体" w:hAnsi="宋体" w:eastAsia="宋体" w:cs="宋体"/>
                <w:color w:val="000000"/>
                <w:spacing w:val="0"/>
                <w:kern w:val="0"/>
                <w:sz w:val="22"/>
                <w:szCs w:val="22"/>
              </w:rPr>
            </w:pPr>
            <w:r>
              <w:rPr>
                <w:rFonts w:ascii="宋体" w:hAnsi="宋体" w:eastAsia="宋体" w:cs="宋体"/>
                <w:color w:val="000000"/>
                <w:spacing w:val="0"/>
                <w:kern w:val="0"/>
                <w:sz w:val="22"/>
                <w:szCs w:val="22"/>
              </w:rPr>
              <w:t>6</w:t>
            </w:r>
          </w:p>
        </w:tc>
        <w:tc>
          <w:tcPr>
            <w:tcW w:w="3387" w:type="dxa"/>
            <w:vMerge w:val="restart"/>
            <w:tcBorders>
              <w:top w:val="single" w:color="auto" w:sz="8" w:space="0"/>
              <w:left w:val="single" w:color="auto" w:sz="8" w:space="0"/>
              <w:right w:val="single" w:color="auto" w:sz="8" w:space="0"/>
            </w:tcBorders>
            <w:vAlign w:val="center"/>
          </w:tcPr>
          <w:p>
            <w:pPr>
              <w:widowControl/>
              <w:jc w:val="left"/>
              <w:rPr>
                <w:rFonts w:ascii="宋体" w:hAnsi="宋体" w:eastAsia="宋体" w:cs="宋体"/>
                <w:color w:val="000000"/>
                <w:spacing w:val="0"/>
                <w:kern w:val="0"/>
                <w:sz w:val="22"/>
                <w:szCs w:val="22"/>
              </w:rPr>
            </w:pPr>
            <w:r>
              <w:rPr>
                <w:rFonts w:hint="eastAsia" w:ascii="宋体" w:hAnsi="宋体" w:eastAsia="宋体" w:cs="宋体"/>
                <w:color w:val="000000"/>
                <w:spacing w:val="0"/>
                <w:kern w:val="0"/>
                <w:sz w:val="22"/>
                <w:szCs w:val="22"/>
              </w:rPr>
              <w:t>宗教活动场所登记、终止或者变更登记内容审批</w:t>
            </w: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宗教活动场所变更登记内容审批</w:t>
            </w:r>
          </w:p>
        </w:tc>
      </w:tr>
      <w:tr>
        <w:tblPrEx>
          <w:tblCellMar>
            <w:top w:w="0" w:type="dxa"/>
            <w:left w:w="108" w:type="dxa"/>
            <w:bottom w:w="0" w:type="dxa"/>
            <w:right w:w="108" w:type="dxa"/>
          </w:tblCellMar>
        </w:tblPrEx>
        <w:trPr>
          <w:trHeight w:val="425" w:hRule="atLeast"/>
        </w:trPr>
        <w:tc>
          <w:tcPr>
            <w:tcW w:w="456" w:type="dxa"/>
            <w:vMerge w:val="continue"/>
            <w:tcBorders>
              <w:left w:val="single" w:color="auto" w:sz="8" w:space="0"/>
              <w:bottom w:val="single" w:color="auto" w:sz="8" w:space="0"/>
              <w:right w:val="single" w:color="auto" w:sz="8" w:space="0"/>
            </w:tcBorders>
            <w:vAlign w:val="center"/>
          </w:tcPr>
          <w:p>
            <w:pPr>
              <w:widowControl/>
              <w:jc w:val="center"/>
            </w:pPr>
          </w:p>
        </w:tc>
        <w:tc>
          <w:tcPr>
            <w:tcW w:w="3387" w:type="dxa"/>
            <w:vMerge w:val="continue"/>
            <w:tcBorders>
              <w:left w:val="single" w:color="auto" w:sz="8" w:space="0"/>
              <w:bottom w:val="single" w:color="auto" w:sz="8" w:space="0"/>
              <w:right w:val="single" w:color="auto" w:sz="8" w:space="0"/>
            </w:tcBorders>
            <w:vAlign w:val="center"/>
          </w:tcPr>
          <w:p>
            <w:pPr>
              <w:widowControl/>
              <w:jc w:val="left"/>
            </w:pP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宗教活动场所终止审批</w:t>
            </w:r>
          </w:p>
        </w:tc>
      </w:tr>
      <w:tr>
        <w:tblPrEx>
          <w:tblCellMar>
            <w:top w:w="0" w:type="dxa"/>
            <w:left w:w="108" w:type="dxa"/>
            <w:bottom w:w="0" w:type="dxa"/>
            <w:right w:w="108" w:type="dxa"/>
          </w:tblCellMar>
        </w:tblPrEx>
        <w:trPr>
          <w:trHeight w:val="810" w:hRule="atLeast"/>
        </w:trPr>
        <w:tc>
          <w:tcPr>
            <w:tcW w:w="456"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spacing w:val="0"/>
                <w:kern w:val="0"/>
                <w:sz w:val="22"/>
                <w:szCs w:val="22"/>
                <w:lang w:eastAsia="zh-CN"/>
              </w:rPr>
            </w:pPr>
            <w:r>
              <w:rPr>
                <w:rFonts w:hint="eastAsia" w:ascii="宋体" w:hAnsi="宋体" w:eastAsia="宋体" w:cs="宋体"/>
                <w:color w:val="000000"/>
                <w:spacing w:val="0"/>
                <w:kern w:val="0"/>
                <w:sz w:val="22"/>
                <w:szCs w:val="22"/>
                <w:lang w:val="en-US" w:eastAsia="zh-CN"/>
              </w:rPr>
              <w:t>7</w:t>
            </w:r>
          </w:p>
        </w:tc>
        <w:tc>
          <w:tcPr>
            <w:tcW w:w="3387"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宗教团体、宗教院校、宗教活动场所接受境外组织和个人捐赠审批</w:t>
            </w:r>
          </w:p>
        </w:tc>
        <w:tc>
          <w:tcPr>
            <w:tcW w:w="4850"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宋体"/>
                <w:color w:val="000000"/>
                <w:spacing w:val="0"/>
                <w:kern w:val="0"/>
                <w:sz w:val="22"/>
                <w:szCs w:val="22"/>
              </w:rPr>
            </w:pPr>
            <w:r>
              <w:rPr>
                <w:rFonts w:hint="eastAsia" w:ascii="宋体" w:hAnsi="宋体" w:eastAsia="宋体" w:cs="宋体"/>
                <w:color w:val="000000"/>
                <w:kern w:val="0"/>
                <w:sz w:val="22"/>
                <w:szCs w:val="22"/>
              </w:rPr>
              <w:t>宗教团体、宗教院校、宗教活动场所接受境外组织和个人捐赠审批</w:t>
            </w:r>
          </w:p>
        </w:tc>
      </w:tr>
    </w:tbl>
    <w:p>
      <w:pPr>
        <w:spacing w:line="600" w:lineRule="exact"/>
        <w:ind w:firstLine="600" w:firstLineChars="200"/>
        <w:rPr>
          <w:rFonts w:hint="eastAsia" w:ascii="仿宋_GB2312" w:hAnsi="仿宋_GB2312" w:eastAsia="仿宋_GB2312" w:cs="仿宋_GB2312"/>
        </w:rPr>
      </w:pPr>
      <w:r>
        <w:rPr>
          <w:rFonts w:hint="eastAsia" w:ascii="仿宋_GB2312" w:hAnsi="仿宋_GB2312" w:eastAsia="仿宋_GB2312" w:cs="仿宋_GB2312"/>
        </w:rPr>
        <w:t>我局行政许可事项（政许可事项</w:t>
      </w:r>
      <w:r>
        <w:rPr>
          <w:rFonts w:hint="eastAsia" w:hAnsi="仿宋_GB2312" w:cs="仿宋_GB2312"/>
          <w:lang w:val="en-US" w:eastAsia="zh-CN"/>
        </w:rPr>
        <w:t>7</w:t>
      </w:r>
      <w:r>
        <w:rPr>
          <w:rFonts w:hint="eastAsia" w:ascii="仿宋_GB2312" w:hAnsi="仿宋_GB2312" w:eastAsia="仿宋_GB2312" w:cs="仿宋_GB2312"/>
        </w:rPr>
        <w:t>项，子项</w:t>
      </w:r>
      <w:r>
        <w:rPr>
          <w:rFonts w:hint="eastAsia" w:hAnsi="仿宋_GB2312" w:cs="仿宋_GB2312"/>
          <w:lang w:val="en-US" w:eastAsia="zh-CN"/>
        </w:rPr>
        <w:t>20</w:t>
      </w:r>
      <w:r>
        <w:rPr>
          <w:rFonts w:hint="eastAsia" w:ascii="仿宋_GB2312" w:hAnsi="仿宋_GB2312" w:eastAsia="仿宋_GB2312" w:cs="仿宋_GB2312"/>
        </w:rPr>
        <w:t>项）全部纳入广东省政务服务事项管理系统和进驻梅州市统一申办受理平台；全年行政许可申请业务总量为4件，办结量为4件，办结率100%。其中，在网上受理行政许可申请4件，办结量为4件，网上办结率为100%。</w:t>
      </w:r>
    </w:p>
    <w:p>
      <w:pPr>
        <w:spacing w:line="600" w:lineRule="exact"/>
        <w:ind w:firstLine="600" w:firstLineChars="200"/>
        <w:rPr>
          <w:rFonts w:hint="eastAsia" w:ascii="仿宋_GB2312" w:hAnsi="仿宋_GB2312" w:eastAsia="仿宋_GB2312" w:cs="仿宋_GB2312"/>
        </w:rPr>
      </w:pPr>
      <w:r>
        <w:rPr>
          <w:rFonts w:ascii="文星楷体" w:hAnsi="宋体" w:eastAsia="文星楷体"/>
          <w:b w:val="0"/>
          <w:bCs/>
        </w:rPr>
        <w:t>2</w:t>
      </w:r>
      <w:r>
        <w:rPr>
          <w:rFonts w:hint="eastAsia" w:ascii="文星楷体" w:hAnsi="宋体" w:eastAsia="文星楷体"/>
          <w:b w:val="0"/>
          <w:bCs/>
        </w:rPr>
        <w:t>、公开公示情况。</w:t>
      </w:r>
      <w:r>
        <w:rPr>
          <w:rFonts w:hint="eastAsia" w:ascii="仿宋_GB2312" w:hAnsi="仿宋_GB2312" w:eastAsia="仿宋_GB2312" w:cs="仿宋_GB2312"/>
        </w:rPr>
        <w:t>我局已通过广东政务服务网及市统一申办受理平台等已经公开公示行政许可事项</w:t>
      </w:r>
      <w:r>
        <w:rPr>
          <w:rFonts w:hint="eastAsia" w:hAnsi="仿宋_GB2312" w:cs="仿宋_GB2312"/>
          <w:lang w:val="en-US" w:eastAsia="zh-CN"/>
        </w:rPr>
        <w:t>7</w:t>
      </w:r>
      <w:r>
        <w:rPr>
          <w:rFonts w:hint="eastAsia" w:ascii="仿宋_GB2312" w:hAnsi="仿宋_GB2312" w:eastAsia="仿宋_GB2312" w:cs="仿宋_GB2312"/>
        </w:rPr>
        <w:t>项和2</w:t>
      </w:r>
      <w:r>
        <w:rPr>
          <w:rFonts w:hint="eastAsia" w:hAnsi="仿宋_GB2312" w:cs="仿宋_GB2312"/>
          <w:lang w:val="en-US" w:eastAsia="zh-CN"/>
        </w:rPr>
        <w:t>0</w:t>
      </w:r>
      <w:r>
        <w:rPr>
          <w:rFonts w:hint="eastAsia" w:ascii="仿宋_GB2312" w:hAnsi="仿宋_GB2312" w:eastAsia="仿宋_GB2312" w:cs="仿宋_GB2312"/>
        </w:rPr>
        <w:t>子项的办事指南、业务手册和附件，内容包括实施主体、依据、程序、条件、期限、裁量标准、申请材料、申请表格式文本、咨询方式、投诉举报方式等信息；依托广东省政务服务网向社会公布行政许可公开办理进度和审批结果。</w:t>
      </w:r>
    </w:p>
    <w:p>
      <w:pPr>
        <w:spacing w:line="600" w:lineRule="exact"/>
        <w:ind w:firstLine="600" w:firstLineChars="200"/>
        <w:rPr>
          <w:rFonts w:hint="eastAsia" w:ascii="仿宋_GB2312" w:hAnsi="仿宋_GB2312" w:eastAsia="仿宋_GB2312" w:cs="仿宋_GB2312"/>
        </w:rPr>
      </w:pPr>
      <w:r>
        <w:rPr>
          <w:rFonts w:ascii="文星楷体" w:hAnsi="宋体" w:eastAsia="文星楷体"/>
          <w:b w:val="0"/>
          <w:bCs w:val="0"/>
        </w:rPr>
        <w:t>3</w:t>
      </w:r>
      <w:r>
        <w:rPr>
          <w:rFonts w:hint="eastAsia" w:ascii="文星楷体" w:hAnsi="宋体" w:eastAsia="文星楷体"/>
          <w:b w:val="0"/>
          <w:bCs w:val="0"/>
        </w:rPr>
        <w:t>、办理效率及便捷性的情况。</w:t>
      </w:r>
      <w:r>
        <w:rPr>
          <w:rFonts w:hint="eastAsia" w:ascii="仿宋_GB2312" w:hAnsi="仿宋_GB2312" w:eastAsia="仿宋_GB2312" w:cs="仿宋_GB2312"/>
        </w:rPr>
        <w:t>2019年度所有行政许可事项均在法定办理时限内办结，其中在承诺时限内办结的4件，不存在超时办结。本单位所有许可事项跑动次数均不超过1次。</w:t>
      </w:r>
    </w:p>
    <w:p>
      <w:pPr>
        <w:spacing w:line="600" w:lineRule="exact"/>
        <w:ind w:firstLine="630"/>
        <w:rPr>
          <w:rFonts w:ascii="文星仿宋" w:hAnsi="宋体" w:eastAsia="文星仿宋"/>
        </w:rPr>
      </w:pPr>
      <w:r>
        <w:rPr>
          <w:rFonts w:ascii="文星楷体" w:hAnsi="宋体" w:eastAsia="文星楷体"/>
          <w:b w:val="0"/>
          <w:bCs/>
        </w:rPr>
        <w:t>4</w:t>
      </w:r>
      <w:r>
        <w:rPr>
          <w:rFonts w:hint="eastAsia" w:ascii="文星楷体" w:hAnsi="宋体" w:eastAsia="文星楷体"/>
          <w:b w:val="0"/>
          <w:bCs/>
        </w:rPr>
        <w:t>、监督管理情况。</w:t>
      </w:r>
      <w:r>
        <w:rPr>
          <w:rFonts w:hint="eastAsia" w:ascii="仿宋_GB2312" w:hAnsi="仿宋_GB2312" w:eastAsia="仿宋_GB2312" w:cs="仿宋_GB2312"/>
        </w:rPr>
        <w:t>我局已建立有效的监督管理机制，制定实施有关监管措施、标准，强化事中事后监管，提升服务效能。我局严格按照《中华人民共和国行政许可法》、《广东省行政许可监督管理条例》的规定，对行政许可事项实施过程中的纪律作风实行量化督察，对违反行政审批相关规定、失职渎职的经办人员，依法依纪严肃处理，并追究相关人员责任。我局没有收到任何关于行政许可事项实施情况的举报或投诉。为做好“双随机一公开”工作，我局严格按照《梅州市人民政府关于印发梅州市在市场监督领域全面推行部门联合“双随机、一公开”监管实施方案的通知》（梅市府函[2019]266号）精神，做好2020年“双随机、一公开”监管相关工作，目前，已建立“一单两库”，制定了工作实施细则和计划表。</w:t>
      </w:r>
    </w:p>
    <w:p>
      <w:pPr>
        <w:spacing w:line="600" w:lineRule="exact"/>
        <w:ind w:firstLine="603" w:firstLineChars="200"/>
        <w:rPr>
          <w:rFonts w:ascii="文星黑体" w:hAnsi="宋体" w:eastAsia="文星黑体"/>
          <w:b/>
        </w:rPr>
      </w:pPr>
      <w:r>
        <w:rPr>
          <w:rFonts w:hint="eastAsia" w:ascii="文星黑体" w:hAnsi="宋体" w:eastAsia="文星黑体"/>
          <w:b/>
        </w:rPr>
        <w:t>二、依申请类政务服务事项改革任务落实情况</w:t>
      </w:r>
    </w:p>
    <w:p>
      <w:pPr>
        <w:spacing w:line="600" w:lineRule="exact"/>
        <w:ind w:firstLine="630"/>
        <w:rPr>
          <w:rFonts w:hint="eastAsia" w:ascii="仿宋_GB2312" w:hAnsi="仿宋_GB2312" w:eastAsia="仿宋_GB2312" w:cs="仿宋_GB2312"/>
        </w:rPr>
      </w:pPr>
      <w:r>
        <w:rPr>
          <w:rFonts w:hint="eastAsia" w:ascii="仿宋_GB2312" w:hAnsi="仿宋_GB2312" w:eastAsia="仿宋_GB2312" w:cs="仿宋_GB2312"/>
          <w:b/>
        </w:rPr>
        <w:t>1、落实调整、取消依申请类政务服务事项。</w:t>
      </w:r>
      <w:r>
        <w:rPr>
          <w:rFonts w:hint="eastAsia" w:ascii="仿宋_GB2312" w:hAnsi="仿宋_GB2312" w:eastAsia="仿宋_GB2312" w:cs="仿宋_GB2312"/>
        </w:rPr>
        <w:t>结合省、市政务服务标准化工作安排，重点比照《国务院关于取消和下放一批行政许可事项的决定》（国发〔2019〕6号）和《广东省人民政府关于将一批省级行政职权事项继续委托各地级以上市实施的决定》（粤府函〔2019〕16号），2019年本单位无调整的事项。</w:t>
      </w:r>
    </w:p>
    <w:p>
      <w:pPr>
        <w:spacing w:line="600" w:lineRule="exact"/>
        <w:ind w:firstLine="630"/>
        <w:rPr>
          <w:rFonts w:hAnsi="仿宋_GB2312" w:cs="仿宋_GB2312"/>
        </w:rPr>
      </w:pPr>
      <w:r>
        <w:rPr>
          <w:rFonts w:hint="eastAsia" w:ascii="仿宋_GB2312" w:hAnsi="仿宋_GB2312" w:eastAsia="仿宋_GB2312" w:cs="仿宋_GB2312"/>
          <w:b/>
        </w:rPr>
        <w:t>2、行政许可标准化工作情况。</w:t>
      </w:r>
      <w:r>
        <w:rPr>
          <w:rFonts w:hint="eastAsia" w:hAnsi="仿宋_GB2312" w:cs="仿宋_GB2312"/>
          <w:bCs/>
        </w:rPr>
        <w:t>我局已按照省、市行政许可标准化工作的统一部署，及时更新行政许可事项的办事指南和业务手册。</w:t>
      </w:r>
    </w:p>
    <w:p>
      <w:pPr>
        <w:spacing w:line="640" w:lineRule="exact"/>
        <w:ind w:firstLine="630"/>
        <w:rPr>
          <w:rFonts w:hint="eastAsia" w:ascii="仿宋_GB2312" w:hAnsi="仿宋_GB2312" w:eastAsia="仿宋_GB2312" w:cs="仿宋_GB2312"/>
        </w:rPr>
      </w:pPr>
      <w:r>
        <w:rPr>
          <w:rFonts w:hint="eastAsia" w:ascii="仿宋_GB2312" w:hAnsi="仿宋_GB2312" w:eastAsia="仿宋_GB2312" w:cs="仿宋_GB2312"/>
          <w:b/>
        </w:rPr>
        <w:t>3、调整完善权责清单工作情况。</w:t>
      </w:r>
      <w:r>
        <w:rPr>
          <w:rFonts w:hint="eastAsia" w:ascii="仿宋_GB2312" w:hAnsi="仿宋_GB2312" w:eastAsia="仿宋_GB2312" w:cs="仿宋_GB2312"/>
        </w:rPr>
        <w:t>为做好广东省2019年政务服务事项标准化专项工作，按梅州市政务服务数据管理局相关文件要求，登录广东省政务服务事项管理系统，重新梳理我市行政权力事项，调整完善实施清单，补全统筹事项要素，共完成</w:t>
      </w:r>
      <w:r>
        <w:rPr>
          <w:rFonts w:hint="eastAsia" w:ascii="仿宋_GB2312" w:hAnsi="仿宋_GB2312" w:eastAsia="仿宋_GB2312" w:cs="仿宋_GB2312"/>
          <w:b/>
        </w:rPr>
        <w:t>67</w:t>
      </w:r>
      <w:r>
        <w:rPr>
          <w:rFonts w:hint="eastAsia" w:ascii="仿宋_GB2312" w:hAnsi="仿宋_GB2312" w:eastAsia="仿宋_GB2312" w:cs="仿宋_GB2312"/>
        </w:rPr>
        <w:t>项行政权力事项的梳理工作。</w:t>
      </w:r>
    </w:p>
    <w:p>
      <w:pPr>
        <w:spacing w:line="600" w:lineRule="exact"/>
        <w:ind w:firstLine="630"/>
        <w:rPr>
          <w:rFonts w:ascii="文星黑体" w:hAnsi="宋体" w:eastAsia="文星黑体"/>
        </w:rPr>
      </w:pPr>
      <w:r>
        <w:rPr>
          <w:rFonts w:hint="eastAsia" w:ascii="文星黑体" w:hAnsi="宋体" w:eastAsia="文星黑体"/>
        </w:rPr>
        <w:t>三、政务服务改革任务落实和方式创新情况</w:t>
      </w:r>
    </w:p>
    <w:p>
      <w:pPr>
        <w:spacing w:line="600" w:lineRule="exact"/>
        <w:ind w:firstLine="630"/>
        <w:rPr>
          <w:rFonts w:hint="eastAsia" w:ascii="仿宋_GB2312" w:hAnsi="仿宋_GB2312" w:eastAsia="仿宋_GB2312" w:cs="仿宋_GB2312"/>
        </w:rPr>
      </w:pPr>
      <w:r>
        <w:rPr>
          <w:rFonts w:hint="eastAsia" w:ascii="仿宋_GB2312" w:hAnsi="仿宋_GB2312" w:eastAsia="仿宋_GB2312" w:cs="仿宋_GB2312"/>
          <w:b/>
        </w:rPr>
        <w:t>1、推行依申请类政务服务事项“应进必进”的情况。</w:t>
      </w:r>
      <w:r>
        <w:rPr>
          <w:rFonts w:hint="eastAsia" w:ascii="仿宋_GB2312" w:hAnsi="仿宋_GB2312" w:eastAsia="仿宋_GB2312" w:cs="仿宋_GB2312"/>
        </w:rPr>
        <w:t>按照国务院《优化营商环境条例》（中华人民共和国国务院令第722号）和《广东省人民政府办公厅关于印发进一步规范提升实体政务大厅建设管理工作方案的通知》（粤办函﹝2019﹞301号）的要求，做好依申请类政务服务事项</w:t>
      </w:r>
      <w:r>
        <w:rPr>
          <w:rFonts w:hint="eastAsia" w:ascii="仿宋_GB2312" w:hAnsi="仿宋_GB2312" w:eastAsia="仿宋_GB2312" w:cs="仿宋_GB2312"/>
          <w:b/>
        </w:rPr>
        <w:t xml:space="preserve"> “应进必进”</w:t>
      </w:r>
      <w:r>
        <w:rPr>
          <w:rFonts w:hint="eastAsia" w:ascii="仿宋_GB2312" w:hAnsi="仿宋_GB2312" w:eastAsia="仿宋_GB2312" w:cs="仿宋_GB2312"/>
        </w:rPr>
        <w:t xml:space="preserve"> 事项全部进驻实体政务大厅并纳入一窗办理，对外公布政务服务事项办事指南。本单位依申请类政务服务事项共</w:t>
      </w:r>
      <w:r>
        <w:rPr>
          <w:rFonts w:hint="eastAsia" w:ascii="仿宋_GB2312" w:hAnsi="仿宋_GB2312" w:eastAsia="仿宋_GB2312" w:cs="仿宋_GB2312"/>
          <w:b/>
        </w:rPr>
        <w:t>35</w:t>
      </w:r>
      <w:r>
        <w:rPr>
          <w:rFonts w:hint="eastAsia" w:ascii="仿宋_GB2312" w:hAnsi="仿宋_GB2312" w:eastAsia="仿宋_GB2312" w:cs="仿宋_GB2312"/>
        </w:rPr>
        <w:t>项，进驻实体政务大厅有</w:t>
      </w:r>
      <w:r>
        <w:rPr>
          <w:rFonts w:hint="eastAsia" w:ascii="仿宋_GB2312" w:hAnsi="仿宋_GB2312" w:eastAsia="仿宋_GB2312" w:cs="仿宋_GB2312"/>
          <w:b/>
        </w:rPr>
        <w:t>35</w:t>
      </w:r>
      <w:r>
        <w:rPr>
          <w:rFonts w:hint="eastAsia" w:ascii="仿宋_GB2312" w:hAnsi="仿宋_GB2312" w:eastAsia="仿宋_GB2312" w:cs="仿宋_GB2312"/>
        </w:rPr>
        <w:t>项，纳入一窗办理有35项，进驻占比达100%，纳入占比达100%。</w:t>
      </w:r>
    </w:p>
    <w:p>
      <w:pPr>
        <w:spacing w:line="600" w:lineRule="exact"/>
        <w:ind w:firstLine="603" w:firstLineChars="200"/>
        <w:rPr>
          <w:rFonts w:hint="eastAsia" w:ascii="仿宋_GB2312" w:hAnsi="仿宋_GB2312" w:eastAsia="仿宋_GB2312" w:cs="仿宋_GB2312"/>
        </w:rPr>
      </w:pPr>
      <w:r>
        <w:rPr>
          <w:rFonts w:hint="eastAsia" w:ascii="仿宋_GB2312" w:hAnsi="仿宋_GB2312" w:eastAsia="仿宋_GB2312" w:cs="仿宋_GB2312"/>
          <w:b/>
        </w:rPr>
        <w:t>2、创新服务制度和优化办理流程情况。</w:t>
      </w:r>
      <w:r>
        <w:rPr>
          <w:rFonts w:hint="eastAsia" w:ascii="仿宋_GB2312" w:hAnsi="仿宋_GB2312" w:eastAsia="仿宋_GB2312" w:cs="仿宋_GB2312"/>
        </w:rPr>
        <w:t>结合《关于印发梅州市深入推进审批服务便民化工作方案（2019—2020年）的通知》（梅市府办〔2019〕8号）的要求，本局行政许可事项已全部实现“网上办”，办事深度全部达到三级，实现了“低门槛、高效率、零收费”，进一步改善了我市民族宗教界人士办事环境，达到了设立行政许可时的预期效果。</w:t>
      </w:r>
    </w:p>
    <w:p>
      <w:pPr>
        <w:spacing w:line="600" w:lineRule="exact"/>
        <w:ind w:firstLine="630"/>
        <w:rPr>
          <w:rFonts w:ascii="文星黑体" w:hAnsi="宋体" w:eastAsia="文星黑体"/>
        </w:rPr>
      </w:pPr>
      <w:r>
        <w:rPr>
          <w:rFonts w:hint="eastAsia" w:ascii="文星黑体" w:hAnsi="宋体" w:eastAsia="文星黑体"/>
        </w:rPr>
        <w:t>四、公正公平和满意度情况</w:t>
      </w:r>
    </w:p>
    <w:p>
      <w:pPr>
        <w:spacing w:line="600" w:lineRule="exact"/>
        <w:ind w:firstLine="630"/>
        <w:rPr>
          <w:rFonts w:hint="eastAsia" w:ascii="仿宋_GB2312" w:hAnsi="仿宋_GB2312" w:eastAsia="仿宋_GB2312" w:cs="仿宋_GB2312"/>
        </w:rPr>
      </w:pPr>
      <w:r>
        <w:rPr>
          <w:rFonts w:hint="eastAsia" w:ascii="文星仿宋" w:hAnsi="宋体" w:eastAsia="文星仿宋" w:cs="Times New Roman"/>
          <w:b w:val="0"/>
          <w:bCs/>
          <w:spacing w:val="-10"/>
          <w:kern w:val="2"/>
          <w:sz w:val="32"/>
          <w:szCs w:val="32"/>
          <w:lang w:val="en-US" w:eastAsia="zh-CN" w:bidi="ar-SA"/>
        </w:rPr>
        <w:t>1、服务对象对事项办理的满意程度。</w:t>
      </w:r>
      <w:r>
        <w:rPr>
          <w:rFonts w:hint="eastAsia" w:ascii="仿宋_GB2312" w:hAnsi="仿宋_GB2312" w:eastAsia="仿宋_GB2312" w:cs="仿宋_GB2312"/>
        </w:rPr>
        <w:t>结合广东政务服务网、政务服务大厅“好差评”体系等服务满意度评议，本单位2019年度服务对象评价整体情况良好。</w:t>
      </w:r>
    </w:p>
    <w:p>
      <w:pPr>
        <w:pStyle w:val="5"/>
        <w:spacing w:before="156" w:beforeAutospacing="0" w:after="0" w:afterAutospacing="0" w:line="600" w:lineRule="exact"/>
        <w:ind w:firstLine="600" w:firstLineChars="200"/>
        <w:jc w:val="both"/>
        <w:rPr>
          <w:rFonts w:hint="eastAsia" w:ascii="仿宋_GB2312" w:hAnsi="仿宋_GB2312" w:eastAsia="仿宋_GB2312" w:cs="仿宋_GB2312"/>
          <w:sz w:val="32"/>
          <w:szCs w:val="32"/>
        </w:rPr>
      </w:pPr>
      <w:r>
        <w:rPr>
          <w:rFonts w:ascii="文星仿宋" w:eastAsia="文星仿宋" w:cs="Times New Roman"/>
          <w:b w:val="0"/>
          <w:bCs/>
          <w:spacing w:val="-10"/>
          <w:kern w:val="2"/>
          <w:sz w:val="32"/>
          <w:szCs w:val="32"/>
        </w:rPr>
        <w:t>2</w:t>
      </w:r>
      <w:r>
        <w:rPr>
          <w:rFonts w:hint="eastAsia" w:ascii="文星仿宋" w:eastAsia="文星仿宋" w:cs="Times New Roman"/>
          <w:b w:val="0"/>
          <w:bCs/>
          <w:spacing w:val="-10"/>
          <w:kern w:val="2"/>
          <w:sz w:val="32"/>
          <w:szCs w:val="32"/>
        </w:rPr>
        <w:t>、投诉举报事项及其处理情况。</w:t>
      </w:r>
      <w:r>
        <w:rPr>
          <w:rFonts w:hint="eastAsia" w:ascii="仿宋_GB2312" w:hAnsi="仿宋_GB2312" w:eastAsia="仿宋_GB2312" w:cs="仿宋_GB2312"/>
          <w:sz w:val="32"/>
          <w:szCs w:val="32"/>
        </w:rPr>
        <w:t>2019年度梅州市民族宗教局全年没有投诉举报件。</w:t>
      </w:r>
    </w:p>
    <w:p>
      <w:pPr>
        <w:spacing w:line="600" w:lineRule="exact"/>
        <w:ind w:firstLine="630"/>
        <w:rPr>
          <w:rFonts w:hint="eastAsia" w:ascii="仿宋_GB2312" w:hAnsi="仿宋_GB2312" w:eastAsia="仿宋_GB2312" w:cs="仿宋_GB2312"/>
        </w:rPr>
      </w:pPr>
    </w:p>
    <w:p>
      <w:pPr>
        <w:spacing w:line="600" w:lineRule="exact"/>
        <w:ind w:firstLine="630"/>
        <w:rPr>
          <w:rFonts w:ascii="文星仿宋" w:hAnsi="宋体" w:eastAsia="文星仿宋"/>
        </w:rPr>
      </w:pPr>
    </w:p>
    <w:p>
      <w:pPr>
        <w:spacing w:line="600" w:lineRule="exact"/>
        <w:ind w:firstLine="630"/>
        <w:jc w:val="right"/>
        <w:rPr>
          <w:rFonts w:hint="eastAsia" w:ascii="仿宋_GB2312" w:hAnsi="仿宋_GB2312" w:eastAsia="仿宋_GB2312" w:cs="仿宋_GB2312"/>
        </w:rPr>
      </w:pPr>
      <w:r>
        <w:rPr>
          <w:rFonts w:hint="eastAsia" w:ascii="仿宋_GB2312" w:hAnsi="仿宋_GB2312" w:eastAsia="仿宋_GB2312" w:cs="仿宋_GB2312"/>
        </w:rPr>
        <w:t>梅州市民族宗教事务局</w:t>
      </w:r>
    </w:p>
    <w:p>
      <w:pPr>
        <w:spacing w:line="600" w:lineRule="exact"/>
        <w:ind w:right="300" w:firstLine="630"/>
        <w:jc w:val="right"/>
        <w:rPr>
          <w:rFonts w:hint="eastAsia" w:ascii="仿宋_GB2312" w:hAnsi="仿宋_GB2312" w:eastAsia="仿宋_GB2312" w:cs="仿宋_GB2312"/>
        </w:rPr>
      </w:pPr>
      <w:r>
        <w:rPr>
          <w:rFonts w:hint="eastAsia" w:ascii="仿宋_GB2312" w:hAnsi="仿宋_GB2312" w:eastAsia="仿宋_GB2312" w:cs="仿宋_GB2312"/>
        </w:rPr>
        <w:t>2020年5月27日</w:t>
      </w:r>
    </w:p>
    <w:sectPr>
      <w:headerReference r:id="rId3" w:type="default"/>
      <w:footerReference r:id="rId4" w:type="default"/>
      <w:footerReference r:id="rId5" w:type="even"/>
      <w:pgSz w:w="11906" w:h="16838"/>
      <w:pgMar w:top="2211" w:right="1474" w:bottom="1871"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文星仿宋">
    <w:altName w:val="宋体"/>
    <w:panose1 w:val="00000000000000000000"/>
    <w:charset w:val="86"/>
    <w:family w:val="modern"/>
    <w:pitch w:val="default"/>
    <w:sig w:usb0="00000000" w:usb1="00000000" w:usb2="00000010" w:usb3="00000000" w:csb0="00040000" w:csb1="00000000"/>
  </w:font>
  <w:font w:name="文星黑体">
    <w:altName w:val="黑体"/>
    <w:panose1 w:val="00000000000000000000"/>
    <w:charset w:val="86"/>
    <w:family w:val="modern"/>
    <w:pitch w:val="default"/>
    <w:sig w:usb0="00000000" w:usb1="00000000" w:usb2="00000010" w:usb3="00000000" w:csb0="00040000" w:csb1="00000000"/>
  </w:font>
  <w:font w:name="文星楷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0"/>
  <w:drawingGridVerticalSpacing w:val="43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DA"/>
    <w:rsid w:val="00005902"/>
    <w:rsid w:val="00021F5A"/>
    <w:rsid w:val="00036D47"/>
    <w:rsid w:val="000718CA"/>
    <w:rsid w:val="000B506C"/>
    <w:rsid w:val="000C1BA7"/>
    <w:rsid w:val="000C20D4"/>
    <w:rsid w:val="000C332D"/>
    <w:rsid w:val="000C5D28"/>
    <w:rsid w:val="000F7312"/>
    <w:rsid w:val="00114071"/>
    <w:rsid w:val="00130650"/>
    <w:rsid w:val="00170AC3"/>
    <w:rsid w:val="001834BD"/>
    <w:rsid w:val="00190EAC"/>
    <w:rsid w:val="001A6A53"/>
    <w:rsid w:val="001C3449"/>
    <w:rsid w:val="001E124E"/>
    <w:rsid w:val="001E7F7B"/>
    <w:rsid w:val="001F0E39"/>
    <w:rsid w:val="00207A02"/>
    <w:rsid w:val="00220494"/>
    <w:rsid w:val="00224E06"/>
    <w:rsid w:val="0025250A"/>
    <w:rsid w:val="002575ED"/>
    <w:rsid w:val="00280533"/>
    <w:rsid w:val="002A272D"/>
    <w:rsid w:val="002D0CF9"/>
    <w:rsid w:val="002F3F6F"/>
    <w:rsid w:val="00345FB6"/>
    <w:rsid w:val="00353F9E"/>
    <w:rsid w:val="00371D24"/>
    <w:rsid w:val="003726F1"/>
    <w:rsid w:val="00375309"/>
    <w:rsid w:val="00387294"/>
    <w:rsid w:val="00415229"/>
    <w:rsid w:val="00430336"/>
    <w:rsid w:val="004406BA"/>
    <w:rsid w:val="004507CD"/>
    <w:rsid w:val="004550D6"/>
    <w:rsid w:val="00481EE1"/>
    <w:rsid w:val="00487B33"/>
    <w:rsid w:val="004C055B"/>
    <w:rsid w:val="004C400C"/>
    <w:rsid w:val="00503DF8"/>
    <w:rsid w:val="00510B31"/>
    <w:rsid w:val="00522EED"/>
    <w:rsid w:val="0055390D"/>
    <w:rsid w:val="00594F45"/>
    <w:rsid w:val="005966B5"/>
    <w:rsid w:val="005A0CB4"/>
    <w:rsid w:val="005E35C8"/>
    <w:rsid w:val="0061664C"/>
    <w:rsid w:val="00622EC7"/>
    <w:rsid w:val="006504E7"/>
    <w:rsid w:val="0067740C"/>
    <w:rsid w:val="006B335E"/>
    <w:rsid w:val="006E02E3"/>
    <w:rsid w:val="006E6A95"/>
    <w:rsid w:val="00722520"/>
    <w:rsid w:val="0073184D"/>
    <w:rsid w:val="00732737"/>
    <w:rsid w:val="0073649F"/>
    <w:rsid w:val="0074268D"/>
    <w:rsid w:val="00755F57"/>
    <w:rsid w:val="0076015B"/>
    <w:rsid w:val="00773CDA"/>
    <w:rsid w:val="007827A2"/>
    <w:rsid w:val="007875B6"/>
    <w:rsid w:val="007D0027"/>
    <w:rsid w:val="007F301C"/>
    <w:rsid w:val="00811B03"/>
    <w:rsid w:val="008500EE"/>
    <w:rsid w:val="00857398"/>
    <w:rsid w:val="00871EAA"/>
    <w:rsid w:val="008778CC"/>
    <w:rsid w:val="00880EB6"/>
    <w:rsid w:val="00882F85"/>
    <w:rsid w:val="0088617C"/>
    <w:rsid w:val="008A221E"/>
    <w:rsid w:val="008D5DF2"/>
    <w:rsid w:val="008D7346"/>
    <w:rsid w:val="008E4078"/>
    <w:rsid w:val="008F6966"/>
    <w:rsid w:val="008F6E73"/>
    <w:rsid w:val="00917ED1"/>
    <w:rsid w:val="00946462"/>
    <w:rsid w:val="00947194"/>
    <w:rsid w:val="00957314"/>
    <w:rsid w:val="0098377E"/>
    <w:rsid w:val="009A4FEA"/>
    <w:rsid w:val="009A63EB"/>
    <w:rsid w:val="009B3E38"/>
    <w:rsid w:val="00A15819"/>
    <w:rsid w:val="00A26419"/>
    <w:rsid w:val="00A464A8"/>
    <w:rsid w:val="00A917BB"/>
    <w:rsid w:val="00B34433"/>
    <w:rsid w:val="00B3619B"/>
    <w:rsid w:val="00B50E65"/>
    <w:rsid w:val="00B75F01"/>
    <w:rsid w:val="00B80574"/>
    <w:rsid w:val="00B84554"/>
    <w:rsid w:val="00B93277"/>
    <w:rsid w:val="00BE4F3F"/>
    <w:rsid w:val="00BE4FE7"/>
    <w:rsid w:val="00BF47B4"/>
    <w:rsid w:val="00C12253"/>
    <w:rsid w:val="00C1378B"/>
    <w:rsid w:val="00C15556"/>
    <w:rsid w:val="00C32398"/>
    <w:rsid w:val="00C50A8C"/>
    <w:rsid w:val="00C55F55"/>
    <w:rsid w:val="00C641A0"/>
    <w:rsid w:val="00C91C5B"/>
    <w:rsid w:val="00CC46E6"/>
    <w:rsid w:val="00CF20B6"/>
    <w:rsid w:val="00D13E3A"/>
    <w:rsid w:val="00D43274"/>
    <w:rsid w:val="00D6354A"/>
    <w:rsid w:val="00D77B76"/>
    <w:rsid w:val="00D85AB4"/>
    <w:rsid w:val="00DB17C3"/>
    <w:rsid w:val="00DC7253"/>
    <w:rsid w:val="00DD3E07"/>
    <w:rsid w:val="00DE44FD"/>
    <w:rsid w:val="00E020F6"/>
    <w:rsid w:val="00E205A4"/>
    <w:rsid w:val="00E76169"/>
    <w:rsid w:val="00E81A11"/>
    <w:rsid w:val="00E83093"/>
    <w:rsid w:val="00E8512C"/>
    <w:rsid w:val="00E927F5"/>
    <w:rsid w:val="00E93396"/>
    <w:rsid w:val="00EB4DDB"/>
    <w:rsid w:val="00EE4415"/>
    <w:rsid w:val="00EF529C"/>
    <w:rsid w:val="00F36BB8"/>
    <w:rsid w:val="00F5728B"/>
    <w:rsid w:val="00F71AB8"/>
    <w:rsid w:val="00F9051F"/>
    <w:rsid w:val="00FB49A8"/>
    <w:rsid w:val="00FB7FBD"/>
    <w:rsid w:val="01CB0BED"/>
    <w:rsid w:val="055A151F"/>
    <w:rsid w:val="05C76986"/>
    <w:rsid w:val="061C1701"/>
    <w:rsid w:val="163B7781"/>
    <w:rsid w:val="52BA1F18"/>
    <w:rsid w:val="54E24F51"/>
    <w:rsid w:val="58014DEF"/>
    <w:rsid w:val="587D2F0A"/>
    <w:rsid w:val="5FC57964"/>
    <w:rsid w:val="6BB36871"/>
    <w:rsid w:val="6CBB41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10"/>
      <w:kern w:val="2"/>
      <w:sz w:val="32"/>
      <w:szCs w:val="3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eastAsia="宋体" w:cs="宋体"/>
      <w:spacing w:val="0"/>
      <w:kern w:val="0"/>
      <w:sz w:val="24"/>
      <w:szCs w:val="24"/>
    </w:rPr>
  </w:style>
  <w:style w:type="character" w:styleId="8">
    <w:name w:val="page number"/>
    <w:basedOn w:val="7"/>
    <w:qFormat/>
    <w:uiPriority w:val="99"/>
    <w:rPr>
      <w:rFonts w:cs="Times New Roman"/>
    </w:rPr>
  </w:style>
  <w:style w:type="character" w:customStyle="1" w:styleId="9">
    <w:name w:val="Balloon Text Char"/>
    <w:basedOn w:val="7"/>
    <w:link w:val="2"/>
    <w:semiHidden/>
    <w:qFormat/>
    <w:locked/>
    <w:uiPriority w:val="99"/>
    <w:rPr>
      <w:rFonts w:ascii="仿宋_GB2312" w:hAnsi="Times New Roman" w:eastAsia="仿宋_GB2312" w:cs="Times New Roman"/>
      <w:spacing w:val="-10"/>
      <w:sz w:val="18"/>
      <w:szCs w:val="18"/>
    </w:rPr>
  </w:style>
  <w:style w:type="character" w:customStyle="1" w:styleId="10">
    <w:name w:val="Footer Char"/>
    <w:basedOn w:val="7"/>
    <w:link w:val="3"/>
    <w:qFormat/>
    <w:locked/>
    <w:uiPriority w:val="99"/>
    <w:rPr>
      <w:rFonts w:ascii="仿宋_GB2312" w:hAnsi="Times New Roman" w:eastAsia="仿宋_GB2312" w:cs="Times New Roman"/>
      <w:spacing w:val="-10"/>
      <w:sz w:val="18"/>
      <w:szCs w:val="18"/>
    </w:rPr>
  </w:style>
  <w:style w:type="character" w:customStyle="1" w:styleId="11">
    <w:name w:val="Header Char"/>
    <w:basedOn w:val="7"/>
    <w:link w:val="4"/>
    <w:qFormat/>
    <w:locked/>
    <w:uiPriority w:val="99"/>
    <w:rPr>
      <w:rFonts w:ascii="仿宋_GB2312" w:hAnsi="Times New Roman" w:eastAsia="仿宋_GB2312" w:cs="Times New Roman"/>
      <w:spacing w:val="-1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wang</Company>
  <Pages>5</Pages>
  <Words>349</Words>
  <Characters>1990</Characters>
  <Lines>0</Lines>
  <Paragraphs>0</Paragraphs>
  <TotalTime>18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2020-04-14T02:53:00Z</dcterms:created>
  <dc:creator>Microsoft.com</dc:creator>
  <cp:lastModifiedBy>Administrator</cp:lastModifiedBy>
  <cp:lastPrinted>2020-05-27T07:20:14Z</cp:lastPrinted>
  <dcterms:modified xsi:type="dcterms:W3CDTF">2020-05-27T07:21:51Z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