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tabs>
          <w:tab w:val="left" w:pos="8364"/>
        </w:tabs>
        <w:spacing w:before="240" w:beforeLines="100" w:after="240" w:afterLines="100"/>
        <w:jc w:val="center"/>
        <w:rPr>
          <w:spacing w:val="30"/>
          <w:sz w:val="32"/>
        </w:rPr>
      </w:pPr>
      <w:r>
        <w:rPr>
          <w:rFonts w:hint="eastAsia"/>
          <w:color w:val="FF0000"/>
          <w:spacing w:val="30"/>
          <w:sz w:val="32"/>
        </w:rPr>
        <w:t xml:space="preserve"> </w:t>
      </w:r>
    </w:p>
    <w:p>
      <w:pPr>
        <w:spacing w:before="240" w:beforeLines="100" w:after="240" w:afterLines="100"/>
        <w:jc w:val="center"/>
        <w:rPr>
          <w:spacing w:val="30"/>
          <w:sz w:val="32"/>
        </w:rPr>
      </w:pPr>
    </w:p>
    <w:p>
      <w:pPr>
        <w:spacing w:before="240" w:beforeLines="100" w:after="240" w:afterLines="100"/>
        <w:jc w:val="center"/>
        <w:rPr>
          <w:b/>
          <w:bCs/>
          <w:spacing w:val="30"/>
          <w:sz w:val="72"/>
        </w:rPr>
      </w:pPr>
      <w:r>
        <w:rPr>
          <w:b/>
          <w:bCs/>
          <w:spacing w:val="30"/>
          <w:sz w:val="72"/>
        </w:rPr>
        <w:t>建设项目环境影响报告表</w:t>
      </w:r>
    </w:p>
    <w:p>
      <w:pPr>
        <w:rPr>
          <w:b/>
          <w:sz w:val="36"/>
          <w:szCs w:val="36"/>
        </w:rPr>
      </w:pPr>
    </w:p>
    <w:p/>
    <w:p/>
    <w:p/>
    <w:p/>
    <w:p/>
    <w:p/>
    <w:p>
      <w:r>
        <w:rPr>
          <w:rFonts w:hint="eastAsia"/>
        </w:rPr>
        <w:t xml:space="preserve"> </w:t>
      </w:r>
    </w:p>
    <w:p/>
    <w:p/>
    <w:p/>
    <w:p/>
    <w:p/>
    <w:p/>
    <w:p/>
    <w:p/>
    <w:p/>
    <w:p/>
    <w:p/>
    <w:p/>
    <w:p/>
    <w:p>
      <w:pPr>
        <w:widowControl/>
        <w:spacing w:line="360" w:lineRule="auto"/>
        <w:ind w:firstLine="602" w:firstLineChars="200"/>
        <w:rPr>
          <w:sz w:val="30"/>
          <w:szCs w:val="30"/>
          <w:u w:val="single"/>
        </w:rPr>
      </w:pPr>
      <w:r>
        <w:rPr>
          <w:b/>
          <w:sz w:val="30"/>
          <w:szCs w:val="30"/>
        </w:rPr>
        <w:t>项目名称：</w:t>
      </w:r>
      <w:r>
        <w:rPr>
          <w:b/>
          <w:sz w:val="30"/>
          <w:szCs w:val="30"/>
          <w:u w:val="single"/>
        </w:rPr>
        <w:t xml:space="preserve">       </w:t>
      </w:r>
      <w:r>
        <w:rPr>
          <w:rFonts w:hint="eastAsia"/>
          <w:sz w:val="30"/>
          <w:szCs w:val="30"/>
          <w:u w:val="single"/>
        </w:rPr>
        <w:t xml:space="preserve">梅州市城东片区供水项目  </w:t>
      </w:r>
      <w:r>
        <w:rPr>
          <w:sz w:val="30"/>
          <w:szCs w:val="30"/>
          <w:u w:val="single"/>
        </w:rPr>
        <w:t xml:space="preserve">      </w:t>
      </w:r>
    </w:p>
    <w:p>
      <w:pPr>
        <w:widowControl/>
        <w:spacing w:line="360" w:lineRule="auto"/>
        <w:ind w:left="2535" w:hanging="2535" w:hangingChars="845"/>
        <w:rPr>
          <w:sz w:val="30"/>
          <w:szCs w:val="30"/>
          <w:u w:val="single"/>
        </w:rPr>
      </w:pPr>
      <w:r>
        <w:rPr>
          <w:sz w:val="30"/>
          <w:szCs w:val="30"/>
        </w:rPr>
        <w:t xml:space="preserve">    </w:t>
      </w:r>
      <w:r>
        <w:rPr>
          <w:b/>
          <w:sz w:val="30"/>
          <w:szCs w:val="30"/>
        </w:rPr>
        <w:t>建设单位：</w:t>
      </w:r>
      <w:r>
        <w:rPr>
          <w:b/>
          <w:sz w:val="30"/>
          <w:szCs w:val="30"/>
          <w:u w:val="single"/>
        </w:rPr>
        <w:t xml:space="preserve">       </w:t>
      </w:r>
      <w:r>
        <w:rPr>
          <w:sz w:val="30"/>
          <w:szCs w:val="30"/>
          <w:u w:val="single"/>
        </w:rPr>
        <w:t>梅州粤海水务有限公司</w:t>
      </w:r>
      <w:r>
        <w:rPr>
          <w:rFonts w:hint="eastAsia"/>
          <w:sz w:val="30"/>
          <w:szCs w:val="30"/>
          <w:u w:val="single"/>
        </w:rPr>
        <w:t xml:space="preserve">  </w:t>
      </w:r>
      <w:r>
        <w:rPr>
          <w:sz w:val="30"/>
          <w:szCs w:val="30"/>
          <w:u w:val="single"/>
        </w:rPr>
        <w:t>（</w:t>
      </w:r>
      <w:r>
        <w:rPr>
          <w:b/>
          <w:sz w:val="30"/>
          <w:szCs w:val="30"/>
        </w:rPr>
        <w:t>盖章）</w:t>
      </w:r>
    </w:p>
    <w:p>
      <w:pPr>
        <w:rPr>
          <w:rFonts w:eastAsia="楷体_GB2312"/>
        </w:rPr>
      </w:pPr>
    </w:p>
    <w:p>
      <w:pPr>
        <w:rPr>
          <w:rFonts w:eastAsia="楷体_GB2312"/>
        </w:rPr>
      </w:pPr>
    </w:p>
    <w:p>
      <w:pPr>
        <w:rPr>
          <w:rFonts w:eastAsia="楷体_GB2312"/>
        </w:rPr>
      </w:pPr>
    </w:p>
    <w:p>
      <w:pPr>
        <w:rPr>
          <w:rFonts w:eastAsia="楷体_GB2312"/>
        </w:rPr>
      </w:pPr>
    </w:p>
    <w:p>
      <w:pPr>
        <w:rPr>
          <w:rFonts w:eastAsia="楷体_GB2312"/>
        </w:rPr>
      </w:pPr>
    </w:p>
    <w:p>
      <w:pPr>
        <w:rPr>
          <w:rFonts w:eastAsia="楷体_GB2312"/>
        </w:rPr>
      </w:pPr>
    </w:p>
    <w:p>
      <w:pPr>
        <w:rPr>
          <w:rFonts w:eastAsia="楷体_GB2312"/>
        </w:rPr>
      </w:pPr>
    </w:p>
    <w:p>
      <w:pPr>
        <w:rPr>
          <w:rFonts w:eastAsia="楷体_GB2312"/>
        </w:rPr>
      </w:pPr>
    </w:p>
    <w:p>
      <w:pPr>
        <w:rPr>
          <w:rFonts w:eastAsia="楷体_GB2312"/>
        </w:rPr>
      </w:pPr>
    </w:p>
    <w:p>
      <w:pPr>
        <w:rPr>
          <w:rFonts w:eastAsia="楷体_GB2312"/>
        </w:rPr>
      </w:pPr>
    </w:p>
    <w:p>
      <w:pPr>
        <w:rPr>
          <w:rFonts w:eastAsia="楷体_GB2312"/>
        </w:rPr>
      </w:pPr>
    </w:p>
    <w:p>
      <w:pPr>
        <w:spacing w:line="300" w:lineRule="auto"/>
        <w:jc w:val="center"/>
        <w:rPr>
          <w:sz w:val="32"/>
          <w:szCs w:val="32"/>
        </w:rPr>
      </w:pPr>
      <w:r>
        <w:rPr>
          <w:sz w:val="32"/>
          <w:szCs w:val="32"/>
        </w:rPr>
        <w:t>编制日期：2020年8月</w:t>
      </w:r>
    </w:p>
    <w:p>
      <w:pPr>
        <w:jc w:val="center"/>
        <w:rPr>
          <w:sz w:val="32"/>
          <w:szCs w:val="32"/>
        </w:rPr>
      </w:pPr>
      <w:r>
        <w:rPr>
          <w:sz w:val="32"/>
          <w:szCs w:val="32"/>
        </w:rPr>
        <w:t>国家环境保护总局制</w:t>
      </w:r>
    </w:p>
    <w:p>
      <w:pPr>
        <w:tabs>
          <w:tab w:val="left" w:pos="6270"/>
        </w:tabs>
        <w:jc w:val="left"/>
        <w:rPr>
          <w:sz w:val="30"/>
        </w:rPr>
      </w:pPr>
      <w:r>
        <w:rPr>
          <w:sz w:val="30"/>
        </w:rPr>
        <w:tab/>
      </w:r>
    </w:p>
    <w:p>
      <w:pPr>
        <w:tabs>
          <w:tab w:val="left" w:pos="6270"/>
        </w:tabs>
        <w:jc w:val="left"/>
        <w:rPr>
          <w:sz w:val="30"/>
        </w:rPr>
      </w:pPr>
    </w:p>
    <w:p>
      <w:pPr>
        <w:spacing w:line="480" w:lineRule="auto"/>
        <w:rPr>
          <w:sz w:val="28"/>
        </w:rPr>
      </w:pPr>
    </w:p>
    <w:p>
      <w:pPr>
        <w:autoSpaceDE w:val="0"/>
        <w:autoSpaceDN w:val="0"/>
        <w:adjustRightInd w:val="0"/>
        <w:jc w:val="center"/>
        <w:rPr>
          <w:b/>
          <w:bCs/>
          <w:kern w:val="0"/>
          <w:sz w:val="32"/>
          <w:szCs w:val="32"/>
        </w:rPr>
      </w:pPr>
      <w:r>
        <w:rPr>
          <w:b/>
          <w:bCs/>
          <w:kern w:val="0"/>
          <w:sz w:val="32"/>
          <w:szCs w:val="32"/>
        </w:rPr>
        <w:t>《建设项目环境影响报告表》编制说明</w:t>
      </w:r>
    </w:p>
    <w:p>
      <w:pPr>
        <w:autoSpaceDE w:val="0"/>
        <w:autoSpaceDN w:val="0"/>
        <w:adjustRightInd w:val="0"/>
        <w:ind w:firstLine="640"/>
        <w:jc w:val="center"/>
        <w:rPr>
          <w:b/>
          <w:bCs/>
          <w:kern w:val="0"/>
          <w:sz w:val="32"/>
          <w:szCs w:val="32"/>
        </w:rPr>
      </w:pPr>
    </w:p>
    <w:p>
      <w:pPr>
        <w:autoSpaceDE w:val="0"/>
        <w:autoSpaceDN w:val="0"/>
        <w:adjustRightInd w:val="0"/>
        <w:spacing w:line="535" w:lineRule="atLeast"/>
        <w:ind w:firstLine="560"/>
        <w:jc w:val="left"/>
        <w:rPr>
          <w:kern w:val="0"/>
          <w:sz w:val="28"/>
          <w:szCs w:val="28"/>
        </w:rPr>
      </w:pPr>
      <w:r>
        <w:rPr>
          <w:kern w:val="0"/>
          <w:sz w:val="28"/>
          <w:szCs w:val="28"/>
        </w:rPr>
        <w:t>《建设项目环境影响报告表》由具有从事环境影响评价工作资质的单位编制。</w:t>
      </w:r>
    </w:p>
    <w:p>
      <w:pPr>
        <w:autoSpaceDE w:val="0"/>
        <w:autoSpaceDN w:val="0"/>
        <w:adjustRightInd w:val="0"/>
        <w:spacing w:line="535" w:lineRule="atLeast"/>
        <w:ind w:firstLine="560"/>
        <w:jc w:val="left"/>
        <w:rPr>
          <w:kern w:val="0"/>
          <w:sz w:val="28"/>
          <w:szCs w:val="28"/>
        </w:rPr>
      </w:pPr>
      <w:r>
        <w:rPr>
          <w:kern w:val="0"/>
          <w:sz w:val="28"/>
          <w:szCs w:val="28"/>
        </w:rPr>
        <w:t>１、项目名称──指项目立项批复时的名称，应不超过30个字（两个英文字段作一个汉字）。</w:t>
      </w:r>
    </w:p>
    <w:p>
      <w:pPr>
        <w:autoSpaceDE w:val="0"/>
        <w:autoSpaceDN w:val="0"/>
        <w:adjustRightInd w:val="0"/>
        <w:spacing w:line="535" w:lineRule="atLeast"/>
        <w:ind w:firstLine="560"/>
        <w:jc w:val="left"/>
        <w:rPr>
          <w:kern w:val="0"/>
          <w:sz w:val="28"/>
          <w:szCs w:val="28"/>
        </w:rPr>
      </w:pPr>
      <w:r>
        <w:rPr>
          <w:kern w:val="0"/>
          <w:sz w:val="28"/>
          <w:szCs w:val="28"/>
        </w:rPr>
        <w:t>２、建设地点──指项目所在地详细地址，公路、铁路应填写起止地点。</w:t>
      </w:r>
    </w:p>
    <w:p>
      <w:pPr>
        <w:autoSpaceDE w:val="0"/>
        <w:autoSpaceDN w:val="0"/>
        <w:adjustRightInd w:val="0"/>
        <w:spacing w:line="535" w:lineRule="atLeast"/>
        <w:ind w:firstLine="560"/>
        <w:jc w:val="left"/>
        <w:rPr>
          <w:kern w:val="0"/>
          <w:sz w:val="28"/>
          <w:szCs w:val="28"/>
        </w:rPr>
      </w:pPr>
      <w:r>
        <w:rPr>
          <w:kern w:val="0"/>
          <w:sz w:val="28"/>
          <w:szCs w:val="28"/>
        </w:rPr>
        <w:t>３、行业类别──按国标填写。</w:t>
      </w:r>
    </w:p>
    <w:p>
      <w:pPr>
        <w:autoSpaceDE w:val="0"/>
        <w:autoSpaceDN w:val="0"/>
        <w:adjustRightInd w:val="0"/>
        <w:spacing w:line="535" w:lineRule="atLeast"/>
        <w:ind w:firstLine="560"/>
        <w:jc w:val="left"/>
        <w:rPr>
          <w:kern w:val="0"/>
          <w:sz w:val="28"/>
          <w:szCs w:val="28"/>
        </w:rPr>
      </w:pPr>
      <w:r>
        <w:rPr>
          <w:kern w:val="0"/>
          <w:sz w:val="28"/>
          <w:szCs w:val="28"/>
        </w:rPr>
        <w:t>４、总投资──指项目投资总额。</w:t>
      </w:r>
    </w:p>
    <w:p>
      <w:pPr>
        <w:autoSpaceDE w:val="0"/>
        <w:autoSpaceDN w:val="0"/>
        <w:adjustRightInd w:val="0"/>
        <w:spacing w:line="535" w:lineRule="atLeast"/>
        <w:ind w:firstLine="560"/>
        <w:jc w:val="left"/>
        <w:rPr>
          <w:kern w:val="0"/>
          <w:sz w:val="28"/>
          <w:szCs w:val="28"/>
        </w:rPr>
      </w:pPr>
      <w:r>
        <w:rPr>
          <w:kern w:val="0"/>
          <w:sz w:val="28"/>
          <w:szCs w:val="28"/>
        </w:rPr>
        <w:t>５、主要环境保护目标──指项目区周围一定范围内集中居民住宅区、学校、医院、保护文物、风景名胜区、水源地和生态敏感点等，应尽可能给出保护目标、性质、规模和距厂界距离等。</w:t>
      </w:r>
    </w:p>
    <w:p>
      <w:pPr>
        <w:autoSpaceDE w:val="0"/>
        <w:autoSpaceDN w:val="0"/>
        <w:adjustRightInd w:val="0"/>
        <w:spacing w:line="535" w:lineRule="atLeast"/>
        <w:ind w:firstLine="560"/>
        <w:jc w:val="left"/>
        <w:rPr>
          <w:kern w:val="0"/>
          <w:sz w:val="28"/>
          <w:szCs w:val="28"/>
        </w:rPr>
      </w:pPr>
      <w:r>
        <w:rPr>
          <w:kern w:val="0"/>
          <w:sz w:val="28"/>
          <w:szCs w:val="28"/>
        </w:rPr>
        <w:t>６、结论与建议──给出本项目清洁生产、达标排放和总量控制的分析结论，确定污染防治措施的有效性，说明本项目对环境造成的影响，给出建设项目环境可行性的明确结论。同时提出减少环境影响的其他建议。</w:t>
      </w:r>
    </w:p>
    <w:p>
      <w:pPr>
        <w:autoSpaceDE w:val="0"/>
        <w:autoSpaceDN w:val="0"/>
        <w:adjustRightInd w:val="0"/>
        <w:spacing w:line="535" w:lineRule="atLeast"/>
        <w:ind w:firstLine="560"/>
        <w:jc w:val="left"/>
        <w:rPr>
          <w:kern w:val="0"/>
          <w:sz w:val="28"/>
          <w:szCs w:val="28"/>
        </w:rPr>
      </w:pPr>
      <w:r>
        <w:rPr>
          <w:kern w:val="0"/>
          <w:sz w:val="28"/>
          <w:szCs w:val="28"/>
        </w:rPr>
        <w:t>７、预审意见──由行业主管部门填写答复意见，无主管部门项目，可不填。</w:t>
      </w:r>
    </w:p>
    <w:p>
      <w:pPr>
        <w:autoSpaceDE w:val="0"/>
        <w:autoSpaceDN w:val="0"/>
        <w:adjustRightInd w:val="0"/>
        <w:spacing w:line="535" w:lineRule="atLeast"/>
        <w:ind w:firstLine="560"/>
        <w:jc w:val="left"/>
        <w:rPr>
          <w:kern w:val="0"/>
          <w:sz w:val="28"/>
          <w:szCs w:val="28"/>
        </w:rPr>
      </w:pPr>
      <w:r>
        <w:rPr>
          <w:kern w:val="0"/>
          <w:sz w:val="28"/>
          <w:szCs w:val="28"/>
        </w:rPr>
        <w:t>８、审批意见──由负责审批该项目的环境保护行政主管部门批复。</w:t>
      </w:r>
    </w:p>
    <w:p>
      <w:pPr>
        <w:autoSpaceDE w:val="0"/>
        <w:autoSpaceDN w:val="0"/>
        <w:adjustRightInd w:val="0"/>
        <w:spacing w:line="495" w:lineRule="atLeast"/>
        <w:ind w:firstLine="480"/>
        <w:jc w:val="left"/>
        <w:rPr>
          <w:kern w:val="0"/>
          <w:szCs w:val="28"/>
        </w:rPr>
      </w:pPr>
    </w:p>
    <w:p>
      <w:pPr>
        <w:autoSpaceDE w:val="0"/>
        <w:autoSpaceDN w:val="0"/>
        <w:adjustRightInd w:val="0"/>
        <w:spacing w:line="495" w:lineRule="atLeast"/>
        <w:ind w:firstLine="480"/>
        <w:jc w:val="left"/>
        <w:rPr>
          <w:kern w:val="0"/>
          <w:szCs w:val="28"/>
        </w:rPr>
      </w:pPr>
    </w:p>
    <w:p/>
    <w:p/>
    <w:p>
      <w:pPr>
        <w:jc w:val="center"/>
        <w:rPr>
          <w:b/>
          <w:sz w:val="52"/>
        </w:rPr>
      </w:pPr>
    </w:p>
    <w:p>
      <w:pPr>
        <w:spacing w:before="60" w:after="60" w:line="460" w:lineRule="atLeast"/>
        <w:ind w:left="1590" w:hanging="1590" w:hangingChars="495"/>
        <w:rPr>
          <w:b/>
          <w:sz w:val="32"/>
        </w:rPr>
      </w:pPr>
    </w:p>
    <w:p>
      <w:pPr>
        <w:spacing w:before="60" w:after="60" w:line="460" w:lineRule="atLeast"/>
        <w:ind w:left="1590" w:hanging="1590" w:hangingChars="495"/>
        <w:rPr>
          <w:b/>
          <w:color w:val="FF0000"/>
          <w:sz w:val="32"/>
        </w:rPr>
        <w:sectPr>
          <w:footerReference r:id="rId3" w:type="default"/>
          <w:pgSz w:w="11907" w:h="16840"/>
          <w:pgMar w:top="1531" w:right="1134" w:bottom="1134" w:left="1418" w:header="907" w:footer="907" w:gutter="0"/>
          <w:pgNumType w:start="1"/>
          <w:cols w:space="720" w:num="1"/>
          <w:docGrid w:linePitch="326" w:charSpace="-4916"/>
        </w:sectPr>
      </w:pPr>
    </w:p>
    <w:p>
      <w:pPr>
        <w:spacing w:before="60" w:after="60" w:line="460" w:lineRule="atLeast"/>
        <w:ind w:left="1485" w:hanging="1485" w:hangingChars="495"/>
        <w:rPr>
          <w:rFonts w:eastAsia="黑体"/>
          <w:bCs/>
          <w:sz w:val="30"/>
        </w:rPr>
      </w:pPr>
      <w:r>
        <w:rPr>
          <w:rFonts w:hint="eastAsia" w:eastAsia="黑体"/>
          <w:bCs/>
          <w:sz w:val="30"/>
        </w:rPr>
        <w:t>一、</w:t>
      </w:r>
      <w:r>
        <w:rPr>
          <w:rFonts w:eastAsia="黑体"/>
          <w:bCs/>
          <w:sz w:val="30"/>
        </w:rPr>
        <w:t>建设项目基本情况</w:t>
      </w:r>
    </w:p>
    <w:tbl>
      <w:tblPr>
        <w:tblStyle w:val="33"/>
        <w:tblW w:w="9582"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508"/>
        <w:gridCol w:w="1441"/>
        <w:gridCol w:w="448"/>
        <w:gridCol w:w="1284"/>
        <w:gridCol w:w="74"/>
        <w:gridCol w:w="237"/>
        <w:gridCol w:w="1318"/>
        <w:gridCol w:w="112"/>
        <w:gridCol w:w="286"/>
        <w:gridCol w:w="1352"/>
        <w:gridCol w:w="1522"/>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32" w:hRule="atLeast"/>
        </w:trPr>
        <w:tc>
          <w:tcPr>
            <w:tcW w:w="1509" w:type="dxa"/>
            <w:vAlign w:val="center"/>
          </w:tcPr>
          <w:p>
            <w:pPr>
              <w:jc w:val="center"/>
              <w:rPr>
                <w:sz w:val="24"/>
              </w:rPr>
            </w:pPr>
            <w:r>
              <w:rPr>
                <w:sz w:val="24"/>
              </w:rPr>
              <w:t>项目名称</w:t>
            </w:r>
          </w:p>
        </w:tc>
        <w:tc>
          <w:tcPr>
            <w:tcW w:w="8073" w:type="dxa"/>
            <w:gridSpan w:val="10"/>
            <w:vAlign w:val="center"/>
          </w:tcPr>
          <w:p>
            <w:pPr>
              <w:jc w:val="center"/>
              <w:rPr>
                <w:sz w:val="24"/>
              </w:rPr>
            </w:pPr>
            <w:r>
              <w:rPr>
                <w:sz w:val="24"/>
              </w:rPr>
              <w:t>梅州市城东片区供水项目</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32" w:hRule="atLeast"/>
        </w:trPr>
        <w:tc>
          <w:tcPr>
            <w:tcW w:w="1509" w:type="dxa"/>
            <w:vAlign w:val="center"/>
          </w:tcPr>
          <w:p>
            <w:pPr>
              <w:jc w:val="center"/>
              <w:rPr>
                <w:sz w:val="24"/>
              </w:rPr>
            </w:pPr>
            <w:r>
              <w:rPr>
                <w:sz w:val="24"/>
              </w:rPr>
              <w:t>建设单位</w:t>
            </w:r>
          </w:p>
        </w:tc>
        <w:tc>
          <w:tcPr>
            <w:tcW w:w="8073" w:type="dxa"/>
            <w:gridSpan w:val="10"/>
            <w:vAlign w:val="center"/>
          </w:tcPr>
          <w:p>
            <w:pPr>
              <w:jc w:val="center"/>
              <w:rPr>
                <w:sz w:val="24"/>
              </w:rPr>
            </w:pPr>
            <w:r>
              <w:rPr>
                <w:sz w:val="24"/>
              </w:rPr>
              <w:t>梅州粤海水务有限公司</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32" w:hRule="atLeast"/>
        </w:trPr>
        <w:tc>
          <w:tcPr>
            <w:tcW w:w="1509" w:type="dxa"/>
            <w:vAlign w:val="center"/>
          </w:tcPr>
          <w:p>
            <w:pPr>
              <w:jc w:val="center"/>
              <w:rPr>
                <w:sz w:val="24"/>
              </w:rPr>
            </w:pPr>
            <w:r>
              <w:rPr>
                <w:sz w:val="24"/>
              </w:rPr>
              <w:t>法人代表</w:t>
            </w:r>
          </w:p>
        </w:tc>
        <w:tc>
          <w:tcPr>
            <w:tcW w:w="3484" w:type="dxa"/>
            <w:gridSpan w:val="5"/>
            <w:vAlign w:val="center"/>
          </w:tcPr>
          <w:p>
            <w:pPr>
              <w:pStyle w:val="74"/>
              <w:autoSpaceDE/>
              <w:autoSpaceDN/>
              <w:adjustRightInd/>
              <w:textAlignment w:val="auto"/>
              <w:rPr>
                <w:rFonts w:ascii="宋体" w:eastAsia="宋体"/>
                <w:kern w:val="2"/>
                <w:szCs w:val="24"/>
              </w:rPr>
            </w:pPr>
            <w:r>
              <w:rPr>
                <w:rFonts w:hint="eastAsia" w:ascii="宋体" w:eastAsia="宋体"/>
                <w:kern w:val="2"/>
                <w:szCs w:val="24"/>
              </w:rPr>
              <w:t>钟荣炎</w:t>
            </w:r>
          </w:p>
        </w:tc>
        <w:tc>
          <w:tcPr>
            <w:tcW w:w="1430" w:type="dxa"/>
            <w:gridSpan w:val="2"/>
            <w:vAlign w:val="center"/>
          </w:tcPr>
          <w:p>
            <w:pPr>
              <w:jc w:val="center"/>
              <w:rPr>
                <w:rFonts w:ascii="宋体"/>
                <w:sz w:val="24"/>
              </w:rPr>
            </w:pPr>
            <w:r>
              <w:rPr>
                <w:rFonts w:hint="eastAsia" w:ascii="宋体"/>
                <w:sz w:val="24"/>
              </w:rPr>
              <w:t>联系人</w:t>
            </w:r>
          </w:p>
        </w:tc>
        <w:tc>
          <w:tcPr>
            <w:tcW w:w="3159" w:type="dxa"/>
            <w:gridSpan w:val="3"/>
            <w:vAlign w:val="center"/>
          </w:tcPr>
          <w:p>
            <w:pPr>
              <w:pStyle w:val="74"/>
              <w:autoSpaceDE/>
              <w:autoSpaceDN/>
              <w:adjustRightInd/>
              <w:textAlignment w:val="auto"/>
              <w:rPr>
                <w:rFonts w:ascii="宋体" w:eastAsia="宋体"/>
                <w:kern w:val="2"/>
              </w:rPr>
            </w:pPr>
            <w:r>
              <w:rPr>
                <w:rFonts w:hint="eastAsia" w:ascii="宋体" w:eastAsia="宋体"/>
                <w:kern w:val="2"/>
              </w:rPr>
              <w:t>张振杰</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32" w:hRule="atLeast"/>
        </w:trPr>
        <w:tc>
          <w:tcPr>
            <w:tcW w:w="1509" w:type="dxa"/>
            <w:vAlign w:val="center"/>
          </w:tcPr>
          <w:p>
            <w:pPr>
              <w:jc w:val="center"/>
              <w:rPr>
                <w:sz w:val="24"/>
              </w:rPr>
            </w:pPr>
            <w:r>
              <w:rPr>
                <w:sz w:val="24"/>
              </w:rPr>
              <w:t>通讯地址</w:t>
            </w:r>
          </w:p>
        </w:tc>
        <w:tc>
          <w:tcPr>
            <w:tcW w:w="8073" w:type="dxa"/>
            <w:gridSpan w:val="10"/>
            <w:vAlign w:val="center"/>
          </w:tcPr>
          <w:p>
            <w:pPr>
              <w:jc w:val="center"/>
              <w:rPr>
                <w:sz w:val="24"/>
              </w:rPr>
            </w:pPr>
            <w:r>
              <w:rPr>
                <w:rFonts w:hint="eastAsia"/>
                <w:sz w:val="24"/>
              </w:rPr>
              <w:t>梅州市梅江区马鞍山</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32" w:hRule="atLeast"/>
        </w:trPr>
        <w:tc>
          <w:tcPr>
            <w:tcW w:w="1509" w:type="dxa"/>
            <w:vAlign w:val="center"/>
          </w:tcPr>
          <w:p>
            <w:pPr>
              <w:jc w:val="center"/>
              <w:rPr>
                <w:sz w:val="24"/>
              </w:rPr>
            </w:pPr>
            <w:r>
              <w:rPr>
                <w:sz w:val="24"/>
              </w:rPr>
              <w:t>联系电话</w:t>
            </w:r>
          </w:p>
        </w:tc>
        <w:tc>
          <w:tcPr>
            <w:tcW w:w="1889" w:type="dxa"/>
            <w:gridSpan w:val="2"/>
            <w:vAlign w:val="center"/>
          </w:tcPr>
          <w:p>
            <w:pPr>
              <w:jc w:val="center"/>
              <w:rPr>
                <w:sz w:val="24"/>
              </w:rPr>
            </w:pPr>
            <w:r>
              <w:rPr>
                <w:sz w:val="24"/>
              </w:rPr>
              <w:t>13431816070</w:t>
            </w:r>
          </w:p>
        </w:tc>
        <w:tc>
          <w:tcPr>
            <w:tcW w:w="1284" w:type="dxa"/>
            <w:vAlign w:val="center"/>
          </w:tcPr>
          <w:p>
            <w:pPr>
              <w:jc w:val="center"/>
              <w:rPr>
                <w:sz w:val="24"/>
              </w:rPr>
            </w:pPr>
            <w:r>
              <w:rPr>
                <w:sz w:val="24"/>
              </w:rPr>
              <w:t>传真</w:t>
            </w:r>
          </w:p>
        </w:tc>
        <w:tc>
          <w:tcPr>
            <w:tcW w:w="2027" w:type="dxa"/>
            <w:gridSpan w:val="5"/>
            <w:vAlign w:val="center"/>
          </w:tcPr>
          <w:p>
            <w:pPr>
              <w:pStyle w:val="116"/>
              <w:topLinePunct w:val="0"/>
              <w:autoSpaceDE/>
              <w:autoSpaceDN/>
              <w:adjustRightInd/>
              <w:textAlignment w:val="auto"/>
              <w:rPr>
                <w:rFonts w:ascii="Times New Roman" w:hAnsi="Times New Roman"/>
                <w:kern w:val="2"/>
                <w:position w:val="0"/>
                <w:sz w:val="24"/>
                <w:szCs w:val="24"/>
              </w:rPr>
            </w:pPr>
            <w:r>
              <w:rPr>
                <w:rFonts w:ascii="Times New Roman" w:hAnsi="Times New Roman"/>
                <w:kern w:val="2"/>
                <w:position w:val="0"/>
                <w:sz w:val="24"/>
                <w:szCs w:val="24"/>
              </w:rPr>
              <w:t>——</w:t>
            </w:r>
          </w:p>
        </w:tc>
        <w:tc>
          <w:tcPr>
            <w:tcW w:w="1351" w:type="dxa"/>
            <w:vAlign w:val="center"/>
          </w:tcPr>
          <w:p>
            <w:pPr>
              <w:jc w:val="center"/>
              <w:rPr>
                <w:sz w:val="24"/>
              </w:rPr>
            </w:pPr>
            <w:r>
              <w:rPr>
                <w:sz w:val="24"/>
              </w:rPr>
              <w:t>邮政编码</w:t>
            </w:r>
          </w:p>
        </w:tc>
        <w:tc>
          <w:tcPr>
            <w:tcW w:w="1522" w:type="dxa"/>
            <w:vAlign w:val="center"/>
          </w:tcPr>
          <w:p>
            <w:pPr>
              <w:pStyle w:val="116"/>
              <w:topLinePunct w:val="0"/>
              <w:autoSpaceDE/>
              <w:autoSpaceDN/>
              <w:adjustRightInd/>
              <w:textAlignment w:val="auto"/>
              <w:rPr>
                <w:rFonts w:ascii="Times New Roman" w:hAnsi="Times New Roman"/>
                <w:kern w:val="2"/>
                <w:position w:val="0"/>
                <w:sz w:val="24"/>
                <w:szCs w:val="24"/>
              </w:rPr>
            </w:pPr>
            <w:r>
              <w:rPr>
                <w:rFonts w:ascii="Times New Roman" w:hAnsi="Times New Roman"/>
                <w:sz w:val="24"/>
              </w:rPr>
              <w:t>514000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32" w:hRule="atLeast"/>
        </w:trPr>
        <w:tc>
          <w:tcPr>
            <w:tcW w:w="1509" w:type="dxa"/>
            <w:vAlign w:val="center"/>
          </w:tcPr>
          <w:p>
            <w:pPr>
              <w:jc w:val="center"/>
              <w:rPr>
                <w:sz w:val="24"/>
              </w:rPr>
            </w:pPr>
            <w:r>
              <w:rPr>
                <w:sz w:val="24"/>
              </w:rPr>
              <w:t>建设地点</w:t>
            </w:r>
          </w:p>
        </w:tc>
        <w:tc>
          <w:tcPr>
            <w:tcW w:w="8073" w:type="dxa"/>
            <w:gridSpan w:val="10"/>
            <w:vAlign w:val="center"/>
          </w:tcPr>
          <w:p>
            <w:pPr>
              <w:jc w:val="center"/>
              <w:rPr>
                <w:sz w:val="24"/>
              </w:rPr>
            </w:pPr>
            <w:r>
              <w:rPr>
                <w:rFonts w:hint="eastAsia" w:ascii="宋体"/>
                <w:sz w:val="24"/>
              </w:rPr>
              <w:t>梅江区金山街道、梅县区城东镇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32" w:hRule="atLeast"/>
        </w:trPr>
        <w:tc>
          <w:tcPr>
            <w:tcW w:w="1508" w:type="dxa"/>
            <w:vAlign w:val="center"/>
          </w:tcPr>
          <w:p>
            <w:pPr>
              <w:jc w:val="center"/>
              <w:rPr>
                <w:sz w:val="24"/>
              </w:rPr>
            </w:pPr>
            <w:r>
              <w:rPr>
                <w:sz w:val="24"/>
              </w:rPr>
              <w:t>立项审批</w:t>
            </w:r>
          </w:p>
          <w:p>
            <w:pPr>
              <w:jc w:val="center"/>
              <w:rPr>
                <w:sz w:val="24"/>
              </w:rPr>
            </w:pPr>
            <w:r>
              <w:rPr>
                <w:sz w:val="24"/>
              </w:rPr>
              <w:t>部门</w:t>
            </w:r>
          </w:p>
        </w:tc>
        <w:tc>
          <w:tcPr>
            <w:tcW w:w="3247" w:type="dxa"/>
            <w:gridSpan w:val="4"/>
            <w:vAlign w:val="center"/>
          </w:tcPr>
          <w:p>
            <w:pPr>
              <w:jc w:val="center"/>
              <w:rPr>
                <w:rFonts w:ascii="宋体"/>
                <w:color w:val="FF0000"/>
                <w:sz w:val="24"/>
              </w:rPr>
            </w:pPr>
          </w:p>
        </w:tc>
        <w:tc>
          <w:tcPr>
            <w:tcW w:w="1555" w:type="dxa"/>
            <w:gridSpan w:val="2"/>
            <w:vAlign w:val="center"/>
          </w:tcPr>
          <w:p>
            <w:pPr>
              <w:jc w:val="center"/>
              <w:rPr>
                <w:rFonts w:ascii="宋体"/>
                <w:sz w:val="24"/>
              </w:rPr>
            </w:pPr>
            <w:r>
              <w:rPr>
                <w:rFonts w:hint="eastAsia" w:ascii="宋体"/>
                <w:sz w:val="24"/>
              </w:rPr>
              <w:t>批准文号</w:t>
            </w:r>
          </w:p>
        </w:tc>
        <w:tc>
          <w:tcPr>
            <w:tcW w:w="3272" w:type="dxa"/>
            <w:gridSpan w:val="4"/>
            <w:vAlign w:val="center"/>
          </w:tcPr>
          <w:p>
            <w:pPr>
              <w:jc w:val="center"/>
              <w:rPr>
                <w:rFonts w:hint="default" w:ascii="宋体" w:eastAsia="宋体"/>
                <w:sz w:val="24"/>
                <w:lang w:val="en-US" w:eastAsia="zh-CN"/>
              </w:rPr>
            </w:pPr>
            <w:bookmarkStart w:id="19" w:name="_GoBack"/>
            <w:bookmarkEnd w:id="19"/>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632" w:hRule="atLeast"/>
        </w:trPr>
        <w:tc>
          <w:tcPr>
            <w:tcW w:w="1509" w:type="dxa"/>
            <w:vAlign w:val="center"/>
          </w:tcPr>
          <w:p>
            <w:pPr>
              <w:jc w:val="center"/>
              <w:rPr>
                <w:sz w:val="24"/>
              </w:rPr>
            </w:pPr>
            <w:r>
              <w:rPr>
                <w:sz w:val="24"/>
              </w:rPr>
              <w:t>建设性质</w:t>
            </w:r>
          </w:p>
        </w:tc>
        <w:tc>
          <w:tcPr>
            <w:tcW w:w="3246" w:type="dxa"/>
            <w:gridSpan w:val="4"/>
            <w:vAlign w:val="center"/>
          </w:tcPr>
          <w:p>
            <w:pPr>
              <w:jc w:val="center"/>
              <w:rPr>
                <w:sz w:val="24"/>
              </w:rPr>
            </w:pPr>
            <w:r>
              <w:rPr>
                <w:sz w:val="24"/>
              </w:rPr>
              <w:t>新建√   扩建   技改</w:t>
            </w:r>
          </w:p>
        </w:tc>
        <w:tc>
          <w:tcPr>
            <w:tcW w:w="1555" w:type="dxa"/>
            <w:gridSpan w:val="2"/>
            <w:vAlign w:val="center"/>
          </w:tcPr>
          <w:p>
            <w:pPr>
              <w:pStyle w:val="42"/>
              <w:autoSpaceDE/>
              <w:autoSpaceDN/>
              <w:adjustRightInd/>
              <w:textAlignment w:val="auto"/>
              <w:rPr>
                <w:rFonts w:ascii="Times New Roman" w:hAnsi="Times New Roman"/>
                <w:kern w:val="2"/>
                <w:szCs w:val="24"/>
              </w:rPr>
            </w:pPr>
            <w:r>
              <w:rPr>
                <w:rFonts w:ascii="Times New Roman" w:hAnsi="Times New Roman"/>
                <w:kern w:val="2"/>
                <w:szCs w:val="24"/>
              </w:rPr>
              <w:t>行业类别</w:t>
            </w:r>
          </w:p>
          <w:p>
            <w:pPr>
              <w:pStyle w:val="42"/>
              <w:autoSpaceDE/>
              <w:autoSpaceDN/>
              <w:adjustRightInd/>
              <w:textAlignment w:val="auto"/>
              <w:rPr>
                <w:rFonts w:ascii="Times New Roman" w:hAnsi="Times New Roman"/>
                <w:kern w:val="2"/>
                <w:szCs w:val="24"/>
              </w:rPr>
            </w:pPr>
            <w:r>
              <w:rPr>
                <w:rFonts w:ascii="Times New Roman" w:hAnsi="Times New Roman"/>
                <w:kern w:val="2"/>
                <w:szCs w:val="24"/>
              </w:rPr>
              <w:t>及代码</w:t>
            </w:r>
          </w:p>
        </w:tc>
        <w:tc>
          <w:tcPr>
            <w:tcW w:w="3272" w:type="dxa"/>
            <w:gridSpan w:val="4"/>
            <w:vAlign w:val="center"/>
          </w:tcPr>
          <w:p>
            <w:pPr>
              <w:jc w:val="center"/>
              <w:rPr>
                <w:sz w:val="24"/>
              </w:rPr>
            </w:pPr>
            <w:r>
              <w:rPr>
                <w:rFonts w:hint="eastAsia"/>
                <w:sz w:val="24"/>
              </w:rPr>
              <w:t>D</w:t>
            </w:r>
            <w:r>
              <w:rPr>
                <w:sz w:val="24"/>
              </w:rPr>
              <w:t>4610</w:t>
            </w:r>
            <w:r>
              <w:rPr>
                <w:rFonts w:hint="eastAsia"/>
                <w:sz w:val="24"/>
              </w:rPr>
              <w:t>自来水生产和供应</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632" w:hRule="atLeast"/>
        </w:trPr>
        <w:tc>
          <w:tcPr>
            <w:tcW w:w="1509" w:type="dxa"/>
            <w:vAlign w:val="center"/>
          </w:tcPr>
          <w:p>
            <w:pPr>
              <w:jc w:val="center"/>
              <w:rPr>
                <w:sz w:val="24"/>
              </w:rPr>
            </w:pPr>
            <w:r>
              <w:rPr>
                <w:sz w:val="24"/>
              </w:rPr>
              <w:t>占地面积</w:t>
            </w:r>
          </w:p>
          <w:p>
            <w:pPr>
              <w:jc w:val="center"/>
              <w:rPr>
                <w:sz w:val="24"/>
              </w:rPr>
            </w:pPr>
            <w:r>
              <w:rPr>
                <w:sz w:val="24"/>
              </w:rPr>
              <w:t>(平方米)</w:t>
            </w:r>
          </w:p>
        </w:tc>
        <w:tc>
          <w:tcPr>
            <w:tcW w:w="3246" w:type="dxa"/>
            <w:gridSpan w:val="4"/>
            <w:vAlign w:val="center"/>
          </w:tcPr>
          <w:p>
            <w:pPr>
              <w:jc w:val="center"/>
              <w:rPr>
                <w:sz w:val="24"/>
              </w:rPr>
            </w:pPr>
            <w:r>
              <w:rPr>
                <w:sz w:val="24"/>
              </w:rPr>
              <w:t>3998</w:t>
            </w:r>
          </w:p>
        </w:tc>
        <w:tc>
          <w:tcPr>
            <w:tcW w:w="1555" w:type="dxa"/>
            <w:gridSpan w:val="2"/>
            <w:vAlign w:val="center"/>
          </w:tcPr>
          <w:p>
            <w:pPr>
              <w:jc w:val="center"/>
              <w:rPr>
                <w:sz w:val="24"/>
              </w:rPr>
            </w:pPr>
            <w:r>
              <w:rPr>
                <w:rFonts w:hint="eastAsia"/>
                <w:sz w:val="24"/>
              </w:rPr>
              <w:t>绿化</w:t>
            </w:r>
            <w:r>
              <w:rPr>
                <w:sz w:val="24"/>
              </w:rPr>
              <w:t>面积</w:t>
            </w:r>
          </w:p>
          <w:p>
            <w:pPr>
              <w:jc w:val="center"/>
              <w:rPr>
                <w:sz w:val="24"/>
              </w:rPr>
            </w:pPr>
            <w:r>
              <w:rPr>
                <w:sz w:val="24"/>
              </w:rPr>
              <w:t>(平方米)</w:t>
            </w:r>
          </w:p>
        </w:tc>
        <w:tc>
          <w:tcPr>
            <w:tcW w:w="3272" w:type="dxa"/>
            <w:gridSpan w:val="4"/>
            <w:vAlign w:val="center"/>
          </w:tcPr>
          <w:p>
            <w:pPr>
              <w:jc w:val="center"/>
              <w:rPr>
                <w:sz w:val="24"/>
              </w:rPr>
            </w:pPr>
            <w:r>
              <w:rPr>
                <w:sz w:val="24"/>
              </w:rPr>
              <w:t>2120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32" w:hRule="atLeast"/>
        </w:trPr>
        <w:tc>
          <w:tcPr>
            <w:tcW w:w="1509" w:type="dxa"/>
            <w:vAlign w:val="center"/>
          </w:tcPr>
          <w:p>
            <w:pPr>
              <w:jc w:val="center"/>
              <w:rPr>
                <w:sz w:val="24"/>
              </w:rPr>
            </w:pPr>
            <w:r>
              <w:rPr>
                <w:sz w:val="24"/>
              </w:rPr>
              <w:t>总投资</w:t>
            </w:r>
          </w:p>
          <w:p>
            <w:pPr>
              <w:jc w:val="center"/>
              <w:rPr>
                <w:sz w:val="24"/>
              </w:rPr>
            </w:pPr>
            <w:r>
              <w:rPr>
                <w:sz w:val="24"/>
              </w:rPr>
              <w:t>（万元）</w:t>
            </w:r>
          </w:p>
        </w:tc>
        <w:tc>
          <w:tcPr>
            <w:tcW w:w="1441" w:type="dxa"/>
            <w:vAlign w:val="center"/>
          </w:tcPr>
          <w:p>
            <w:pPr>
              <w:jc w:val="center"/>
              <w:rPr>
                <w:sz w:val="24"/>
              </w:rPr>
            </w:pPr>
            <w:r>
              <w:rPr>
                <w:sz w:val="24"/>
              </w:rPr>
              <w:t>4525.6</w:t>
            </w:r>
          </w:p>
        </w:tc>
        <w:tc>
          <w:tcPr>
            <w:tcW w:w="1805" w:type="dxa"/>
            <w:gridSpan w:val="3"/>
            <w:vAlign w:val="center"/>
          </w:tcPr>
          <w:p>
            <w:pPr>
              <w:jc w:val="center"/>
              <w:rPr>
                <w:sz w:val="24"/>
              </w:rPr>
            </w:pPr>
            <w:r>
              <w:rPr>
                <w:sz w:val="24"/>
              </w:rPr>
              <w:t>其中：环保投资（万元）</w:t>
            </w:r>
          </w:p>
        </w:tc>
        <w:tc>
          <w:tcPr>
            <w:tcW w:w="1555" w:type="dxa"/>
            <w:gridSpan w:val="2"/>
            <w:vAlign w:val="center"/>
          </w:tcPr>
          <w:p>
            <w:pPr>
              <w:jc w:val="center"/>
              <w:rPr>
                <w:sz w:val="24"/>
              </w:rPr>
            </w:pPr>
            <w:r>
              <w:rPr>
                <w:sz w:val="24"/>
              </w:rPr>
              <w:t>500</w:t>
            </w:r>
          </w:p>
        </w:tc>
        <w:tc>
          <w:tcPr>
            <w:tcW w:w="1750" w:type="dxa"/>
            <w:gridSpan w:val="3"/>
            <w:vAlign w:val="center"/>
          </w:tcPr>
          <w:p>
            <w:pPr>
              <w:jc w:val="center"/>
              <w:rPr>
                <w:sz w:val="24"/>
              </w:rPr>
            </w:pPr>
            <w:r>
              <w:rPr>
                <w:sz w:val="24"/>
              </w:rPr>
              <w:t>环保投资占总投资比例</w:t>
            </w:r>
          </w:p>
        </w:tc>
        <w:tc>
          <w:tcPr>
            <w:tcW w:w="1522" w:type="dxa"/>
            <w:vAlign w:val="center"/>
          </w:tcPr>
          <w:p>
            <w:pPr>
              <w:pStyle w:val="83"/>
              <w:topLinePunct w:val="0"/>
              <w:autoSpaceDE/>
              <w:autoSpaceDN/>
              <w:adjustRightInd/>
              <w:textAlignment w:val="auto"/>
              <w:rPr>
                <w:rFonts w:ascii="Times New Roman" w:hAnsi="Times New Roman"/>
                <w:kern w:val="2"/>
                <w:sz w:val="24"/>
                <w:szCs w:val="24"/>
              </w:rPr>
            </w:pPr>
            <w:r>
              <w:rPr>
                <w:rFonts w:ascii="Times New Roman" w:hAnsi="Times New Roman"/>
                <w:kern w:val="2"/>
                <w:sz w:val="24"/>
                <w:szCs w:val="24"/>
              </w:rPr>
              <w:t>11</w:t>
            </w:r>
            <w:r>
              <w:rPr>
                <w:rFonts w:hint="eastAsia" w:ascii="Times New Roman" w:hAnsi="Times New Roman"/>
                <w:kern w:val="2"/>
                <w:sz w:val="24"/>
                <w:szCs w:val="24"/>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58" w:hRule="atLeast"/>
        </w:trPr>
        <w:tc>
          <w:tcPr>
            <w:tcW w:w="1509" w:type="dxa"/>
            <w:vAlign w:val="center"/>
          </w:tcPr>
          <w:p>
            <w:pPr>
              <w:jc w:val="center"/>
              <w:rPr>
                <w:sz w:val="24"/>
              </w:rPr>
            </w:pPr>
            <w:r>
              <w:rPr>
                <w:sz w:val="24"/>
              </w:rPr>
              <w:t>评价经费</w:t>
            </w:r>
          </w:p>
          <w:p>
            <w:pPr>
              <w:jc w:val="center"/>
              <w:rPr>
                <w:sz w:val="24"/>
              </w:rPr>
            </w:pPr>
            <w:r>
              <w:rPr>
                <w:sz w:val="24"/>
              </w:rPr>
              <w:t>(万元)</w:t>
            </w:r>
          </w:p>
        </w:tc>
        <w:tc>
          <w:tcPr>
            <w:tcW w:w="1441" w:type="dxa"/>
            <w:vAlign w:val="center"/>
          </w:tcPr>
          <w:p>
            <w:pPr>
              <w:pStyle w:val="42"/>
              <w:autoSpaceDE/>
              <w:autoSpaceDN/>
              <w:adjustRightInd/>
              <w:textAlignment w:val="auto"/>
              <w:rPr>
                <w:rFonts w:ascii="Times New Roman" w:hAnsi="Times New Roman"/>
                <w:kern w:val="2"/>
                <w:szCs w:val="24"/>
              </w:rPr>
            </w:pPr>
            <w:r>
              <w:rPr>
                <w:rFonts w:hint="eastAsia" w:ascii="Times New Roman" w:hAnsi="Times New Roman"/>
                <w:kern w:val="2"/>
                <w:szCs w:val="24"/>
              </w:rPr>
              <w:t>——</w:t>
            </w:r>
          </w:p>
        </w:tc>
        <w:tc>
          <w:tcPr>
            <w:tcW w:w="1805" w:type="dxa"/>
            <w:gridSpan w:val="3"/>
            <w:vAlign w:val="center"/>
          </w:tcPr>
          <w:p>
            <w:pPr>
              <w:jc w:val="center"/>
              <w:rPr>
                <w:sz w:val="24"/>
              </w:rPr>
            </w:pPr>
            <w:r>
              <w:rPr>
                <w:sz w:val="24"/>
              </w:rPr>
              <w:t>投产日期</w:t>
            </w:r>
          </w:p>
        </w:tc>
        <w:tc>
          <w:tcPr>
            <w:tcW w:w="4827" w:type="dxa"/>
            <w:gridSpan w:val="6"/>
            <w:vAlign w:val="center"/>
          </w:tcPr>
          <w:p>
            <w:pPr>
              <w:pStyle w:val="42"/>
              <w:autoSpaceDE/>
              <w:autoSpaceDN/>
              <w:adjustRightInd/>
              <w:textAlignment w:val="auto"/>
              <w:rPr>
                <w:rFonts w:ascii="Times New Roman" w:hAnsi="Times New Roman"/>
                <w:kern w:val="2"/>
                <w:szCs w:val="24"/>
              </w:rPr>
            </w:pPr>
            <w:r>
              <w:rPr>
                <w:rFonts w:hint="eastAsia" w:ascii="Times New Roman" w:hAnsi="Times New Roman"/>
                <w:kern w:val="2"/>
                <w:szCs w:val="24"/>
              </w:rPr>
              <w:t>2021年12月</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529" w:hRule="atLeast"/>
        </w:trPr>
        <w:tc>
          <w:tcPr>
            <w:tcW w:w="9582" w:type="dxa"/>
            <w:gridSpan w:val="11"/>
            <w:tcBorders>
              <w:bottom w:val="single" w:color="auto" w:sz="4" w:space="0"/>
            </w:tcBorders>
          </w:tcPr>
          <w:p>
            <w:pPr>
              <w:spacing w:line="360" w:lineRule="auto"/>
              <w:rPr>
                <w:b/>
                <w:bCs/>
                <w:color w:val="auto"/>
                <w:sz w:val="28"/>
                <w:szCs w:val="28"/>
              </w:rPr>
            </w:pPr>
            <w:r>
              <w:rPr>
                <w:b/>
                <w:bCs/>
                <w:color w:val="auto"/>
                <w:sz w:val="28"/>
                <w:szCs w:val="28"/>
              </w:rPr>
              <w:t>工程内容及规模：</w:t>
            </w:r>
          </w:p>
          <w:p>
            <w:pPr>
              <w:tabs>
                <w:tab w:val="left" w:pos="3495"/>
              </w:tabs>
              <w:spacing w:line="360" w:lineRule="auto"/>
              <w:ind w:firstLine="482" w:firstLineChars="200"/>
              <w:rPr>
                <w:b/>
                <w:bCs/>
                <w:color w:val="auto"/>
                <w:sz w:val="24"/>
              </w:rPr>
            </w:pPr>
            <w:r>
              <w:rPr>
                <w:b/>
                <w:bCs/>
                <w:color w:val="auto"/>
                <w:sz w:val="24"/>
              </w:rPr>
              <w:t>一、项目</w:t>
            </w:r>
            <w:r>
              <w:rPr>
                <w:rFonts w:hint="eastAsia"/>
                <w:b/>
                <w:bCs/>
                <w:color w:val="auto"/>
                <w:sz w:val="24"/>
              </w:rPr>
              <w:t>由来</w:t>
            </w:r>
          </w:p>
          <w:p>
            <w:pPr>
              <w:spacing w:line="360" w:lineRule="auto"/>
              <w:ind w:firstLine="480" w:firstLineChars="200"/>
              <w:rPr>
                <w:color w:val="auto"/>
                <w:sz w:val="24"/>
              </w:rPr>
            </w:pPr>
            <w:r>
              <w:rPr>
                <w:rFonts w:hint="eastAsia"/>
                <w:color w:val="auto"/>
                <w:sz w:val="24"/>
              </w:rPr>
              <w:t>为缓解周边群众的用水压力，完善梅江区部分区域和梅县区城东镇周边给水网络以及梅州监狱迁建的供水需求，促进农村城市化发展，</w:t>
            </w:r>
            <w:r>
              <w:rPr>
                <w:color w:val="auto"/>
                <w:sz w:val="24"/>
              </w:rPr>
              <w:t>梅州粤海水务有限公司</w:t>
            </w:r>
            <w:r>
              <w:rPr>
                <w:rFonts w:hint="eastAsia"/>
                <w:color w:val="auto"/>
                <w:sz w:val="24"/>
              </w:rPr>
              <w:t>拟投资建设</w:t>
            </w:r>
            <w:r>
              <w:rPr>
                <w:color w:val="auto"/>
                <w:sz w:val="24"/>
              </w:rPr>
              <w:t>梅州市城东片区供水项目</w:t>
            </w:r>
            <w:r>
              <w:rPr>
                <w:rFonts w:hint="eastAsia"/>
                <w:color w:val="auto"/>
                <w:sz w:val="24"/>
              </w:rPr>
              <w:t>。本项目</w:t>
            </w:r>
            <w:r>
              <w:rPr>
                <w:color w:val="auto"/>
                <w:sz w:val="24"/>
              </w:rPr>
              <w:t>总投资4525.6万元</w:t>
            </w:r>
            <w:r>
              <w:rPr>
                <w:rFonts w:hint="eastAsia"/>
                <w:color w:val="auto"/>
                <w:sz w:val="24"/>
              </w:rPr>
              <w:t>。建设内容主要包括加压泵站和管网铺设，加压泵站（管网起点）选址于梅江碧桂园入口东南面（碧桂路旁）</w:t>
            </w:r>
            <w:r>
              <w:rPr>
                <w:color w:val="auto"/>
                <w:sz w:val="24"/>
              </w:rPr>
              <w:t>（</w:t>
            </w:r>
            <w:r>
              <w:rPr>
                <w:rFonts w:hint="eastAsia"/>
                <w:color w:val="auto"/>
                <w:sz w:val="24"/>
              </w:rPr>
              <w:t>经纬度</w:t>
            </w:r>
            <w:r>
              <w:rPr>
                <w:color w:val="auto"/>
                <w:sz w:val="24"/>
              </w:rPr>
              <w:t>24.33655 N</w:t>
            </w:r>
            <w:r>
              <w:rPr>
                <w:rFonts w:hint="eastAsia"/>
                <w:color w:val="auto"/>
                <w:sz w:val="24"/>
              </w:rPr>
              <w:t>，</w:t>
            </w:r>
            <w:r>
              <w:rPr>
                <w:color w:val="auto"/>
                <w:sz w:val="24"/>
              </w:rPr>
              <w:t>116.11936</w:t>
            </w:r>
            <w:r>
              <w:rPr>
                <w:rFonts w:hint="eastAsia"/>
                <w:color w:val="auto"/>
                <w:sz w:val="24"/>
              </w:rPr>
              <w:t xml:space="preserve"> E），管网铺设主要沿国道 205自南向北敷设一条 DN500 供水主管至梅州监狱（管网终点坐标</w:t>
            </w:r>
            <w:r>
              <w:rPr>
                <w:color w:val="auto"/>
                <w:sz w:val="24"/>
              </w:rPr>
              <w:t>24.38007</w:t>
            </w:r>
            <w:r>
              <w:rPr>
                <w:rFonts w:hint="eastAsia"/>
                <w:color w:val="auto"/>
                <w:sz w:val="24"/>
              </w:rPr>
              <w:t>N，</w:t>
            </w:r>
            <w:r>
              <w:rPr>
                <w:color w:val="auto"/>
                <w:sz w:val="24"/>
              </w:rPr>
              <w:t>116.14305</w:t>
            </w:r>
            <w:r>
              <w:rPr>
                <w:rFonts w:hint="eastAsia"/>
                <w:color w:val="auto"/>
                <w:sz w:val="24"/>
              </w:rPr>
              <w:t>E），配套若干支管。</w:t>
            </w:r>
            <w:r>
              <w:rPr>
                <w:rFonts w:hint="eastAsia"/>
                <w:color w:val="auto"/>
                <w:kern w:val="0"/>
                <w:sz w:val="24"/>
              </w:rPr>
              <w:t>项目拟新建供水管合计7840米，其中主管为球墨铸铁管DN500为7000m，钢管700m，DN200PE管140m，相配套若干阀门等，一座20000m³/日二次加压泵房。</w:t>
            </w:r>
            <w:r>
              <w:rPr>
                <w:rFonts w:hint="eastAsia"/>
                <w:color w:val="auto"/>
                <w:sz w:val="24"/>
              </w:rPr>
              <w:t>项目</w:t>
            </w:r>
            <w:r>
              <w:rPr>
                <w:color w:val="auto"/>
                <w:sz w:val="24"/>
              </w:rPr>
              <w:t>地理位置详见附图1</w:t>
            </w:r>
            <w:r>
              <w:rPr>
                <w:rFonts w:hint="eastAsia"/>
                <w:color w:val="auto"/>
                <w:sz w:val="24"/>
              </w:rPr>
              <w:t>。</w:t>
            </w:r>
          </w:p>
          <w:p>
            <w:pPr>
              <w:spacing w:line="360" w:lineRule="auto"/>
              <w:ind w:firstLine="480" w:firstLineChars="200"/>
              <w:rPr>
                <w:b/>
                <w:bCs/>
                <w:color w:val="auto"/>
                <w:sz w:val="28"/>
                <w:szCs w:val="28"/>
              </w:rPr>
            </w:pPr>
            <w:r>
              <w:rPr>
                <w:rFonts w:hint="eastAsia"/>
                <w:color w:val="auto"/>
                <w:sz w:val="24"/>
              </w:rPr>
              <w:t>本项目计划于2021年12月建成投产，</w:t>
            </w:r>
            <w:r>
              <w:rPr>
                <w:color w:val="auto"/>
                <w:sz w:val="24"/>
              </w:rPr>
              <w:t>根据《中华人民共和国环境影响评价法》</w:t>
            </w:r>
            <w:r>
              <w:rPr>
                <w:rFonts w:hint="eastAsia"/>
                <w:color w:val="auto"/>
                <w:sz w:val="24"/>
              </w:rPr>
              <w:t>、</w:t>
            </w:r>
            <w:r>
              <w:rPr>
                <w:color w:val="auto"/>
                <w:sz w:val="24"/>
              </w:rPr>
              <w:t>《建设项目环境保护管理条例》</w:t>
            </w:r>
            <w:r>
              <w:rPr>
                <w:rFonts w:hint="eastAsia"/>
                <w:color w:val="auto"/>
                <w:sz w:val="24"/>
              </w:rPr>
              <w:t>等法律法规</w:t>
            </w:r>
            <w:r>
              <w:rPr>
                <w:color w:val="auto"/>
                <w:sz w:val="24"/>
              </w:rPr>
              <w:t>的规定，</w:t>
            </w:r>
            <w:r>
              <w:rPr>
                <w:rFonts w:hint="eastAsia"/>
                <w:color w:val="auto"/>
                <w:sz w:val="24"/>
              </w:rPr>
              <w:t>本项目的建设应当依法开展环境影响评价。根据《建设项目环境影响评价分类管理名录》（2</w:t>
            </w:r>
            <w:r>
              <w:rPr>
                <w:color w:val="auto"/>
                <w:sz w:val="24"/>
              </w:rPr>
              <w:t>018</w:t>
            </w:r>
            <w:r>
              <w:rPr>
                <w:rFonts w:hint="eastAsia"/>
                <w:color w:val="auto"/>
                <w:sz w:val="24"/>
              </w:rPr>
              <w:t>年本），本项目属于</w:t>
            </w:r>
            <w:r>
              <w:rPr>
                <w:rFonts w:hint="eastAsia" w:hAnsi="宋体"/>
                <w:color w:val="auto"/>
                <w:kern w:val="0"/>
                <w:sz w:val="24"/>
              </w:rPr>
              <w:t>“三十三、水的生产和供应业”的“自来水生产和供应工程”，属于编制报告表的类别</w:t>
            </w:r>
            <w:r>
              <w:rPr>
                <w:rFonts w:hint="eastAsia"/>
                <w:color w:val="auto"/>
                <w:sz w:val="24"/>
              </w:rPr>
              <w:t>。为此，</w:t>
            </w:r>
            <w:r>
              <w:rPr>
                <w:color w:val="auto"/>
                <w:sz w:val="24"/>
              </w:rPr>
              <w:t>建设单位委托</w:t>
            </w:r>
            <w:r>
              <w:rPr>
                <w:rFonts w:hint="eastAsia"/>
                <w:color w:val="auto"/>
                <w:sz w:val="24"/>
              </w:rPr>
              <w:t>深圳市福德源环保科技有限公司为</w:t>
            </w:r>
            <w:r>
              <w:rPr>
                <w:color w:val="auto"/>
                <w:sz w:val="24"/>
              </w:rPr>
              <w:t>本项目</w:t>
            </w:r>
            <w:r>
              <w:rPr>
                <w:rFonts w:hint="eastAsia"/>
                <w:color w:val="auto"/>
                <w:sz w:val="24"/>
              </w:rPr>
              <w:t>编制</w:t>
            </w:r>
            <w:r>
              <w:rPr>
                <w:color w:val="auto"/>
                <w:sz w:val="24"/>
              </w:rPr>
              <w:t>环境影响评价</w:t>
            </w:r>
            <w:r>
              <w:rPr>
                <w:rFonts w:hint="eastAsia"/>
                <w:color w:val="auto"/>
                <w:sz w:val="24"/>
              </w:rPr>
              <w:t>报告表</w:t>
            </w:r>
            <w:r>
              <w:rPr>
                <w:color w:val="auto"/>
                <w:sz w:val="24"/>
              </w:rPr>
              <w:t>。</w:t>
            </w:r>
            <w:r>
              <w:rPr>
                <w:rFonts w:hint="eastAsia"/>
                <w:color w:val="auto"/>
                <w:sz w:val="24"/>
              </w:rPr>
              <w:t>接受委托后，我公司有关人员通过现场踏勘和收集有关资料后，结合本项目的工程和环境特点编制了本环境影响报告表</w:t>
            </w:r>
            <w:r>
              <w:rPr>
                <w:color w:val="auto"/>
                <w:sz w:val="24"/>
              </w:rPr>
              <w:t>。</w:t>
            </w:r>
          </w:p>
          <w:p>
            <w:pPr>
              <w:spacing w:line="360" w:lineRule="auto"/>
              <w:ind w:firstLine="482" w:firstLineChars="200"/>
              <w:rPr>
                <w:b/>
                <w:bCs/>
                <w:color w:val="auto"/>
                <w:sz w:val="24"/>
              </w:rPr>
            </w:pPr>
            <w:r>
              <w:rPr>
                <w:rFonts w:hint="eastAsia"/>
                <w:b/>
                <w:bCs/>
                <w:color w:val="auto"/>
                <w:sz w:val="24"/>
              </w:rPr>
              <w:t>二、编制依据</w:t>
            </w:r>
          </w:p>
          <w:p>
            <w:pPr>
              <w:tabs>
                <w:tab w:val="left" w:pos="0"/>
                <w:tab w:val="left" w:pos="900"/>
                <w:tab w:val="left" w:pos="1365"/>
              </w:tabs>
              <w:snapToGrid w:val="0"/>
              <w:spacing w:after="120" w:afterLines="50" w:line="460" w:lineRule="atLeast"/>
              <w:ind w:firstLine="510"/>
              <w:rPr>
                <w:b/>
                <w:color w:val="auto"/>
                <w:sz w:val="24"/>
              </w:rPr>
            </w:pPr>
            <w:r>
              <w:rPr>
                <w:rFonts w:hint="eastAsia" w:ascii="宋体"/>
                <w:b/>
                <w:color w:val="auto"/>
                <w:sz w:val="24"/>
              </w:rPr>
              <w:t>1、法律、法规依据</w:t>
            </w:r>
          </w:p>
          <w:p>
            <w:pPr>
              <w:tabs>
                <w:tab w:val="left" w:pos="0"/>
                <w:tab w:val="left" w:pos="900"/>
                <w:tab w:val="left" w:pos="1365"/>
              </w:tabs>
              <w:snapToGrid w:val="0"/>
              <w:spacing w:line="460" w:lineRule="atLeast"/>
              <w:ind w:firstLine="510"/>
              <w:rPr>
                <w:color w:val="auto"/>
                <w:sz w:val="24"/>
              </w:rPr>
            </w:pPr>
            <w:r>
              <w:rPr>
                <w:color w:val="auto"/>
                <w:sz w:val="24"/>
              </w:rPr>
              <w:t>（1）《中华人民共和国环境保护法》2015年1月1日；</w:t>
            </w:r>
          </w:p>
          <w:p>
            <w:pPr>
              <w:tabs>
                <w:tab w:val="left" w:pos="0"/>
                <w:tab w:val="left" w:pos="900"/>
                <w:tab w:val="left" w:pos="1365"/>
              </w:tabs>
              <w:snapToGrid w:val="0"/>
              <w:spacing w:line="460" w:lineRule="atLeast"/>
              <w:ind w:firstLine="510"/>
              <w:rPr>
                <w:color w:val="auto"/>
                <w:sz w:val="24"/>
              </w:rPr>
            </w:pPr>
            <w:r>
              <w:rPr>
                <w:color w:val="auto"/>
                <w:sz w:val="24"/>
              </w:rPr>
              <w:t>（2）《中华人民共和国固体废物污染环境防治法》2015年4月24日；</w:t>
            </w:r>
          </w:p>
          <w:p>
            <w:pPr>
              <w:tabs>
                <w:tab w:val="left" w:pos="0"/>
                <w:tab w:val="left" w:pos="900"/>
                <w:tab w:val="left" w:pos="1365"/>
              </w:tabs>
              <w:snapToGrid w:val="0"/>
              <w:spacing w:line="460" w:lineRule="atLeast"/>
              <w:ind w:firstLine="510"/>
              <w:rPr>
                <w:color w:val="auto"/>
                <w:sz w:val="24"/>
              </w:rPr>
            </w:pPr>
            <w:r>
              <w:rPr>
                <w:color w:val="auto"/>
                <w:sz w:val="24"/>
              </w:rPr>
              <w:t>（3）《中华人民共和国水污染防治法》2018年1月1日；</w:t>
            </w:r>
          </w:p>
          <w:p>
            <w:pPr>
              <w:tabs>
                <w:tab w:val="left" w:pos="0"/>
                <w:tab w:val="left" w:pos="900"/>
                <w:tab w:val="left" w:pos="1365"/>
              </w:tabs>
              <w:snapToGrid w:val="0"/>
              <w:spacing w:line="460" w:lineRule="atLeast"/>
              <w:ind w:firstLine="510"/>
              <w:rPr>
                <w:color w:val="auto"/>
                <w:sz w:val="24"/>
              </w:rPr>
            </w:pPr>
            <w:r>
              <w:rPr>
                <w:color w:val="auto"/>
                <w:sz w:val="24"/>
              </w:rPr>
              <w:t>（4）《中华人民共和国大气污染防治法》2016年1月1日；</w:t>
            </w:r>
          </w:p>
          <w:p>
            <w:pPr>
              <w:tabs>
                <w:tab w:val="left" w:pos="0"/>
                <w:tab w:val="left" w:pos="900"/>
                <w:tab w:val="left" w:pos="1365"/>
              </w:tabs>
              <w:snapToGrid w:val="0"/>
              <w:spacing w:line="460" w:lineRule="atLeast"/>
              <w:ind w:firstLine="510"/>
              <w:rPr>
                <w:color w:val="auto"/>
                <w:sz w:val="24"/>
              </w:rPr>
            </w:pPr>
            <w:r>
              <w:rPr>
                <w:color w:val="auto"/>
                <w:sz w:val="24"/>
              </w:rPr>
              <w:t>（5）《中华人民共和国环境噪声污染防治法》1997年3月1日；</w:t>
            </w:r>
          </w:p>
          <w:p>
            <w:pPr>
              <w:tabs>
                <w:tab w:val="left" w:pos="0"/>
                <w:tab w:val="left" w:pos="900"/>
                <w:tab w:val="left" w:pos="1365"/>
              </w:tabs>
              <w:snapToGrid w:val="0"/>
              <w:spacing w:line="460" w:lineRule="atLeast"/>
              <w:ind w:firstLine="510"/>
              <w:rPr>
                <w:color w:val="auto"/>
                <w:sz w:val="24"/>
              </w:rPr>
            </w:pPr>
            <w:r>
              <w:rPr>
                <w:color w:val="auto"/>
                <w:sz w:val="24"/>
              </w:rPr>
              <w:t>（6）《中华人民共和国环境影响评价法》2016年9月1日；</w:t>
            </w:r>
          </w:p>
          <w:p>
            <w:pPr>
              <w:tabs>
                <w:tab w:val="left" w:pos="0"/>
                <w:tab w:val="left" w:pos="900"/>
                <w:tab w:val="left" w:pos="1365"/>
              </w:tabs>
              <w:snapToGrid w:val="0"/>
              <w:spacing w:line="460" w:lineRule="atLeast"/>
              <w:ind w:firstLine="510"/>
              <w:rPr>
                <w:color w:val="auto"/>
                <w:sz w:val="24"/>
              </w:rPr>
            </w:pPr>
            <w:r>
              <w:rPr>
                <w:color w:val="auto"/>
                <w:sz w:val="24"/>
              </w:rPr>
              <w:t>（7）《建设项目环境影响评价分类管理名录》（2018年本）；</w:t>
            </w:r>
          </w:p>
          <w:p>
            <w:pPr>
              <w:tabs>
                <w:tab w:val="left" w:pos="0"/>
                <w:tab w:val="left" w:pos="900"/>
                <w:tab w:val="left" w:pos="1365"/>
              </w:tabs>
              <w:snapToGrid w:val="0"/>
              <w:spacing w:line="460" w:lineRule="atLeast"/>
              <w:ind w:firstLine="510"/>
              <w:rPr>
                <w:color w:val="auto"/>
                <w:sz w:val="24"/>
              </w:rPr>
            </w:pPr>
            <w:r>
              <w:rPr>
                <w:color w:val="auto"/>
                <w:sz w:val="24"/>
              </w:rPr>
              <w:t>（8）《建设项目环境保护管理条例》2017年7月16日（国务院682号令）；</w:t>
            </w:r>
          </w:p>
          <w:p>
            <w:pPr>
              <w:tabs>
                <w:tab w:val="left" w:pos="0"/>
                <w:tab w:val="left" w:pos="900"/>
                <w:tab w:val="left" w:pos="1365"/>
              </w:tabs>
              <w:snapToGrid w:val="0"/>
              <w:spacing w:line="460" w:lineRule="atLeast"/>
              <w:ind w:firstLine="510"/>
              <w:rPr>
                <w:color w:val="auto"/>
                <w:sz w:val="24"/>
              </w:rPr>
            </w:pPr>
            <w:r>
              <w:rPr>
                <w:color w:val="auto"/>
                <w:sz w:val="24"/>
              </w:rPr>
              <w:t>（9）《关于建设项目环境管理问题的若干意见》（国发（1996）31号文）；</w:t>
            </w:r>
          </w:p>
          <w:p>
            <w:pPr>
              <w:tabs>
                <w:tab w:val="left" w:pos="0"/>
                <w:tab w:val="left" w:pos="900"/>
                <w:tab w:val="left" w:pos="1365"/>
              </w:tabs>
              <w:snapToGrid w:val="0"/>
              <w:spacing w:line="460" w:lineRule="atLeast"/>
              <w:ind w:firstLine="510"/>
              <w:rPr>
                <w:color w:val="auto"/>
                <w:sz w:val="24"/>
              </w:rPr>
            </w:pPr>
            <w:r>
              <w:rPr>
                <w:color w:val="auto"/>
                <w:sz w:val="24"/>
              </w:rPr>
              <w:t>（10）《国务院关于落实科学发展观加强环境保护工作的决定》，（国发[2005]39号，2005年12月3日）；</w:t>
            </w:r>
          </w:p>
          <w:p>
            <w:pPr>
              <w:tabs>
                <w:tab w:val="left" w:pos="0"/>
                <w:tab w:val="left" w:pos="900"/>
                <w:tab w:val="left" w:pos="1365"/>
              </w:tabs>
              <w:snapToGrid w:val="0"/>
              <w:spacing w:line="460" w:lineRule="atLeast"/>
              <w:ind w:firstLine="510"/>
              <w:rPr>
                <w:color w:val="auto"/>
                <w:sz w:val="24"/>
              </w:rPr>
            </w:pPr>
            <w:r>
              <w:rPr>
                <w:color w:val="auto"/>
                <w:sz w:val="24"/>
              </w:rPr>
              <w:t>（11）《产业结构调整指导</w:t>
            </w:r>
            <w:r>
              <w:rPr>
                <w:rFonts w:hint="eastAsia"/>
                <w:color w:val="auto"/>
                <w:sz w:val="24"/>
              </w:rPr>
              <w:t>目录》（</w:t>
            </w:r>
            <w:r>
              <w:rPr>
                <w:color w:val="auto"/>
                <w:sz w:val="24"/>
              </w:rPr>
              <w:t>2019年本</w:t>
            </w:r>
            <w:r>
              <w:rPr>
                <w:rFonts w:hint="eastAsia"/>
                <w:color w:val="auto"/>
                <w:sz w:val="24"/>
              </w:rPr>
              <w:t>）；</w:t>
            </w:r>
          </w:p>
          <w:p>
            <w:pPr>
              <w:tabs>
                <w:tab w:val="left" w:pos="0"/>
                <w:tab w:val="left" w:pos="900"/>
                <w:tab w:val="left" w:pos="1365"/>
              </w:tabs>
              <w:snapToGrid w:val="0"/>
              <w:spacing w:line="460" w:lineRule="atLeast"/>
              <w:ind w:firstLine="510"/>
              <w:rPr>
                <w:color w:val="auto"/>
                <w:sz w:val="24"/>
              </w:rPr>
            </w:pPr>
            <w:r>
              <w:rPr>
                <w:color w:val="auto"/>
                <w:sz w:val="24"/>
              </w:rPr>
              <w:t>（12）《</w:t>
            </w:r>
            <w:r>
              <w:rPr>
                <w:rFonts w:hint="eastAsia"/>
                <w:color w:val="auto"/>
                <w:sz w:val="24"/>
              </w:rPr>
              <w:t>市场准入负面清单》（</w:t>
            </w:r>
            <w:r>
              <w:rPr>
                <w:color w:val="auto"/>
                <w:sz w:val="24"/>
              </w:rPr>
              <w:t>2019年本</w:t>
            </w:r>
            <w:r>
              <w:rPr>
                <w:rFonts w:hint="eastAsia"/>
                <w:color w:val="auto"/>
                <w:sz w:val="24"/>
              </w:rPr>
              <w:t>）</w:t>
            </w:r>
            <w:r>
              <w:rPr>
                <w:color w:val="auto"/>
                <w:sz w:val="24"/>
              </w:rPr>
              <w:t>。</w:t>
            </w:r>
          </w:p>
          <w:p>
            <w:pPr>
              <w:tabs>
                <w:tab w:val="left" w:pos="0"/>
                <w:tab w:val="left" w:pos="900"/>
                <w:tab w:val="left" w:pos="1365"/>
              </w:tabs>
              <w:snapToGrid w:val="0"/>
              <w:spacing w:after="120" w:afterLines="50" w:line="460" w:lineRule="atLeast"/>
              <w:ind w:firstLine="510"/>
              <w:rPr>
                <w:b/>
                <w:color w:val="auto"/>
                <w:sz w:val="24"/>
              </w:rPr>
            </w:pPr>
            <w:r>
              <w:rPr>
                <w:b/>
                <w:color w:val="auto"/>
                <w:sz w:val="24"/>
              </w:rPr>
              <w:t>2</w:t>
            </w:r>
            <w:r>
              <w:rPr>
                <w:rFonts w:hint="eastAsia"/>
                <w:b/>
                <w:color w:val="auto"/>
                <w:sz w:val="24"/>
              </w:rPr>
              <w:t>、</w:t>
            </w:r>
            <w:r>
              <w:rPr>
                <w:b/>
                <w:color w:val="auto"/>
                <w:sz w:val="24"/>
              </w:rPr>
              <w:t>技术依据</w:t>
            </w:r>
          </w:p>
          <w:p>
            <w:pPr>
              <w:tabs>
                <w:tab w:val="left" w:pos="0"/>
                <w:tab w:val="left" w:pos="900"/>
                <w:tab w:val="left" w:pos="1365"/>
              </w:tabs>
              <w:snapToGrid w:val="0"/>
              <w:spacing w:line="460" w:lineRule="atLeast"/>
              <w:ind w:firstLine="510"/>
              <w:rPr>
                <w:color w:val="auto"/>
                <w:sz w:val="24"/>
              </w:rPr>
            </w:pPr>
            <w:r>
              <w:rPr>
                <w:color w:val="auto"/>
                <w:sz w:val="24"/>
              </w:rPr>
              <w:t>（1）《环境影响评价技术导则-总纲》（HJ2.1-2016）；</w:t>
            </w:r>
          </w:p>
          <w:p>
            <w:pPr>
              <w:tabs>
                <w:tab w:val="left" w:pos="0"/>
                <w:tab w:val="left" w:pos="900"/>
                <w:tab w:val="left" w:pos="1365"/>
              </w:tabs>
              <w:snapToGrid w:val="0"/>
              <w:spacing w:line="460" w:lineRule="atLeast"/>
              <w:ind w:firstLine="510"/>
              <w:rPr>
                <w:color w:val="auto"/>
                <w:sz w:val="24"/>
              </w:rPr>
            </w:pPr>
            <w:r>
              <w:rPr>
                <w:color w:val="auto"/>
                <w:sz w:val="24"/>
              </w:rPr>
              <w:t>（2）《环境影响评价技术导则-大气环境》（HJ2.2-2018）；</w:t>
            </w:r>
          </w:p>
          <w:p>
            <w:pPr>
              <w:tabs>
                <w:tab w:val="left" w:pos="0"/>
                <w:tab w:val="left" w:pos="900"/>
                <w:tab w:val="left" w:pos="1365"/>
              </w:tabs>
              <w:snapToGrid w:val="0"/>
              <w:spacing w:line="460" w:lineRule="atLeast"/>
              <w:ind w:firstLine="510"/>
              <w:rPr>
                <w:color w:val="auto"/>
                <w:sz w:val="24"/>
              </w:rPr>
            </w:pPr>
            <w:r>
              <w:rPr>
                <w:color w:val="auto"/>
                <w:sz w:val="24"/>
              </w:rPr>
              <w:t>（3）《环境影响评价技术导则-地表水环境》（HJ/2.3-93）；</w:t>
            </w:r>
          </w:p>
          <w:p>
            <w:pPr>
              <w:tabs>
                <w:tab w:val="left" w:pos="0"/>
                <w:tab w:val="left" w:pos="900"/>
                <w:tab w:val="left" w:pos="1365"/>
              </w:tabs>
              <w:snapToGrid w:val="0"/>
              <w:spacing w:line="460" w:lineRule="atLeast"/>
              <w:ind w:firstLine="510"/>
              <w:rPr>
                <w:color w:val="auto"/>
                <w:sz w:val="24"/>
              </w:rPr>
            </w:pPr>
            <w:r>
              <w:rPr>
                <w:color w:val="auto"/>
                <w:sz w:val="24"/>
              </w:rPr>
              <w:t>（4）《环境影响评价技术导则-声环境》（HJ2.4-2009）；</w:t>
            </w:r>
          </w:p>
          <w:p>
            <w:pPr>
              <w:tabs>
                <w:tab w:val="left" w:pos="0"/>
                <w:tab w:val="left" w:pos="900"/>
                <w:tab w:val="left" w:pos="1365"/>
              </w:tabs>
              <w:snapToGrid w:val="0"/>
              <w:spacing w:line="460" w:lineRule="atLeast"/>
              <w:ind w:firstLine="510"/>
              <w:rPr>
                <w:color w:val="auto"/>
                <w:sz w:val="24"/>
              </w:rPr>
            </w:pPr>
            <w:r>
              <w:rPr>
                <w:color w:val="auto"/>
                <w:sz w:val="24"/>
              </w:rPr>
              <w:t>（5）《环境影响评价技术导则-生态环境》（HJ19-2011）；</w:t>
            </w:r>
          </w:p>
          <w:p>
            <w:pPr>
              <w:tabs>
                <w:tab w:val="left" w:pos="0"/>
                <w:tab w:val="left" w:pos="900"/>
                <w:tab w:val="left" w:pos="1365"/>
              </w:tabs>
              <w:snapToGrid w:val="0"/>
              <w:spacing w:line="460" w:lineRule="atLeast"/>
              <w:ind w:firstLine="510"/>
              <w:rPr>
                <w:color w:val="auto"/>
                <w:sz w:val="24"/>
              </w:rPr>
            </w:pPr>
            <w:r>
              <w:rPr>
                <w:color w:val="auto"/>
                <w:sz w:val="24"/>
              </w:rPr>
              <w:t>（6）《广东省地表水环境功能区划》（粤环[2011]14号）。</w:t>
            </w:r>
          </w:p>
          <w:p>
            <w:pPr>
              <w:spacing w:line="360" w:lineRule="auto"/>
              <w:ind w:firstLine="482" w:firstLineChars="200"/>
              <w:rPr>
                <w:b/>
                <w:bCs/>
                <w:color w:val="auto"/>
                <w:sz w:val="24"/>
              </w:rPr>
            </w:pPr>
          </w:p>
          <w:p>
            <w:pPr>
              <w:spacing w:line="360" w:lineRule="auto"/>
              <w:ind w:firstLine="482" w:firstLineChars="200"/>
              <w:rPr>
                <w:b/>
                <w:bCs/>
                <w:color w:val="auto"/>
                <w:sz w:val="24"/>
              </w:rPr>
            </w:pPr>
            <w:r>
              <w:rPr>
                <w:rFonts w:hint="eastAsia"/>
                <w:b/>
                <w:bCs/>
                <w:color w:val="auto"/>
                <w:sz w:val="24"/>
              </w:rPr>
              <w:t>三</w:t>
            </w:r>
            <w:r>
              <w:rPr>
                <w:b/>
                <w:bCs/>
                <w:color w:val="auto"/>
                <w:sz w:val="24"/>
              </w:rPr>
              <w:t>、</w:t>
            </w:r>
            <w:r>
              <w:rPr>
                <w:rFonts w:hint="eastAsia"/>
                <w:b/>
                <w:bCs/>
                <w:color w:val="auto"/>
                <w:sz w:val="24"/>
              </w:rPr>
              <w:t>项目概况</w:t>
            </w:r>
          </w:p>
          <w:p>
            <w:pPr>
              <w:spacing w:line="360" w:lineRule="auto"/>
              <w:ind w:firstLine="482" w:firstLineChars="200"/>
              <w:rPr>
                <w:b/>
                <w:bCs/>
                <w:color w:val="auto"/>
                <w:kern w:val="0"/>
                <w:sz w:val="24"/>
              </w:rPr>
            </w:pPr>
            <w:r>
              <w:rPr>
                <w:b/>
                <w:bCs/>
                <w:color w:val="auto"/>
                <w:sz w:val="24"/>
              </w:rPr>
              <w:t>1、</w:t>
            </w:r>
            <w:r>
              <w:rPr>
                <w:rFonts w:hint="eastAsia"/>
                <w:b/>
                <w:bCs/>
                <w:color w:val="auto"/>
                <w:kern w:val="0"/>
                <w:sz w:val="24"/>
              </w:rPr>
              <w:t>建设内容</w:t>
            </w:r>
          </w:p>
          <w:p>
            <w:pPr>
              <w:spacing w:line="360" w:lineRule="auto"/>
              <w:ind w:firstLine="480" w:firstLineChars="200"/>
              <w:rPr>
                <w:color w:val="auto"/>
                <w:kern w:val="0"/>
                <w:sz w:val="24"/>
              </w:rPr>
            </w:pPr>
            <w:r>
              <w:rPr>
                <w:rFonts w:hint="eastAsia"/>
                <w:color w:val="auto"/>
                <w:kern w:val="0"/>
                <w:sz w:val="24"/>
              </w:rPr>
              <w:t>本项目用水拟由G205国道北面梅江碧桂园入口处现有DN600市政供水干管接水，沿 G205 国道南面经金盘桥、BPW 车轴厂、城东镇政府至梅州监狱敷设一根 DN500 供水主管道，全长约 7 公里。由粤海水务有限公司提供的资料，碧桂园入口处市政供水千管接水口处供水压力为0.14MPa，根据沿途地势高程资料，梅江碧桂园入口处高程与梅州监狱高程差大于l5米。在梅江碧桂园供水接口处附近建设一座加压泵房，进行二次供水加压满足供水需要。项目拟在碧桂园入口东南面建设一座</w:t>
            </w:r>
            <w:r>
              <w:rPr>
                <w:color w:val="auto"/>
                <w:kern w:val="0"/>
                <w:sz w:val="24"/>
              </w:rPr>
              <w:t>2</w:t>
            </w:r>
            <w:r>
              <w:rPr>
                <w:rFonts w:hint="eastAsia"/>
                <w:color w:val="auto"/>
                <w:kern w:val="0"/>
                <w:sz w:val="24"/>
              </w:rPr>
              <w:t>0000m</w:t>
            </w:r>
            <w:r>
              <w:rPr>
                <w:rFonts w:hint="eastAsia"/>
                <w:color w:val="auto"/>
                <w:kern w:val="0"/>
                <w:sz w:val="24"/>
                <w:vertAlign w:val="superscript"/>
              </w:rPr>
              <w:t>3</w:t>
            </w:r>
            <w:r>
              <w:rPr>
                <w:rFonts w:hint="eastAsia"/>
                <w:color w:val="auto"/>
                <w:kern w:val="0"/>
                <w:sz w:val="24"/>
              </w:rPr>
              <w:t>/日二次供水加压泵站，泵站规划用地约</w:t>
            </w:r>
            <w:r>
              <w:rPr>
                <w:color w:val="auto"/>
                <w:kern w:val="0"/>
                <w:sz w:val="24"/>
              </w:rPr>
              <w:t>3998</w:t>
            </w:r>
            <w:r>
              <w:rPr>
                <w:rFonts w:hint="eastAsia"/>
                <w:color w:val="auto"/>
                <w:kern w:val="0"/>
                <w:sz w:val="24"/>
              </w:rPr>
              <w:t xml:space="preserve"> m</w:t>
            </w:r>
            <w:r>
              <w:rPr>
                <w:color w:val="auto"/>
                <w:kern w:val="0"/>
                <w:sz w:val="24"/>
                <w:vertAlign w:val="superscript"/>
              </w:rPr>
              <w:t>2</w:t>
            </w:r>
            <w:r>
              <w:rPr>
                <w:rFonts w:hint="eastAsia"/>
                <w:color w:val="auto"/>
                <w:kern w:val="0"/>
                <w:sz w:val="24"/>
              </w:rPr>
              <w:t>。</w:t>
            </w:r>
          </w:p>
          <w:p>
            <w:pPr>
              <w:spacing w:line="360" w:lineRule="auto"/>
              <w:ind w:firstLine="480" w:firstLineChars="200"/>
              <w:rPr>
                <w:color w:val="auto"/>
                <w:kern w:val="0"/>
                <w:sz w:val="24"/>
              </w:rPr>
            </w:pPr>
            <w:r>
              <w:rPr>
                <w:rFonts w:hint="eastAsia"/>
                <w:color w:val="auto"/>
                <w:kern w:val="0"/>
                <w:sz w:val="24"/>
              </w:rPr>
              <w:t>项目拟新建供水管合计7840米，其中主管为球墨铸铁管DN500为7000m，钢管700m，DN200PE管140m，相配套若干阀门等，一座20000m³/日二次加压泵房。</w:t>
            </w:r>
          </w:p>
          <w:p>
            <w:pPr>
              <w:spacing w:line="360" w:lineRule="auto"/>
              <w:ind w:firstLine="480" w:firstLineChars="200"/>
              <w:rPr>
                <w:color w:val="auto"/>
                <w:kern w:val="0"/>
                <w:sz w:val="24"/>
              </w:rPr>
            </w:pPr>
            <w:r>
              <w:rPr>
                <w:rFonts w:hint="eastAsia"/>
                <w:color w:val="auto"/>
                <w:kern w:val="0"/>
                <w:sz w:val="24"/>
              </w:rPr>
              <w:t>项目自城东镇往碧桂园方向布置管网，途径车轴厂、四季城、金盘商住楼、第三监狱、工业学校、戒毒所、广益中学等居民住宅地，服务人口约一万七千人。</w:t>
            </w:r>
          </w:p>
          <w:p>
            <w:pPr>
              <w:spacing w:line="360" w:lineRule="auto"/>
              <w:ind w:firstLine="482" w:firstLineChars="200"/>
              <w:rPr>
                <w:b/>
                <w:bCs/>
                <w:color w:val="auto"/>
                <w:kern w:val="0"/>
                <w:sz w:val="24"/>
              </w:rPr>
            </w:pPr>
            <w:r>
              <w:rPr>
                <w:rFonts w:hint="eastAsia"/>
                <w:b/>
                <w:bCs/>
                <w:color w:val="auto"/>
                <w:kern w:val="0"/>
                <w:sz w:val="24"/>
              </w:rPr>
              <w:t>2、水源与供水设施规划</w:t>
            </w:r>
          </w:p>
          <w:p>
            <w:pPr>
              <w:spacing w:line="360" w:lineRule="auto"/>
              <w:ind w:firstLine="480" w:firstLineChars="200"/>
              <w:rPr>
                <w:color w:val="auto"/>
                <w:kern w:val="0"/>
                <w:sz w:val="24"/>
              </w:rPr>
            </w:pPr>
            <w:r>
              <w:rPr>
                <w:rFonts w:hint="eastAsia"/>
                <w:color w:val="auto"/>
                <w:kern w:val="0"/>
                <w:sz w:val="24"/>
              </w:rPr>
              <w:t>近期以梅县新城水厂及墩子岌水库为主要水源，艾子坪水库为备用水源，远期以石窟河作为片区主要水源，片区内及周边五大水库为备用水源。</w:t>
            </w:r>
          </w:p>
          <w:p>
            <w:pPr>
              <w:spacing w:line="360" w:lineRule="auto"/>
              <w:ind w:firstLine="480" w:firstLineChars="200"/>
              <w:rPr>
                <w:color w:val="auto"/>
                <w:kern w:val="0"/>
                <w:sz w:val="24"/>
              </w:rPr>
            </w:pPr>
            <w:r>
              <w:rPr>
                <w:rFonts w:hint="eastAsia"/>
                <w:color w:val="auto"/>
                <w:kern w:val="0"/>
                <w:sz w:val="24"/>
              </w:rPr>
              <w:t>远期基于各镇区设施公用共享的原则，计划以白渡沙坪水厂为供水水厂，该水厂选址在毗临白渡大桥，占地面积约为6.5公顷，供水规模13.0万吨/天，能满足远期用水需求。</w:t>
            </w:r>
          </w:p>
          <w:p>
            <w:pPr>
              <w:spacing w:line="360" w:lineRule="auto"/>
              <w:ind w:firstLine="482" w:firstLineChars="200"/>
              <w:rPr>
                <w:b/>
                <w:bCs/>
                <w:color w:val="auto"/>
                <w:kern w:val="0"/>
                <w:sz w:val="24"/>
              </w:rPr>
            </w:pPr>
            <w:r>
              <w:rPr>
                <w:rFonts w:hint="eastAsia"/>
                <w:b/>
                <w:bCs/>
                <w:color w:val="auto"/>
                <w:kern w:val="0"/>
                <w:sz w:val="24"/>
              </w:rPr>
              <w:t>3、供水现状</w:t>
            </w:r>
          </w:p>
          <w:p>
            <w:pPr>
              <w:spacing w:line="360" w:lineRule="auto"/>
              <w:ind w:firstLine="480" w:firstLineChars="200"/>
              <w:rPr>
                <w:color w:val="auto"/>
                <w:kern w:val="0"/>
                <w:sz w:val="24"/>
              </w:rPr>
            </w:pPr>
            <w:r>
              <w:rPr>
                <w:rFonts w:hint="eastAsia"/>
                <w:color w:val="auto"/>
                <w:kern w:val="0"/>
                <w:sz w:val="24"/>
              </w:rPr>
              <w:t>梅州监狱新址建设于梅县城东镇竹洋村址范围内。建设面积约420亩，监狱最多人口约为5000人。梅县城东镇现有镇区人口约为1.2万人，根据城东镇总体规划到2035年镇区人口约为7.3万人。</w:t>
            </w:r>
          </w:p>
          <w:p>
            <w:pPr>
              <w:spacing w:line="360" w:lineRule="auto"/>
              <w:ind w:firstLine="480" w:firstLineChars="200"/>
              <w:rPr>
                <w:color w:val="auto"/>
                <w:kern w:val="0"/>
                <w:sz w:val="24"/>
              </w:rPr>
            </w:pPr>
            <w:r>
              <w:rPr>
                <w:rFonts w:hint="eastAsia"/>
                <w:color w:val="auto"/>
                <w:kern w:val="0"/>
                <w:sz w:val="24"/>
              </w:rPr>
              <w:t>城东镇范围现供水为自给自给，基本靠打井水或山泉水供应。梅州监狱的供水近期靠梅州城区供应。</w:t>
            </w:r>
          </w:p>
          <w:p>
            <w:pPr>
              <w:spacing w:line="360" w:lineRule="auto"/>
              <w:ind w:firstLine="480" w:firstLineChars="200"/>
              <w:rPr>
                <w:color w:val="auto"/>
                <w:kern w:val="0"/>
                <w:sz w:val="24"/>
              </w:rPr>
            </w:pPr>
            <w:r>
              <w:rPr>
                <w:rFonts w:hint="eastAsia"/>
                <w:color w:val="auto"/>
                <w:kern w:val="0"/>
                <w:sz w:val="24"/>
              </w:rPr>
              <w:t>根据项目可行性研究报告，确定规划区最高用水量为4.0万吨/天。</w:t>
            </w:r>
          </w:p>
          <w:p>
            <w:pPr>
              <w:spacing w:line="360" w:lineRule="auto"/>
              <w:ind w:firstLine="482" w:firstLineChars="200"/>
              <w:rPr>
                <w:b/>
                <w:bCs/>
                <w:color w:val="auto"/>
                <w:kern w:val="0"/>
                <w:sz w:val="24"/>
              </w:rPr>
            </w:pPr>
            <w:r>
              <w:rPr>
                <w:rFonts w:hint="eastAsia"/>
                <w:b/>
                <w:bCs/>
                <w:color w:val="auto"/>
                <w:kern w:val="0"/>
                <w:sz w:val="24"/>
              </w:rPr>
              <w:t>4、用水量规模及管网传输能力确定</w:t>
            </w:r>
          </w:p>
          <w:p>
            <w:pPr>
              <w:spacing w:line="360" w:lineRule="auto"/>
              <w:ind w:firstLine="480" w:firstLineChars="200"/>
              <w:rPr>
                <w:color w:val="auto"/>
                <w:kern w:val="0"/>
                <w:sz w:val="24"/>
              </w:rPr>
            </w:pPr>
            <w:r>
              <w:rPr>
                <w:rFonts w:hint="eastAsia"/>
                <w:color w:val="auto"/>
                <w:kern w:val="0"/>
                <w:sz w:val="24"/>
              </w:rPr>
              <w:t>（1）用水量及管网规模确定</w:t>
            </w:r>
          </w:p>
          <w:p>
            <w:pPr>
              <w:spacing w:line="360" w:lineRule="auto"/>
              <w:ind w:firstLine="480" w:firstLineChars="200"/>
              <w:rPr>
                <w:color w:val="auto"/>
                <w:kern w:val="0"/>
                <w:sz w:val="24"/>
              </w:rPr>
            </w:pPr>
            <w:r>
              <w:rPr>
                <w:rFonts w:hint="eastAsia"/>
                <w:color w:val="auto"/>
                <w:kern w:val="0"/>
                <w:sz w:val="24"/>
              </w:rPr>
              <w:t>梅州监狱新址建设于梅县城东镇竹洋村址范围内。建设面积约420亩，监狱远期人口约为8000人，碧桂园人口约28000人，四季城约8000人，梅县城东镇约15000人，新田村4000人，本工程涉及用水总人口约为6.3万，根据梅州现状人均用水定额200L/d，日变化系数取1.2，则用水量为1.512万m³/d。根据《室外给水设计标准》（GB 50013-2018）最高日综合生活用水定额，梅州地区为200-380L/d，结合梅州实际情况，本项目用水定额取310L/d，日变化系数取1.2，则用水量为2.3436万m</w:t>
            </w:r>
            <w:r>
              <w:rPr>
                <w:rFonts w:hint="eastAsia"/>
                <w:color w:val="auto"/>
                <w:kern w:val="0"/>
                <w:sz w:val="24"/>
                <w:vertAlign w:val="superscript"/>
              </w:rPr>
              <w:t>3</w:t>
            </w:r>
            <w:r>
              <w:rPr>
                <w:rFonts w:hint="eastAsia"/>
                <w:color w:val="auto"/>
                <w:kern w:val="0"/>
                <w:sz w:val="24"/>
              </w:rPr>
              <w:t>/d。</w:t>
            </w:r>
          </w:p>
          <w:p>
            <w:pPr>
              <w:spacing w:line="360" w:lineRule="auto"/>
              <w:ind w:firstLine="480" w:firstLineChars="200"/>
              <w:rPr>
                <w:color w:val="auto"/>
                <w:kern w:val="0"/>
                <w:sz w:val="24"/>
              </w:rPr>
            </w:pPr>
            <w:r>
              <w:rPr>
                <w:rFonts w:hint="eastAsia"/>
                <w:color w:val="auto"/>
                <w:kern w:val="0"/>
                <w:sz w:val="24"/>
              </w:rPr>
              <w:t>（2）管网传输能力确定</w:t>
            </w:r>
          </w:p>
          <w:p>
            <w:pPr>
              <w:spacing w:line="360" w:lineRule="auto"/>
              <w:ind w:firstLine="480" w:firstLineChars="200"/>
              <w:rPr>
                <w:color w:val="auto"/>
                <w:kern w:val="0"/>
                <w:sz w:val="24"/>
              </w:rPr>
            </w:pPr>
            <w:r>
              <w:rPr>
                <w:rFonts w:hint="eastAsia"/>
                <w:color w:val="auto"/>
                <w:kern w:val="0"/>
                <w:sz w:val="24"/>
              </w:rPr>
              <w:t>因梅江碧桂园处于本供水项目前端，本项目DN500管段可暂不考虑梅江碧桂园用水需求，除去碧桂园用水需求1.0416万m³/d，新建管网所需供水量为1.302万m³/d，本方案主管采用DN500管，按经济流速1.0m/s计算，则DN500管输送能力为1.6956万m³/d，满足供水要求。</w:t>
            </w:r>
          </w:p>
          <w:p>
            <w:pPr>
              <w:spacing w:line="360" w:lineRule="auto"/>
              <w:ind w:firstLine="482" w:firstLineChars="200"/>
              <w:rPr>
                <w:b/>
                <w:bCs/>
                <w:color w:val="auto"/>
                <w:kern w:val="0"/>
                <w:sz w:val="24"/>
              </w:rPr>
            </w:pPr>
            <w:r>
              <w:rPr>
                <w:rFonts w:hint="eastAsia"/>
                <w:b/>
                <w:bCs/>
                <w:color w:val="auto"/>
                <w:kern w:val="0"/>
                <w:sz w:val="24"/>
              </w:rPr>
              <w:t>5、管网规划</w:t>
            </w:r>
          </w:p>
          <w:p>
            <w:pPr>
              <w:spacing w:line="360" w:lineRule="auto"/>
              <w:ind w:firstLine="480" w:firstLineChars="200"/>
              <w:rPr>
                <w:color w:val="auto"/>
                <w:kern w:val="0"/>
                <w:sz w:val="24"/>
              </w:rPr>
            </w:pPr>
            <w:r>
              <w:rPr>
                <w:rFonts w:hint="eastAsia"/>
                <w:color w:val="auto"/>
                <w:kern w:val="0"/>
                <w:sz w:val="24"/>
              </w:rPr>
              <w:t>根据土地利用规划以及现状地形地貌，结合城东镇发展方向以及管网现状，确定给水管网规划方案：</w:t>
            </w:r>
          </w:p>
          <w:p>
            <w:pPr>
              <w:spacing w:line="360" w:lineRule="auto"/>
              <w:ind w:firstLine="480" w:firstLineChars="200"/>
              <w:rPr>
                <w:color w:val="auto"/>
                <w:kern w:val="0"/>
                <w:sz w:val="24"/>
              </w:rPr>
            </w:pPr>
            <w:r>
              <w:rPr>
                <w:rFonts w:hint="eastAsia"/>
                <w:color w:val="auto"/>
                <w:kern w:val="0"/>
                <w:sz w:val="24"/>
              </w:rPr>
              <w:t>（1）规划主管与城区市政主管连通:沿国道205敷设一条DN500供水主管。</w:t>
            </w:r>
          </w:p>
          <w:p>
            <w:pPr>
              <w:spacing w:line="360" w:lineRule="auto"/>
              <w:ind w:firstLine="480" w:firstLineChars="200"/>
              <w:rPr>
                <w:color w:val="auto"/>
                <w:kern w:val="0"/>
                <w:sz w:val="24"/>
              </w:rPr>
            </w:pPr>
            <w:r>
              <w:rPr>
                <w:rFonts w:hint="eastAsia"/>
                <w:color w:val="auto"/>
                <w:kern w:val="0"/>
                <w:sz w:val="24"/>
              </w:rPr>
              <w:t>（2）支管：供水支管沿其它次干道或支路向地块内部延伸，近期条件允许时各建设部门尽量做到独立成环，远期再与其它部分的管网相连形成统一环网系统，保障规划区供水安全，供水支管管径为DN200~DN400。</w:t>
            </w:r>
          </w:p>
          <w:p>
            <w:pPr>
              <w:spacing w:line="360" w:lineRule="auto"/>
              <w:ind w:firstLine="480" w:firstLineChars="200"/>
              <w:rPr>
                <w:color w:val="auto"/>
                <w:kern w:val="0"/>
                <w:sz w:val="24"/>
              </w:rPr>
            </w:pPr>
            <w:r>
              <w:rPr>
                <w:rFonts w:hint="eastAsia"/>
                <w:color w:val="auto"/>
                <w:kern w:val="0"/>
                <w:sz w:val="24"/>
              </w:rPr>
              <w:t>规划区内主干道供水管网可以沿道路双边敷设，此干道和支路沿线供水管网尽量采用单边敷设的形式:供水管径根据服务区域的不同分别规划计算。</w:t>
            </w:r>
          </w:p>
          <w:p>
            <w:pPr>
              <w:spacing w:line="360" w:lineRule="auto"/>
              <w:ind w:firstLine="482" w:firstLineChars="200"/>
              <w:rPr>
                <w:b/>
                <w:bCs/>
                <w:color w:val="auto"/>
              </w:rPr>
            </w:pPr>
            <w:r>
              <w:rPr>
                <w:rFonts w:hint="eastAsia"/>
                <w:b/>
                <w:bCs/>
                <w:color w:val="auto"/>
                <w:kern w:val="0"/>
                <w:sz w:val="24"/>
              </w:rPr>
              <w:t>6、</w:t>
            </w:r>
            <w:r>
              <w:rPr>
                <w:rFonts w:hint="eastAsia"/>
                <w:b/>
                <w:bCs/>
                <w:color w:val="auto"/>
                <w:kern w:val="0"/>
                <w:sz w:val="24"/>
                <w:szCs w:val="20"/>
              </w:rPr>
              <w:t>加压泵站</w:t>
            </w:r>
          </w:p>
          <w:p>
            <w:pPr>
              <w:spacing w:line="360" w:lineRule="auto"/>
              <w:ind w:firstLine="480" w:firstLineChars="200"/>
              <w:rPr>
                <w:color w:val="auto"/>
                <w:kern w:val="0"/>
                <w:sz w:val="24"/>
                <w:szCs w:val="20"/>
              </w:rPr>
            </w:pPr>
            <w:r>
              <w:rPr>
                <w:rFonts w:hint="eastAsia"/>
                <w:color w:val="auto"/>
                <w:kern w:val="0"/>
                <w:sz w:val="24"/>
                <w:szCs w:val="20"/>
              </w:rPr>
              <w:t xml:space="preserve">加压泵站是指提高配水系统中局部地区水压的构筑物，又称加压站。加压泵站在广义上也包括供水系统中多级提水成各个中转供水的泵站。 </w:t>
            </w:r>
          </w:p>
          <w:p>
            <w:pPr>
              <w:spacing w:line="360" w:lineRule="auto"/>
              <w:ind w:firstLine="480" w:firstLineChars="200"/>
              <w:rPr>
                <w:color w:val="auto"/>
                <w:kern w:val="0"/>
                <w:sz w:val="24"/>
                <w:szCs w:val="20"/>
              </w:rPr>
            </w:pPr>
            <w:r>
              <w:rPr>
                <w:rFonts w:hint="eastAsia"/>
                <w:color w:val="auto"/>
                <w:kern w:val="0"/>
                <w:sz w:val="24"/>
                <w:szCs w:val="20"/>
              </w:rPr>
              <w:t>本次泵站主要解决梅州城东片区（包括监狱新址）用水需求，在满足梅州监狱用水需求的用水量，同时考虑月梅片区及城东205国道两侧部分用水需求，泵站规模按最高日最高时确定为2.0万m³/d。</w:t>
            </w:r>
          </w:p>
          <w:p>
            <w:pPr>
              <w:spacing w:line="360" w:lineRule="auto"/>
              <w:ind w:firstLine="480" w:firstLineChars="200"/>
              <w:rPr>
                <w:color w:val="auto"/>
                <w:kern w:val="0"/>
                <w:sz w:val="24"/>
              </w:rPr>
            </w:pPr>
            <w:r>
              <w:rPr>
                <w:rFonts w:hint="eastAsia"/>
                <w:color w:val="auto"/>
                <w:kern w:val="0"/>
                <w:sz w:val="24"/>
                <w:szCs w:val="20"/>
              </w:rPr>
              <w:t>加压泵站包含一座蓄水池、一个泵房和一个值班室，不设置办公楼.。蓄水池容积约5000m³，池深为5</w:t>
            </w:r>
            <w:r>
              <w:rPr>
                <w:color w:val="auto"/>
                <w:kern w:val="0"/>
                <w:sz w:val="24"/>
                <w:szCs w:val="20"/>
              </w:rPr>
              <w:t>.5</w:t>
            </w:r>
            <w:r>
              <w:rPr>
                <w:rFonts w:hint="eastAsia"/>
                <w:color w:val="auto"/>
                <w:kern w:val="0"/>
                <w:sz w:val="24"/>
                <w:szCs w:val="20"/>
              </w:rPr>
              <w:t>米。泵站总用地3</w:t>
            </w:r>
            <w:r>
              <w:rPr>
                <w:color w:val="auto"/>
                <w:kern w:val="0"/>
                <w:sz w:val="24"/>
                <w:szCs w:val="20"/>
              </w:rPr>
              <w:t>998</w:t>
            </w:r>
            <w:r>
              <w:rPr>
                <w:rFonts w:hint="eastAsia"/>
                <w:color w:val="auto"/>
                <w:kern w:val="0"/>
                <w:sz w:val="24"/>
                <w:szCs w:val="20"/>
              </w:rPr>
              <w:t xml:space="preserve"> m</w:t>
            </w:r>
            <w:r>
              <w:rPr>
                <w:rFonts w:hint="eastAsia"/>
                <w:color w:val="auto"/>
                <w:kern w:val="0"/>
                <w:sz w:val="24"/>
                <w:szCs w:val="20"/>
                <w:vertAlign w:val="superscript"/>
              </w:rPr>
              <w:t>2</w:t>
            </w:r>
            <w:r>
              <w:rPr>
                <w:rFonts w:hint="eastAsia"/>
                <w:color w:val="auto"/>
                <w:kern w:val="0"/>
                <w:sz w:val="24"/>
                <w:szCs w:val="20"/>
              </w:rPr>
              <w:t>，总建筑面积5</w:t>
            </w:r>
            <w:r>
              <w:rPr>
                <w:color w:val="auto"/>
                <w:kern w:val="0"/>
                <w:sz w:val="24"/>
                <w:szCs w:val="20"/>
              </w:rPr>
              <w:t>92</w:t>
            </w:r>
            <w:r>
              <w:rPr>
                <w:rFonts w:hint="eastAsia"/>
                <w:color w:val="auto"/>
                <w:kern w:val="0"/>
                <w:sz w:val="24"/>
                <w:szCs w:val="20"/>
              </w:rPr>
              <w:t xml:space="preserve"> m</w:t>
            </w:r>
            <w:r>
              <w:rPr>
                <w:rFonts w:hint="eastAsia"/>
                <w:color w:val="auto"/>
                <w:kern w:val="0"/>
                <w:sz w:val="24"/>
                <w:szCs w:val="20"/>
                <w:vertAlign w:val="superscript"/>
              </w:rPr>
              <w:t>2</w:t>
            </w:r>
            <w:r>
              <w:rPr>
                <w:rFonts w:hint="eastAsia"/>
                <w:color w:val="auto"/>
                <w:kern w:val="0"/>
                <w:sz w:val="24"/>
                <w:szCs w:val="20"/>
              </w:rPr>
              <w:t>，绿化面积2</w:t>
            </w:r>
            <w:r>
              <w:rPr>
                <w:color w:val="auto"/>
                <w:kern w:val="0"/>
                <w:sz w:val="24"/>
                <w:szCs w:val="20"/>
              </w:rPr>
              <w:t>120</w:t>
            </w:r>
            <w:r>
              <w:rPr>
                <w:rFonts w:hint="eastAsia"/>
                <w:color w:val="auto"/>
                <w:kern w:val="0"/>
                <w:sz w:val="24"/>
                <w:szCs w:val="20"/>
              </w:rPr>
              <w:t xml:space="preserve"> m</w:t>
            </w:r>
            <w:r>
              <w:rPr>
                <w:rFonts w:hint="eastAsia"/>
                <w:color w:val="auto"/>
                <w:kern w:val="0"/>
                <w:sz w:val="24"/>
                <w:szCs w:val="20"/>
                <w:vertAlign w:val="superscript"/>
              </w:rPr>
              <w:t>2</w:t>
            </w:r>
            <w:r>
              <w:rPr>
                <w:rFonts w:hint="eastAsia"/>
                <w:color w:val="auto"/>
                <w:kern w:val="0"/>
                <w:sz w:val="24"/>
                <w:szCs w:val="20"/>
              </w:rPr>
              <w:t>。</w:t>
            </w:r>
          </w:p>
          <w:p>
            <w:pPr>
              <w:spacing w:line="360" w:lineRule="auto"/>
              <w:ind w:firstLine="482" w:firstLineChars="200"/>
              <w:rPr>
                <w:b/>
                <w:bCs/>
                <w:color w:val="auto"/>
              </w:rPr>
            </w:pPr>
            <w:r>
              <w:rPr>
                <w:b/>
                <w:bCs/>
                <w:color w:val="auto"/>
                <w:kern w:val="0"/>
                <w:sz w:val="24"/>
              </w:rPr>
              <w:t>7</w:t>
            </w:r>
            <w:r>
              <w:rPr>
                <w:rFonts w:hint="eastAsia"/>
                <w:b/>
                <w:bCs/>
                <w:color w:val="auto"/>
                <w:kern w:val="0"/>
                <w:sz w:val="24"/>
              </w:rPr>
              <w:t>、</w:t>
            </w:r>
            <w:r>
              <w:rPr>
                <w:b/>
                <w:bCs/>
                <w:color w:val="auto"/>
                <w:kern w:val="0"/>
                <w:sz w:val="24"/>
                <w:szCs w:val="20"/>
              </w:rPr>
              <w:t>主要设备</w:t>
            </w:r>
          </w:p>
          <w:p>
            <w:pPr>
              <w:spacing w:line="360" w:lineRule="auto"/>
              <w:ind w:firstLine="480" w:firstLineChars="200"/>
              <w:rPr>
                <w:color w:val="auto"/>
                <w:kern w:val="0"/>
                <w:sz w:val="24"/>
                <w:szCs w:val="20"/>
              </w:rPr>
            </w:pPr>
            <w:r>
              <w:rPr>
                <w:color w:val="auto"/>
                <w:kern w:val="0"/>
                <w:sz w:val="24"/>
                <w:szCs w:val="20"/>
              </w:rPr>
              <w:t>根据建设单位提供资料，本项目</w:t>
            </w:r>
            <w:r>
              <w:rPr>
                <w:rFonts w:hint="eastAsia"/>
                <w:color w:val="auto"/>
                <w:kern w:val="0"/>
                <w:sz w:val="24"/>
                <w:szCs w:val="20"/>
              </w:rPr>
              <w:t>设备主要为加压泵站的设备。</w:t>
            </w:r>
            <w:r>
              <w:rPr>
                <w:color w:val="auto"/>
                <w:kern w:val="0"/>
                <w:sz w:val="24"/>
                <w:szCs w:val="20"/>
              </w:rPr>
              <w:t>设备及其数量见表1。</w:t>
            </w:r>
          </w:p>
          <w:p>
            <w:pPr>
              <w:pStyle w:val="23"/>
              <w:spacing w:line="360" w:lineRule="auto"/>
              <w:jc w:val="center"/>
              <w:rPr>
                <w:b/>
                <w:color w:val="auto"/>
                <w:kern w:val="2"/>
                <w:sz w:val="21"/>
                <w:szCs w:val="21"/>
              </w:rPr>
            </w:pPr>
            <w:r>
              <w:rPr>
                <w:rFonts w:hint="eastAsia"/>
                <w:b/>
                <w:color w:val="auto"/>
                <w:kern w:val="2"/>
                <w:sz w:val="21"/>
                <w:szCs w:val="21"/>
              </w:rPr>
              <w:t>表</w:t>
            </w:r>
            <w:r>
              <w:rPr>
                <w:b/>
                <w:color w:val="auto"/>
                <w:kern w:val="2"/>
                <w:sz w:val="21"/>
                <w:szCs w:val="21"/>
              </w:rPr>
              <w:fldChar w:fldCharType="begin"/>
            </w:r>
            <w:r>
              <w:rPr>
                <w:b/>
                <w:color w:val="auto"/>
                <w:kern w:val="2"/>
                <w:sz w:val="21"/>
                <w:szCs w:val="21"/>
              </w:rPr>
              <w:instrText xml:space="preserve"> </w:instrText>
            </w:r>
            <w:r>
              <w:rPr>
                <w:rFonts w:hint="eastAsia"/>
                <w:b/>
                <w:color w:val="auto"/>
                <w:kern w:val="2"/>
                <w:sz w:val="21"/>
                <w:szCs w:val="21"/>
              </w:rPr>
              <w:instrText xml:space="preserve">SEQ 表 \* ARABIC</w:instrText>
            </w:r>
            <w:r>
              <w:rPr>
                <w:b/>
                <w:color w:val="auto"/>
                <w:kern w:val="2"/>
                <w:sz w:val="21"/>
                <w:szCs w:val="21"/>
              </w:rPr>
              <w:instrText xml:space="preserve"> </w:instrText>
            </w:r>
            <w:r>
              <w:rPr>
                <w:b/>
                <w:color w:val="auto"/>
                <w:kern w:val="2"/>
                <w:sz w:val="21"/>
                <w:szCs w:val="21"/>
              </w:rPr>
              <w:fldChar w:fldCharType="separate"/>
            </w:r>
            <w:r>
              <w:rPr>
                <w:b/>
                <w:color w:val="auto"/>
                <w:kern w:val="2"/>
                <w:sz w:val="21"/>
                <w:szCs w:val="21"/>
              </w:rPr>
              <w:t>1</w:t>
            </w:r>
            <w:r>
              <w:rPr>
                <w:b/>
                <w:color w:val="auto"/>
                <w:kern w:val="2"/>
                <w:sz w:val="21"/>
                <w:szCs w:val="21"/>
              </w:rPr>
              <w:fldChar w:fldCharType="end"/>
            </w:r>
            <w:r>
              <w:rPr>
                <w:rFonts w:hint="eastAsia"/>
                <w:b/>
                <w:color w:val="auto"/>
                <w:kern w:val="2"/>
                <w:sz w:val="21"/>
                <w:szCs w:val="21"/>
              </w:rPr>
              <w:t xml:space="preserve">  建设项目的主要设备</w:t>
            </w:r>
          </w:p>
          <w:tbl>
            <w:tblPr>
              <w:tblStyle w:val="33"/>
              <w:tblW w:w="83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94"/>
              <w:gridCol w:w="3119"/>
              <w:gridCol w:w="1608"/>
              <w:gridCol w:w="24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1194" w:type="dxa"/>
                  <w:vAlign w:val="center"/>
                </w:tcPr>
                <w:p>
                  <w:pPr>
                    <w:pStyle w:val="68"/>
                    <w:ind w:left="0"/>
                    <w:rPr>
                      <w:b/>
                      <w:color w:val="auto"/>
                      <w:sz w:val="21"/>
                      <w:szCs w:val="21"/>
                    </w:rPr>
                  </w:pPr>
                  <w:r>
                    <w:rPr>
                      <w:rFonts w:hint="eastAsia"/>
                      <w:b/>
                      <w:color w:val="auto"/>
                      <w:sz w:val="21"/>
                      <w:szCs w:val="21"/>
                    </w:rPr>
                    <w:t>序号</w:t>
                  </w:r>
                </w:p>
              </w:tc>
              <w:tc>
                <w:tcPr>
                  <w:tcW w:w="3119" w:type="dxa"/>
                  <w:vAlign w:val="center"/>
                </w:tcPr>
                <w:p>
                  <w:pPr>
                    <w:pStyle w:val="68"/>
                    <w:ind w:left="0"/>
                    <w:rPr>
                      <w:b/>
                      <w:color w:val="auto"/>
                      <w:sz w:val="21"/>
                      <w:szCs w:val="21"/>
                    </w:rPr>
                  </w:pPr>
                  <w:r>
                    <w:rPr>
                      <w:rFonts w:hint="eastAsia"/>
                      <w:b/>
                      <w:color w:val="auto"/>
                      <w:sz w:val="21"/>
                      <w:szCs w:val="21"/>
                    </w:rPr>
                    <w:t>设备名称</w:t>
                  </w:r>
                </w:p>
              </w:tc>
              <w:tc>
                <w:tcPr>
                  <w:tcW w:w="1608" w:type="dxa"/>
                  <w:vAlign w:val="center"/>
                </w:tcPr>
                <w:p>
                  <w:pPr>
                    <w:pStyle w:val="68"/>
                    <w:ind w:left="0"/>
                    <w:rPr>
                      <w:b/>
                      <w:color w:val="auto"/>
                      <w:sz w:val="21"/>
                      <w:szCs w:val="21"/>
                    </w:rPr>
                  </w:pPr>
                  <w:r>
                    <w:rPr>
                      <w:rFonts w:hint="eastAsia"/>
                      <w:b/>
                      <w:color w:val="auto"/>
                      <w:sz w:val="21"/>
                      <w:szCs w:val="21"/>
                    </w:rPr>
                    <w:t>数量</w:t>
                  </w:r>
                </w:p>
              </w:tc>
              <w:tc>
                <w:tcPr>
                  <w:tcW w:w="2430" w:type="dxa"/>
                  <w:vAlign w:val="center"/>
                </w:tcPr>
                <w:p>
                  <w:pPr>
                    <w:pStyle w:val="68"/>
                    <w:ind w:left="0"/>
                    <w:rPr>
                      <w:b/>
                      <w:color w:val="auto"/>
                      <w:sz w:val="21"/>
                      <w:szCs w:val="21"/>
                    </w:rPr>
                  </w:pPr>
                  <w:r>
                    <w:rPr>
                      <w:rFonts w:hint="eastAsia"/>
                      <w:b/>
                      <w:color w:val="auto"/>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1194" w:type="dxa"/>
                  <w:vAlign w:val="center"/>
                </w:tcPr>
                <w:p>
                  <w:pPr>
                    <w:pStyle w:val="68"/>
                    <w:ind w:left="0"/>
                    <w:rPr>
                      <w:bCs/>
                      <w:color w:val="auto"/>
                      <w:sz w:val="21"/>
                      <w:szCs w:val="21"/>
                    </w:rPr>
                  </w:pPr>
                  <w:r>
                    <w:rPr>
                      <w:rFonts w:hint="eastAsia"/>
                      <w:bCs/>
                      <w:color w:val="auto"/>
                      <w:sz w:val="21"/>
                      <w:szCs w:val="21"/>
                    </w:rPr>
                    <w:t>1</w:t>
                  </w:r>
                </w:p>
              </w:tc>
              <w:tc>
                <w:tcPr>
                  <w:tcW w:w="3119" w:type="dxa"/>
                  <w:vAlign w:val="center"/>
                </w:tcPr>
                <w:p>
                  <w:pPr>
                    <w:pStyle w:val="68"/>
                    <w:ind w:left="0"/>
                    <w:rPr>
                      <w:bCs/>
                      <w:color w:val="auto"/>
                      <w:sz w:val="21"/>
                      <w:szCs w:val="21"/>
                    </w:rPr>
                  </w:pPr>
                  <w:r>
                    <w:rPr>
                      <w:rFonts w:hint="eastAsia"/>
                      <w:bCs/>
                      <w:color w:val="auto"/>
                      <w:sz w:val="21"/>
                      <w:szCs w:val="21"/>
                    </w:rPr>
                    <w:t>储水池</w:t>
                  </w:r>
                </w:p>
              </w:tc>
              <w:tc>
                <w:tcPr>
                  <w:tcW w:w="1608" w:type="dxa"/>
                  <w:vAlign w:val="center"/>
                </w:tcPr>
                <w:p>
                  <w:pPr>
                    <w:pStyle w:val="68"/>
                    <w:ind w:left="0"/>
                    <w:rPr>
                      <w:bCs/>
                      <w:color w:val="auto"/>
                      <w:sz w:val="21"/>
                      <w:szCs w:val="21"/>
                    </w:rPr>
                  </w:pPr>
                  <w:r>
                    <w:rPr>
                      <w:bCs/>
                      <w:color w:val="auto"/>
                      <w:sz w:val="21"/>
                      <w:szCs w:val="21"/>
                    </w:rPr>
                    <w:t>1</w:t>
                  </w:r>
                  <w:r>
                    <w:rPr>
                      <w:rFonts w:hint="eastAsia"/>
                      <w:bCs/>
                      <w:color w:val="auto"/>
                      <w:sz w:val="21"/>
                      <w:szCs w:val="21"/>
                    </w:rPr>
                    <w:t>座</w:t>
                  </w:r>
                </w:p>
              </w:tc>
              <w:tc>
                <w:tcPr>
                  <w:tcW w:w="2430" w:type="dxa"/>
                  <w:vAlign w:val="center"/>
                </w:tcPr>
                <w:p>
                  <w:pPr>
                    <w:pStyle w:val="68"/>
                    <w:ind w:left="0"/>
                    <w:rPr>
                      <w:bCs/>
                      <w:color w:val="auto"/>
                      <w:sz w:val="21"/>
                      <w:szCs w:val="21"/>
                    </w:rPr>
                  </w:pPr>
                  <w:r>
                    <w:rPr>
                      <w:rFonts w:hint="eastAsia"/>
                      <w:bCs/>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1194" w:type="dxa"/>
                  <w:vAlign w:val="center"/>
                </w:tcPr>
                <w:p>
                  <w:pPr>
                    <w:pStyle w:val="68"/>
                    <w:ind w:left="0"/>
                    <w:rPr>
                      <w:bCs/>
                      <w:color w:val="auto"/>
                      <w:sz w:val="21"/>
                      <w:szCs w:val="21"/>
                    </w:rPr>
                  </w:pPr>
                  <w:r>
                    <w:rPr>
                      <w:rFonts w:hint="eastAsia"/>
                      <w:bCs/>
                      <w:color w:val="auto"/>
                      <w:sz w:val="21"/>
                      <w:szCs w:val="21"/>
                    </w:rPr>
                    <w:t>2</w:t>
                  </w:r>
                </w:p>
              </w:tc>
              <w:tc>
                <w:tcPr>
                  <w:tcW w:w="3119" w:type="dxa"/>
                  <w:vAlign w:val="center"/>
                </w:tcPr>
                <w:p>
                  <w:pPr>
                    <w:pStyle w:val="68"/>
                    <w:ind w:left="0"/>
                    <w:rPr>
                      <w:bCs/>
                      <w:color w:val="auto"/>
                      <w:sz w:val="21"/>
                      <w:szCs w:val="21"/>
                    </w:rPr>
                  </w:pPr>
                  <w:r>
                    <w:rPr>
                      <w:rFonts w:hint="eastAsia"/>
                      <w:bCs/>
                      <w:color w:val="auto"/>
                      <w:sz w:val="21"/>
                      <w:szCs w:val="21"/>
                    </w:rPr>
                    <w:t>配电柜</w:t>
                  </w:r>
                </w:p>
              </w:tc>
              <w:tc>
                <w:tcPr>
                  <w:tcW w:w="1608" w:type="dxa"/>
                  <w:vAlign w:val="center"/>
                </w:tcPr>
                <w:p>
                  <w:pPr>
                    <w:pStyle w:val="68"/>
                    <w:ind w:left="0"/>
                    <w:rPr>
                      <w:bCs/>
                      <w:color w:val="auto"/>
                      <w:sz w:val="21"/>
                      <w:szCs w:val="21"/>
                    </w:rPr>
                  </w:pPr>
                  <w:r>
                    <w:rPr>
                      <w:bCs/>
                      <w:color w:val="auto"/>
                      <w:sz w:val="21"/>
                      <w:szCs w:val="21"/>
                    </w:rPr>
                    <w:t>1</w:t>
                  </w:r>
                  <w:r>
                    <w:rPr>
                      <w:rFonts w:hint="eastAsia"/>
                      <w:bCs/>
                      <w:color w:val="auto"/>
                      <w:sz w:val="21"/>
                      <w:szCs w:val="21"/>
                    </w:rPr>
                    <w:t>座</w:t>
                  </w:r>
                </w:p>
              </w:tc>
              <w:tc>
                <w:tcPr>
                  <w:tcW w:w="2430" w:type="dxa"/>
                  <w:vAlign w:val="center"/>
                </w:tcPr>
                <w:p>
                  <w:pPr>
                    <w:pStyle w:val="68"/>
                    <w:ind w:left="0"/>
                    <w:rPr>
                      <w:bCs/>
                      <w:color w:val="auto"/>
                      <w:sz w:val="21"/>
                      <w:szCs w:val="21"/>
                    </w:rPr>
                  </w:pPr>
                  <w:r>
                    <w:rPr>
                      <w:rFonts w:hint="eastAsia"/>
                      <w:bCs/>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1194" w:type="dxa"/>
                  <w:vAlign w:val="center"/>
                </w:tcPr>
                <w:p>
                  <w:pPr>
                    <w:pStyle w:val="68"/>
                    <w:ind w:left="0"/>
                    <w:rPr>
                      <w:bCs/>
                      <w:color w:val="auto"/>
                      <w:sz w:val="21"/>
                      <w:szCs w:val="21"/>
                    </w:rPr>
                  </w:pPr>
                  <w:r>
                    <w:rPr>
                      <w:rFonts w:hint="eastAsia"/>
                      <w:bCs/>
                      <w:color w:val="auto"/>
                      <w:sz w:val="21"/>
                      <w:szCs w:val="21"/>
                    </w:rPr>
                    <w:t>3</w:t>
                  </w:r>
                </w:p>
              </w:tc>
              <w:tc>
                <w:tcPr>
                  <w:tcW w:w="3119" w:type="dxa"/>
                  <w:vAlign w:val="center"/>
                </w:tcPr>
                <w:p>
                  <w:pPr>
                    <w:pStyle w:val="68"/>
                    <w:ind w:left="0"/>
                    <w:rPr>
                      <w:bCs/>
                      <w:color w:val="auto"/>
                      <w:sz w:val="21"/>
                      <w:szCs w:val="21"/>
                    </w:rPr>
                  </w:pPr>
                  <w:r>
                    <w:rPr>
                      <w:rFonts w:hint="eastAsia"/>
                      <w:bCs/>
                      <w:color w:val="auto"/>
                      <w:sz w:val="21"/>
                      <w:szCs w:val="21"/>
                    </w:rPr>
                    <w:t>加压泵</w:t>
                  </w:r>
                </w:p>
              </w:tc>
              <w:tc>
                <w:tcPr>
                  <w:tcW w:w="1608" w:type="dxa"/>
                  <w:vAlign w:val="center"/>
                </w:tcPr>
                <w:p>
                  <w:pPr>
                    <w:pStyle w:val="68"/>
                    <w:ind w:left="0"/>
                    <w:rPr>
                      <w:bCs/>
                      <w:color w:val="auto"/>
                      <w:sz w:val="21"/>
                      <w:szCs w:val="21"/>
                    </w:rPr>
                  </w:pPr>
                  <w:r>
                    <w:rPr>
                      <w:bCs/>
                      <w:color w:val="auto"/>
                      <w:sz w:val="21"/>
                      <w:szCs w:val="21"/>
                    </w:rPr>
                    <w:t>6</w:t>
                  </w:r>
                  <w:r>
                    <w:rPr>
                      <w:rFonts w:hint="eastAsia"/>
                      <w:bCs/>
                      <w:color w:val="auto"/>
                      <w:sz w:val="21"/>
                      <w:szCs w:val="21"/>
                    </w:rPr>
                    <w:t>台</w:t>
                  </w:r>
                </w:p>
              </w:tc>
              <w:tc>
                <w:tcPr>
                  <w:tcW w:w="2430" w:type="dxa"/>
                  <w:vAlign w:val="center"/>
                </w:tcPr>
                <w:p>
                  <w:pPr>
                    <w:pStyle w:val="68"/>
                    <w:ind w:left="0"/>
                    <w:rPr>
                      <w:bCs/>
                      <w:color w:val="auto"/>
                      <w:sz w:val="21"/>
                      <w:szCs w:val="21"/>
                    </w:rPr>
                  </w:pPr>
                  <w:r>
                    <w:rPr>
                      <w:rFonts w:hint="eastAsia"/>
                      <w:bCs/>
                      <w:color w:val="auto"/>
                      <w:sz w:val="21"/>
                      <w:szCs w:val="21"/>
                    </w:rPr>
                    <w:t>四用两备，流量Q为354m</w:t>
                  </w:r>
                  <w:r>
                    <w:rPr>
                      <w:rFonts w:hint="eastAsia"/>
                      <w:bCs/>
                      <w:color w:val="auto"/>
                      <w:sz w:val="21"/>
                      <w:szCs w:val="21"/>
                      <w:vertAlign w:val="superscript"/>
                    </w:rPr>
                    <w:t>3</w:t>
                  </w:r>
                  <w:r>
                    <w:rPr>
                      <w:rFonts w:hint="eastAsia"/>
                      <w:bCs/>
                      <w:color w:val="auto"/>
                      <w:sz w:val="21"/>
                      <w:szCs w:val="21"/>
                    </w:rPr>
                    <w:t>/h，扬程为50m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1194" w:type="dxa"/>
                  <w:vAlign w:val="center"/>
                </w:tcPr>
                <w:p>
                  <w:pPr>
                    <w:pStyle w:val="68"/>
                    <w:ind w:left="0"/>
                    <w:rPr>
                      <w:bCs/>
                      <w:color w:val="auto"/>
                      <w:sz w:val="21"/>
                      <w:szCs w:val="21"/>
                    </w:rPr>
                  </w:pPr>
                  <w:r>
                    <w:rPr>
                      <w:rFonts w:hint="eastAsia"/>
                      <w:bCs/>
                      <w:color w:val="auto"/>
                      <w:sz w:val="21"/>
                      <w:szCs w:val="21"/>
                    </w:rPr>
                    <w:t>4</w:t>
                  </w:r>
                </w:p>
              </w:tc>
              <w:tc>
                <w:tcPr>
                  <w:tcW w:w="3119" w:type="dxa"/>
                  <w:vAlign w:val="center"/>
                </w:tcPr>
                <w:p>
                  <w:pPr>
                    <w:pStyle w:val="68"/>
                    <w:ind w:left="0"/>
                    <w:rPr>
                      <w:bCs/>
                      <w:color w:val="auto"/>
                      <w:sz w:val="21"/>
                      <w:szCs w:val="21"/>
                    </w:rPr>
                  </w:pPr>
                  <w:r>
                    <w:rPr>
                      <w:rFonts w:hint="eastAsia"/>
                      <w:bCs/>
                      <w:color w:val="auto"/>
                      <w:sz w:val="21"/>
                      <w:szCs w:val="21"/>
                    </w:rPr>
                    <w:t>配套管件、阀门、仪表等配件</w:t>
                  </w:r>
                </w:p>
              </w:tc>
              <w:tc>
                <w:tcPr>
                  <w:tcW w:w="1608" w:type="dxa"/>
                  <w:vAlign w:val="center"/>
                </w:tcPr>
                <w:p>
                  <w:pPr>
                    <w:pStyle w:val="68"/>
                    <w:ind w:left="0"/>
                    <w:rPr>
                      <w:bCs/>
                      <w:color w:val="auto"/>
                      <w:sz w:val="21"/>
                      <w:szCs w:val="21"/>
                    </w:rPr>
                  </w:pPr>
                  <w:r>
                    <w:rPr>
                      <w:rFonts w:hint="eastAsia"/>
                      <w:bCs/>
                      <w:color w:val="auto"/>
                      <w:sz w:val="21"/>
                      <w:szCs w:val="21"/>
                    </w:rPr>
                    <w:t>1套</w:t>
                  </w:r>
                </w:p>
              </w:tc>
              <w:tc>
                <w:tcPr>
                  <w:tcW w:w="2430" w:type="dxa"/>
                  <w:vAlign w:val="center"/>
                </w:tcPr>
                <w:p>
                  <w:pPr>
                    <w:pStyle w:val="68"/>
                    <w:ind w:left="0"/>
                    <w:rPr>
                      <w:bCs/>
                      <w:color w:val="auto"/>
                      <w:sz w:val="21"/>
                      <w:szCs w:val="21"/>
                    </w:rPr>
                  </w:pPr>
                  <w:r>
                    <w:rPr>
                      <w:rFonts w:hint="eastAsia"/>
                      <w:bCs/>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1194" w:type="dxa"/>
                  <w:vAlign w:val="center"/>
                </w:tcPr>
                <w:p>
                  <w:pPr>
                    <w:pStyle w:val="68"/>
                    <w:ind w:left="0"/>
                    <w:rPr>
                      <w:bCs/>
                      <w:color w:val="auto"/>
                      <w:sz w:val="21"/>
                      <w:szCs w:val="21"/>
                    </w:rPr>
                  </w:pPr>
                  <w:r>
                    <w:rPr>
                      <w:rFonts w:hint="eastAsia"/>
                      <w:bCs/>
                      <w:color w:val="auto"/>
                      <w:sz w:val="21"/>
                      <w:szCs w:val="21"/>
                    </w:rPr>
                    <w:t>5</w:t>
                  </w:r>
                </w:p>
              </w:tc>
              <w:tc>
                <w:tcPr>
                  <w:tcW w:w="3119" w:type="dxa"/>
                  <w:vAlign w:val="center"/>
                </w:tcPr>
                <w:p>
                  <w:pPr>
                    <w:pStyle w:val="68"/>
                    <w:ind w:left="0"/>
                    <w:rPr>
                      <w:bCs/>
                      <w:color w:val="auto"/>
                      <w:sz w:val="21"/>
                      <w:szCs w:val="21"/>
                    </w:rPr>
                  </w:pPr>
                  <w:r>
                    <w:rPr>
                      <w:rFonts w:hint="eastAsia"/>
                      <w:bCs/>
                      <w:color w:val="auto"/>
                      <w:sz w:val="21"/>
                      <w:szCs w:val="21"/>
                    </w:rPr>
                    <w:t>BTG 专用控制系统</w:t>
                  </w:r>
                </w:p>
              </w:tc>
              <w:tc>
                <w:tcPr>
                  <w:tcW w:w="1608" w:type="dxa"/>
                  <w:vAlign w:val="center"/>
                </w:tcPr>
                <w:p>
                  <w:pPr>
                    <w:pStyle w:val="68"/>
                    <w:ind w:left="0"/>
                    <w:rPr>
                      <w:bCs/>
                      <w:color w:val="auto"/>
                      <w:sz w:val="21"/>
                      <w:szCs w:val="21"/>
                    </w:rPr>
                  </w:pPr>
                  <w:r>
                    <w:rPr>
                      <w:rFonts w:hint="eastAsia"/>
                      <w:bCs/>
                      <w:color w:val="auto"/>
                      <w:sz w:val="21"/>
                      <w:szCs w:val="21"/>
                    </w:rPr>
                    <w:t>1套</w:t>
                  </w:r>
                </w:p>
              </w:tc>
              <w:tc>
                <w:tcPr>
                  <w:tcW w:w="2430" w:type="dxa"/>
                  <w:vAlign w:val="center"/>
                </w:tcPr>
                <w:p>
                  <w:pPr>
                    <w:pStyle w:val="68"/>
                    <w:ind w:left="0"/>
                    <w:rPr>
                      <w:bCs/>
                      <w:color w:val="auto"/>
                      <w:sz w:val="21"/>
                      <w:szCs w:val="21"/>
                    </w:rPr>
                  </w:pPr>
                  <w:r>
                    <w:rPr>
                      <w:rFonts w:hint="eastAsia"/>
                      <w:bCs/>
                      <w:color w:val="auto"/>
                      <w:sz w:val="21"/>
                      <w:szCs w:val="21"/>
                    </w:rPr>
                    <w:t>——</w:t>
                  </w:r>
                </w:p>
              </w:tc>
            </w:tr>
          </w:tbl>
          <w:p>
            <w:pPr>
              <w:widowControl/>
              <w:jc w:val="center"/>
              <w:rPr>
                <w:color w:val="auto"/>
                <w:sz w:val="24"/>
              </w:rPr>
            </w:pPr>
          </w:p>
          <w:p>
            <w:pPr>
              <w:spacing w:line="360" w:lineRule="auto"/>
              <w:ind w:firstLine="482" w:firstLineChars="200"/>
              <w:rPr>
                <w:b/>
                <w:bCs/>
                <w:color w:val="auto"/>
                <w:kern w:val="0"/>
                <w:sz w:val="24"/>
              </w:rPr>
            </w:pPr>
            <w:r>
              <w:rPr>
                <w:b/>
                <w:bCs/>
                <w:color w:val="auto"/>
                <w:kern w:val="0"/>
                <w:sz w:val="24"/>
              </w:rPr>
              <w:t>8</w:t>
            </w:r>
            <w:r>
              <w:rPr>
                <w:rFonts w:hint="eastAsia"/>
                <w:b/>
                <w:bCs/>
                <w:color w:val="auto"/>
                <w:kern w:val="0"/>
                <w:sz w:val="24"/>
              </w:rPr>
              <w:t>、能耗</w:t>
            </w:r>
          </w:p>
          <w:p>
            <w:pPr>
              <w:spacing w:line="360" w:lineRule="auto"/>
              <w:ind w:firstLine="480" w:firstLineChars="200"/>
              <w:rPr>
                <w:color w:val="auto"/>
                <w:kern w:val="0"/>
                <w:sz w:val="24"/>
              </w:rPr>
            </w:pPr>
            <w:r>
              <w:rPr>
                <w:rFonts w:hint="eastAsia"/>
                <w:color w:val="auto"/>
                <w:kern w:val="0"/>
                <w:sz w:val="24"/>
              </w:rPr>
              <w:t>根据项目可行性研究报告，加压泵</w:t>
            </w:r>
            <w:r>
              <w:rPr>
                <w:rFonts w:hint="eastAsia"/>
                <w:color w:val="auto"/>
                <w:sz w:val="24"/>
              </w:rPr>
              <w:t>电源来源选择采用附近公用台变压器200KVA引入，年耗电量为3.85万千瓦时。</w:t>
            </w:r>
          </w:p>
          <w:p>
            <w:pPr>
              <w:spacing w:line="360" w:lineRule="auto"/>
              <w:ind w:firstLine="482" w:firstLineChars="200"/>
              <w:rPr>
                <w:b/>
                <w:bCs/>
                <w:color w:val="auto"/>
                <w:sz w:val="24"/>
              </w:rPr>
            </w:pPr>
            <w:r>
              <w:rPr>
                <w:b/>
                <w:bCs/>
                <w:color w:val="auto"/>
                <w:sz w:val="24"/>
              </w:rPr>
              <w:t>9</w:t>
            </w:r>
            <w:r>
              <w:rPr>
                <w:rFonts w:hint="eastAsia"/>
                <w:b/>
                <w:bCs/>
                <w:color w:val="auto"/>
                <w:sz w:val="24"/>
              </w:rPr>
              <w:t>、计划建设周期</w:t>
            </w:r>
          </w:p>
          <w:p>
            <w:pPr>
              <w:spacing w:line="360" w:lineRule="auto"/>
              <w:ind w:firstLine="480" w:firstLineChars="200"/>
              <w:rPr>
                <w:color w:val="auto"/>
                <w:sz w:val="24"/>
              </w:rPr>
            </w:pPr>
            <w:r>
              <w:rPr>
                <w:rFonts w:hint="eastAsia"/>
                <w:color w:val="auto"/>
                <w:sz w:val="24"/>
              </w:rPr>
              <w:t>本项目整个建设周期为24个月，拟从2020年1月开始前期准备工作，2021年12月验收交付使用。本项目施工建设期15个月，拟从2020年10月开始至2021年12月完成。</w:t>
            </w:r>
          </w:p>
          <w:p>
            <w:pPr>
              <w:spacing w:line="360" w:lineRule="auto"/>
              <w:ind w:firstLine="482" w:firstLineChars="200"/>
              <w:rPr>
                <w:b/>
                <w:bCs/>
                <w:color w:val="auto"/>
                <w:sz w:val="24"/>
              </w:rPr>
            </w:pPr>
            <w:r>
              <w:rPr>
                <w:rFonts w:hint="eastAsia"/>
                <w:b/>
                <w:bCs/>
                <w:color w:val="auto"/>
                <w:sz w:val="24"/>
              </w:rPr>
              <w:t>四</w:t>
            </w:r>
            <w:r>
              <w:rPr>
                <w:b/>
                <w:bCs/>
                <w:color w:val="auto"/>
                <w:sz w:val="24"/>
              </w:rPr>
              <w:t>、项目选址可行性</w:t>
            </w:r>
          </w:p>
          <w:p>
            <w:pPr>
              <w:spacing w:line="360" w:lineRule="auto"/>
              <w:ind w:firstLine="420" w:firstLineChars="175"/>
              <w:rPr>
                <w:rFonts w:ascii="宋体" w:hAnsi="宋体"/>
                <w:color w:val="auto"/>
                <w:kern w:val="0"/>
                <w:sz w:val="24"/>
              </w:rPr>
            </w:pPr>
            <w:r>
              <w:rPr>
                <w:rFonts w:hint="eastAsia" w:ascii="宋体" w:hAnsi="宋体"/>
                <w:color w:val="auto"/>
                <w:kern w:val="0"/>
                <w:sz w:val="24"/>
              </w:rPr>
              <w:t>本项目加压泵站位于</w:t>
            </w:r>
            <w:r>
              <w:rPr>
                <w:rFonts w:hint="eastAsia"/>
                <w:color w:val="auto"/>
                <w:sz w:val="24"/>
              </w:rPr>
              <w:t>梅江区金山街道碧桂路旁，管道铺设由泵站沿G</w:t>
            </w:r>
            <w:r>
              <w:rPr>
                <w:color w:val="auto"/>
                <w:sz w:val="24"/>
              </w:rPr>
              <w:t>205</w:t>
            </w:r>
            <w:r>
              <w:rPr>
                <w:rFonts w:hint="eastAsia"/>
                <w:color w:val="auto"/>
                <w:sz w:val="24"/>
              </w:rPr>
              <w:t>国道自南向北至梅州监狱</w:t>
            </w:r>
            <w:r>
              <w:rPr>
                <w:color w:val="auto"/>
                <w:sz w:val="24"/>
              </w:rPr>
              <w:t>，</w:t>
            </w:r>
            <w:r>
              <w:rPr>
                <w:rFonts w:hint="eastAsia"/>
                <w:color w:val="auto"/>
                <w:sz w:val="24"/>
              </w:rPr>
              <w:t>供水范围包括梅江区和梅县区部分区域，选址</w:t>
            </w:r>
            <w:r>
              <w:rPr>
                <w:color w:val="auto"/>
                <w:kern w:val="0"/>
                <w:sz w:val="24"/>
              </w:rPr>
              <w:t>不在《梅州市环境保护规划（</w:t>
            </w:r>
            <w:r>
              <w:rPr>
                <w:rFonts w:eastAsia="Times New Roman"/>
                <w:color w:val="auto"/>
                <w:kern w:val="0"/>
                <w:sz w:val="24"/>
              </w:rPr>
              <w:t>2007-2020</w:t>
            </w:r>
            <w:r>
              <w:rPr>
                <w:rFonts w:eastAsia="Times New Roman"/>
                <w:color w:val="auto"/>
                <w:spacing w:val="-2"/>
                <w:kern w:val="0"/>
                <w:sz w:val="24"/>
              </w:rPr>
              <w:t xml:space="preserve"> </w:t>
            </w:r>
            <w:r>
              <w:rPr>
                <w:color w:val="auto"/>
                <w:kern w:val="0"/>
                <w:sz w:val="24"/>
              </w:rPr>
              <w:t>年）》划定的严格控制区内，属于集约利用区（见附图5），</w:t>
            </w:r>
            <w:r>
              <w:rPr>
                <w:color w:val="auto"/>
                <w:spacing w:val="-6"/>
                <w:kern w:val="0"/>
                <w:sz w:val="24"/>
              </w:rPr>
              <w:t>符合梅州市生态功能区划要求。项目管道走向自泵</w:t>
            </w:r>
            <w:r>
              <w:rPr>
                <w:rFonts w:hint="eastAsia"/>
                <w:color w:val="auto"/>
                <w:spacing w:val="-6"/>
                <w:kern w:val="0"/>
                <w:sz w:val="24"/>
              </w:rPr>
              <w:t>站</w:t>
            </w:r>
            <w:r>
              <w:rPr>
                <w:color w:val="auto"/>
                <w:spacing w:val="-6"/>
                <w:kern w:val="0"/>
                <w:sz w:val="24"/>
              </w:rPr>
              <w:t>位置接出后，沿碧桂路至G205国道自南向北，经核查</w:t>
            </w:r>
            <w:r>
              <w:rPr>
                <w:rFonts w:hint="eastAsia"/>
                <w:color w:val="auto"/>
                <w:spacing w:val="-6"/>
                <w:kern w:val="0"/>
                <w:sz w:val="24"/>
              </w:rPr>
              <w:t>（见附图7）</w:t>
            </w:r>
            <w:r>
              <w:rPr>
                <w:color w:val="auto"/>
                <w:spacing w:val="-6"/>
                <w:kern w:val="0"/>
                <w:sz w:val="24"/>
              </w:rPr>
              <w:t>，G205国道东面紧邻为梅县佛子高市级自然保护区（实验区），东面最近约35m为缓冲区，约150m为核心区，但本项目管道沿国道铺设，不涉及自然保护区；项目东</w:t>
            </w:r>
            <w:r>
              <w:rPr>
                <w:rFonts w:hint="eastAsia"/>
                <w:color w:val="auto"/>
                <w:spacing w:val="-6"/>
                <w:kern w:val="0"/>
                <w:sz w:val="24"/>
              </w:rPr>
              <w:t>南</w:t>
            </w:r>
            <w:r>
              <w:rPr>
                <w:color w:val="auto"/>
                <w:spacing w:val="-6"/>
                <w:kern w:val="0"/>
                <w:sz w:val="24"/>
              </w:rPr>
              <w:t>面约1.46km处为梅州天鹅山省级森林公园，北面约600m处为梅县何坑口县级森林公园；</w:t>
            </w:r>
            <w:r>
              <w:rPr>
                <w:rFonts w:hint="eastAsia"/>
                <w:color w:val="auto"/>
                <w:spacing w:val="-6"/>
                <w:kern w:val="0"/>
                <w:sz w:val="24"/>
              </w:rPr>
              <w:t>项目附近无</w:t>
            </w:r>
            <w:r>
              <w:rPr>
                <w:color w:val="auto"/>
                <w:spacing w:val="-6"/>
                <w:kern w:val="0"/>
                <w:sz w:val="24"/>
              </w:rPr>
              <w:t>饮用水源保护区</w:t>
            </w:r>
            <w:r>
              <w:rPr>
                <w:rFonts w:hint="eastAsia"/>
                <w:color w:val="auto"/>
                <w:spacing w:val="-6"/>
                <w:kern w:val="0"/>
                <w:sz w:val="24"/>
              </w:rPr>
              <w:t>，最近的饮用水源保护区为梅江饮用水源保护区，距离项目泵站西南面约3</w:t>
            </w:r>
            <w:r>
              <w:rPr>
                <w:color w:val="auto"/>
                <w:spacing w:val="-6"/>
                <w:kern w:val="0"/>
                <w:sz w:val="24"/>
              </w:rPr>
              <w:t>.47km</w:t>
            </w:r>
            <w:r>
              <w:rPr>
                <w:rFonts w:hint="eastAsia"/>
                <w:color w:val="auto"/>
                <w:spacing w:val="-6"/>
                <w:kern w:val="0"/>
                <w:sz w:val="24"/>
              </w:rPr>
              <w:t>；项目周边不涉及</w:t>
            </w:r>
            <w:r>
              <w:rPr>
                <w:color w:val="auto"/>
                <w:spacing w:val="-6"/>
                <w:kern w:val="0"/>
                <w:sz w:val="24"/>
              </w:rPr>
              <w:t>风景名胜区、</w:t>
            </w:r>
            <w:r>
              <w:rPr>
                <w:color w:val="auto"/>
                <w:kern w:val="0"/>
                <w:sz w:val="24"/>
              </w:rPr>
              <w:t>基本农田保护区及其它需要特殊保护的敏感区域</w:t>
            </w:r>
            <w:r>
              <w:rPr>
                <w:rFonts w:hint="eastAsia"/>
                <w:color w:val="auto"/>
                <w:kern w:val="0"/>
                <w:sz w:val="24"/>
              </w:rPr>
              <w:t>。</w:t>
            </w:r>
            <w:r>
              <w:rPr>
                <w:color w:val="auto"/>
                <w:spacing w:val="-3"/>
                <w:kern w:val="0"/>
                <w:sz w:val="24"/>
              </w:rPr>
              <w:t>项目区域为大气环境二</w:t>
            </w:r>
            <w:r>
              <w:rPr>
                <w:rFonts w:hint="eastAsia" w:ascii="宋体" w:hAnsi="宋体"/>
                <w:color w:val="auto"/>
                <w:spacing w:val="-3"/>
                <w:kern w:val="0"/>
                <w:sz w:val="24"/>
              </w:rPr>
              <w:t>类功能区</w:t>
            </w:r>
            <w:r>
              <w:rPr>
                <w:rFonts w:hint="eastAsia" w:ascii="宋体" w:hAnsi="宋体"/>
                <w:color w:val="auto"/>
                <w:kern w:val="0"/>
                <w:sz w:val="24"/>
              </w:rPr>
              <w:t>（见附图5）</w:t>
            </w:r>
            <w:r>
              <w:rPr>
                <w:rFonts w:hint="eastAsia" w:ascii="宋体" w:hAnsi="宋体"/>
                <w:color w:val="auto"/>
                <w:spacing w:val="-3"/>
                <w:kern w:val="0"/>
                <w:sz w:val="24"/>
              </w:rPr>
              <w:t>，声环境为</w:t>
            </w:r>
            <w:r>
              <w:rPr>
                <w:rFonts w:eastAsia="Times New Roman"/>
                <w:color w:val="auto"/>
                <w:kern w:val="0"/>
                <w:sz w:val="24"/>
              </w:rPr>
              <w:t>2</w:t>
            </w:r>
            <w:r>
              <w:rPr>
                <w:rFonts w:hint="eastAsia" w:eastAsiaTheme="minorEastAsia"/>
                <w:color w:val="auto"/>
                <w:kern w:val="0"/>
                <w:sz w:val="24"/>
              </w:rPr>
              <w:t>，4a</w:t>
            </w:r>
            <w:r>
              <w:rPr>
                <w:rFonts w:hint="eastAsia" w:ascii="宋体" w:hAnsi="宋体" w:cs="宋体"/>
                <w:color w:val="auto"/>
                <w:kern w:val="0"/>
                <w:sz w:val="24"/>
              </w:rPr>
              <w:t>类</w:t>
            </w:r>
            <w:r>
              <w:rPr>
                <w:rFonts w:hint="eastAsia" w:ascii="宋体" w:hAnsi="宋体"/>
                <w:color w:val="auto"/>
                <w:spacing w:val="-6"/>
                <w:kern w:val="0"/>
                <w:sz w:val="24"/>
              </w:rPr>
              <w:t>功能区，本项</w:t>
            </w:r>
            <w:r>
              <w:rPr>
                <w:rFonts w:hint="eastAsia" w:ascii="宋体" w:hAnsi="宋体"/>
                <w:color w:val="auto"/>
                <w:spacing w:val="-107"/>
                <w:kern w:val="0"/>
                <w:sz w:val="24"/>
              </w:rPr>
              <w:t xml:space="preserve"> </w:t>
            </w:r>
            <w:r>
              <w:rPr>
                <w:rFonts w:hint="eastAsia" w:ascii="宋体" w:hAnsi="宋体"/>
                <w:color w:val="auto"/>
                <w:spacing w:val="-3"/>
                <w:kern w:val="0"/>
                <w:sz w:val="24"/>
              </w:rPr>
              <w:t>目在确保各种环保及安全措施得到落实和正常运作的情况下，不会改变区域的环境功能现</w:t>
            </w:r>
            <w:r>
              <w:rPr>
                <w:rFonts w:hint="eastAsia" w:ascii="宋体" w:hAnsi="宋体"/>
                <w:color w:val="auto"/>
                <w:spacing w:val="-111"/>
                <w:kern w:val="0"/>
                <w:sz w:val="24"/>
              </w:rPr>
              <w:t xml:space="preserve"> </w:t>
            </w:r>
            <w:r>
              <w:rPr>
                <w:rFonts w:hint="eastAsia" w:ascii="宋体" w:hAnsi="宋体"/>
                <w:color w:val="auto"/>
                <w:kern w:val="0"/>
                <w:sz w:val="24"/>
              </w:rPr>
              <w:t>状。因此，本项目选址是合理合法的。</w:t>
            </w:r>
          </w:p>
          <w:p>
            <w:pPr>
              <w:pStyle w:val="3"/>
              <w:snapToGrid w:val="0"/>
              <w:spacing w:before="0" w:after="0" w:line="360" w:lineRule="auto"/>
              <w:ind w:firstLine="482" w:firstLineChars="200"/>
              <w:rPr>
                <w:rFonts w:ascii="Times New Roman" w:hAnsi="Times New Roman" w:eastAsia="宋体"/>
                <w:bCs/>
                <w:color w:val="auto"/>
                <w:szCs w:val="24"/>
              </w:rPr>
            </w:pPr>
            <w:r>
              <w:rPr>
                <w:rFonts w:hint="eastAsia" w:ascii="Times New Roman" w:hAnsi="Times New Roman" w:eastAsia="宋体"/>
                <w:bCs/>
                <w:color w:val="auto"/>
                <w:szCs w:val="24"/>
              </w:rPr>
              <w:t>五</w:t>
            </w:r>
            <w:r>
              <w:rPr>
                <w:rFonts w:ascii="Times New Roman" w:hAnsi="Times New Roman" w:eastAsia="宋体"/>
                <w:bCs/>
                <w:color w:val="auto"/>
                <w:szCs w:val="24"/>
              </w:rPr>
              <w:t>、项目产业政策</w:t>
            </w:r>
            <w:r>
              <w:rPr>
                <w:rFonts w:hint="eastAsia" w:ascii="Times New Roman" w:hAnsi="Times New Roman" w:eastAsia="宋体"/>
                <w:bCs/>
                <w:color w:val="auto"/>
                <w:szCs w:val="24"/>
              </w:rPr>
              <w:t>相符</w:t>
            </w:r>
            <w:r>
              <w:rPr>
                <w:rFonts w:ascii="Times New Roman" w:hAnsi="Times New Roman" w:eastAsia="宋体"/>
                <w:bCs/>
                <w:color w:val="auto"/>
                <w:szCs w:val="24"/>
              </w:rPr>
              <w:t>性</w:t>
            </w:r>
          </w:p>
          <w:p>
            <w:pPr>
              <w:spacing w:line="360" w:lineRule="auto"/>
              <w:ind w:firstLine="420" w:firstLineChars="175"/>
              <w:rPr>
                <w:rFonts w:ascii="宋体" w:hAnsi="宋体"/>
                <w:color w:val="auto"/>
                <w:kern w:val="0"/>
                <w:sz w:val="24"/>
              </w:rPr>
            </w:pPr>
            <w:r>
              <w:rPr>
                <w:color w:val="auto"/>
                <w:sz w:val="24"/>
              </w:rPr>
              <w:t>本项目</w:t>
            </w:r>
            <w:r>
              <w:rPr>
                <w:rFonts w:hint="eastAsia"/>
                <w:color w:val="auto"/>
                <w:sz w:val="24"/>
              </w:rPr>
              <w:t>属于自来水生产和供应行业</w:t>
            </w:r>
            <w:r>
              <w:rPr>
                <w:color w:val="auto"/>
                <w:sz w:val="24"/>
              </w:rPr>
              <w:t>，</w:t>
            </w:r>
            <w:r>
              <w:rPr>
                <w:rFonts w:hint="eastAsia" w:ascii="宋体" w:hAnsi="宋体"/>
                <w:color w:val="auto"/>
                <w:kern w:val="0"/>
                <w:sz w:val="24"/>
              </w:rPr>
              <w:t>依据《产业结构调整指导目录（</w:t>
            </w:r>
            <w:r>
              <w:rPr>
                <w:rFonts w:hint="eastAsia" w:eastAsia="Times New Roman"/>
                <w:color w:val="auto"/>
                <w:kern w:val="0"/>
                <w:sz w:val="24"/>
              </w:rPr>
              <w:t>2019</w:t>
            </w:r>
            <w:r>
              <w:rPr>
                <w:rFonts w:hint="eastAsia" w:ascii="宋体" w:hAnsi="宋体" w:cs="宋体"/>
                <w:color w:val="auto"/>
                <w:kern w:val="0"/>
                <w:sz w:val="24"/>
              </w:rPr>
              <w:t>年本</w:t>
            </w:r>
            <w:r>
              <w:rPr>
                <w:rFonts w:hint="eastAsia" w:ascii="宋体" w:hAnsi="宋体"/>
                <w:color w:val="auto"/>
                <w:kern w:val="0"/>
                <w:sz w:val="24"/>
              </w:rPr>
              <w:t>）》，本项目不属于限制类、淘汰类，</w:t>
            </w:r>
            <w:r>
              <w:rPr>
                <w:color w:val="auto"/>
                <w:kern w:val="0"/>
                <w:sz w:val="24"/>
              </w:rPr>
              <w:t>为允许类</w:t>
            </w:r>
            <w:r>
              <w:rPr>
                <w:rFonts w:hint="eastAsia"/>
                <w:color w:val="auto"/>
                <w:kern w:val="0"/>
                <w:sz w:val="24"/>
              </w:rPr>
              <w:t>；对照</w:t>
            </w:r>
            <w:r>
              <w:rPr>
                <w:color w:val="auto"/>
                <w:kern w:val="0"/>
                <w:sz w:val="24"/>
              </w:rPr>
              <w:t>《</w:t>
            </w:r>
            <w:r>
              <w:rPr>
                <w:rFonts w:hint="eastAsia"/>
                <w:color w:val="auto"/>
                <w:kern w:val="0"/>
                <w:sz w:val="24"/>
              </w:rPr>
              <w:t>市场</w:t>
            </w:r>
            <w:r>
              <w:rPr>
                <w:color w:val="auto"/>
                <w:kern w:val="0"/>
                <w:sz w:val="24"/>
              </w:rPr>
              <w:t>准入负面清单（</w:t>
            </w:r>
            <w:r>
              <w:rPr>
                <w:rFonts w:eastAsia="Times New Roman"/>
                <w:color w:val="auto"/>
                <w:kern w:val="0"/>
                <w:sz w:val="24"/>
              </w:rPr>
              <w:t>2019</w:t>
            </w:r>
            <w:r>
              <w:rPr>
                <w:color w:val="auto"/>
                <w:kern w:val="0"/>
                <w:sz w:val="24"/>
              </w:rPr>
              <w:t>年本）》</w:t>
            </w:r>
            <w:r>
              <w:rPr>
                <w:rFonts w:hint="eastAsia"/>
                <w:color w:val="auto"/>
                <w:kern w:val="0"/>
                <w:sz w:val="24"/>
              </w:rPr>
              <w:t>，本项目也不属于负面清单中禁止的项目，因此，本</w:t>
            </w:r>
            <w:r>
              <w:rPr>
                <w:color w:val="auto"/>
                <w:kern w:val="0"/>
                <w:sz w:val="24"/>
              </w:rPr>
              <w:t>项目建设符合国家有关法律、法规和政策规定</w:t>
            </w:r>
            <w:r>
              <w:rPr>
                <w:rFonts w:hint="eastAsia" w:ascii="宋体" w:hAnsi="宋体"/>
                <w:color w:val="auto"/>
                <w:kern w:val="0"/>
                <w:sz w:val="24"/>
              </w:rPr>
              <w:t>，符合国家及地方现行产业政策要求。</w:t>
            </w:r>
          </w:p>
          <w:p>
            <w:pPr>
              <w:spacing w:line="360" w:lineRule="auto"/>
              <w:ind w:firstLine="420" w:firstLineChars="175"/>
              <w:rPr>
                <w:rFonts w:ascii="宋体" w:hAnsi="宋体"/>
                <w:color w:val="auto"/>
                <w:kern w:val="0"/>
                <w:sz w:val="24"/>
              </w:rPr>
            </w:pPr>
          </w:p>
          <w:p>
            <w:pPr>
              <w:spacing w:line="360" w:lineRule="auto"/>
              <w:rPr>
                <w:color w:val="auto"/>
                <w:kern w:val="0"/>
                <w:sz w:val="24"/>
              </w:rPr>
            </w:pPr>
          </w:p>
        </w:tc>
      </w:tr>
    </w:tbl>
    <w:p>
      <w:pPr>
        <w:spacing w:line="324" w:lineRule="auto"/>
        <w:rPr>
          <w:b/>
          <w:bCs/>
          <w:color w:val="auto"/>
          <w:sz w:val="28"/>
          <w:szCs w:val="28"/>
        </w:rPr>
        <w:sectPr>
          <w:pgSz w:w="11907" w:h="16840"/>
          <w:pgMar w:top="1531" w:right="1134" w:bottom="1134" w:left="1418" w:header="907" w:footer="907" w:gutter="0"/>
          <w:pgNumType w:start="1"/>
          <w:cols w:space="720" w:num="1"/>
          <w:docGrid w:linePitch="326" w:charSpace="-4916"/>
        </w:sectPr>
      </w:pPr>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89" w:hRule="atLeast"/>
        </w:trPr>
        <w:tc>
          <w:tcPr>
            <w:tcW w:w="9571" w:type="dxa"/>
          </w:tcPr>
          <w:p>
            <w:pPr>
              <w:tabs>
                <w:tab w:val="left" w:pos="7965"/>
              </w:tabs>
              <w:spacing w:line="360" w:lineRule="auto"/>
              <w:rPr>
                <w:color w:val="auto"/>
                <w:sz w:val="24"/>
              </w:rPr>
            </w:pPr>
            <w:r>
              <w:rPr>
                <w:b/>
                <w:bCs/>
                <w:color w:val="auto"/>
                <w:sz w:val="28"/>
                <w:szCs w:val="28"/>
              </w:rPr>
              <w:t>与本项目有关的</w:t>
            </w:r>
            <w:r>
              <w:rPr>
                <w:b/>
                <w:bCs/>
                <w:color w:val="auto"/>
                <w:sz w:val="28"/>
              </w:rPr>
              <w:t>原有污染情况及</w:t>
            </w:r>
            <w:r>
              <w:rPr>
                <w:b/>
                <w:bCs/>
                <w:color w:val="auto"/>
                <w:sz w:val="28"/>
                <w:szCs w:val="28"/>
              </w:rPr>
              <w:t>主要环境问题</w:t>
            </w:r>
            <w:r>
              <w:rPr>
                <w:color w:val="auto"/>
                <w:sz w:val="28"/>
                <w:szCs w:val="28"/>
              </w:rPr>
              <w:t>：</w:t>
            </w:r>
          </w:p>
          <w:p>
            <w:pPr>
              <w:widowControl/>
              <w:snapToGrid w:val="0"/>
              <w:spacing w:line="360" w:lineRule="auto"/>
              <w:ind w:firstLine="482"/>
              <w:rPr>
                <w:rFonts w:ascii="宋体" w:hAnsi="宋体"/>
                <w:color w:val="auto"/>
                <w:kern w:val="0"/>
                <w:sz w:val="24"/>
              </w:rPr>
            </w:pPr>
            <w:r>
              <w:rPr>
                <w:rFonts w:hint="eastAsia" w:ascii="宋体" w:hAnsi="宋体"/>
                <w:color w:val="auto"/>
                <w:kern w:val="0"/>
                <w:sz w:val="24"/>
              </w:rPr>
              <w:t>本项目为新建项目，不存在与项目有关的原有污染问题。本项目加压泵站东面为荒草地，西面为梅江碧桂园小区，南面为碧桂路，北面为乡村道路和梅江区拘留所。管道沿G</w:t>
            </w:r>
            <w:r>
              <w:rPr>
                <w:rFonts w:ascii="宋体" w:hAnsi="宋体"/>
                <w:color w:val="auto"/>
                <w:kern w:val="0"/>
                <w:sz w:val="24"/>
              </w:rPr>
              <w:t>205</w:t>
            </w:r>
            <w:r>
              <w:rPr>
                <w:rFonts w:hint="eastAsia" w:ascii="宋体" w:hAnsi="宋体"/>
                <w:color w:val="auto"/>
                <w:kern w:val="0"/>
                <w:sz w:val="24"/>
              </w:rPr>
              <w:t>国道敷设，沿线两侧主要为居民区、工业企业、机关学校、医院等。加压泵站四至相片见图1，供水管道沿线相片见图2。</w:t>
            </w:r>
          </w:p>
          <w:p>
            <w:pPr>
              <w:widowControl/>
              <w:snapToGrid w:val="0"/>
              <w:spacing w:line="360" w:lineRule="auto"/>
              <w:ind w:firstLine="482"/>
              <w:rPr>
                <w:rFonts w:ascii="宋体" w:hAnsi="宋体"/>
                <w:color w:val="auto"/>
                <w:kern w:val="0"/>
                <w:sz w:val="24"/>
              </w:rPr>
            </w:pPr>
          </w:p>
          <w:tbl>
            <w:tblPr>
              <w:tblStyle w:val="33"/>
              <w:tblW w:w="0" w:type="auto"/>
              <w:jc w:val="center"/>
              <w:tblLayout w:type="fixed"/>
              <w:tblCellMar>
                <w:top w:w="0" w:type="dxa"/>
                <w:left w:w="108" w:type="dxa"/>
                <w:bottom w:w="0" w:type="dxa"/>
                <w:right w:w="108" w:type="dxa"/>
              </w:tblCellMar>
            </w:tblPr>
            <w:tblGrid>
              <w:gridCol w:w="4455"/>
              <w:gridCol w:w="4455"/>
            </w:tblGrid>
            <w:tr>
              <w:tblPrEx>
                <w:tblCellMar>
                  <w:top w:w="0" w:type="dxa"/>
                  <w:left w:w="108" w:type="dxa"/>
                  <w:bottom w:w="0" w:type="dxa"/>
                  <w:right w:w="108" w:type="dxa"/>
                </w:tblCellMar>
              </w:tblPrEx>
              <w:trPr>
                <w:trHeight w:val="3406" w:hRule="atLeast"/>
                <w:jc w:val="center"/>
              </w:trPr>
              <w:tc>
                <w:tcPr>
                  <w:tcW w:w="4455" w:type="dxa"/>
                </w:tcPr>
                <w:p>
                  <w:pPr>
                    <w:spacing w:line="300" w:lineRule="auto"/>
                    <w:jc w:val="center"/>
                    <w:rPr>
                      <w:b/>
                      <w:color w:val="auto"/>
                      <w:sz w:val="24"/>
                    </w:rPr>
                  </w:pPr>
                  <w:r>
                    <w:rPr>
                      <w:color w:val="auto"/>
                    </w:rPr>
                    <w:drawing>
                      <wp:inline distT="0" distB="0" distL="0" distR="0">
                        <wp:extent cx="2691765" cy="213741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3"/>
                                <a:stretch>
                                  <a:fillRect/>
                                </a:stretch>
                              </pic:blipFill>
                              <pic:spPr>
                                <a:xfrm>
                                  <a:off x="0" y="0"/>
                                  <a:ext cx="2691765" cy="2137410"/>
                                </a:xfrm>
                                <a:prstGeom prst="rect">
                                  <a:avLst/>
                                </a:prstGeom>
                              </pic:spPr>
                            </pic:pic>
                          </a:graphicData>
                        </a:graphic>
                      </wp:inline>
                    </w:drawing>
                  </w:r>
                </w:p>
              </w:tc>
              <w:tc>
                <w:tcPr>
                  <w:tcW w:w="4455" w:type="dxa"/>
                </w:tcPr>
                <w:p>
                  <w:pPr>
                    <w:spacing w:line="300" w:lineRule="auto"/>
                    <w:jc w:val="center"/>
                    <w:rPr>
                      <w:b/>
                      <w:color w:val="auto"/>
                      <w:sz w:val="24"/>
                    </w:rPr>
                  </w:pPr>
                  <w:r>
                    <w:rPr>
                      <w:color w:val="auto"/>
                    </w:rPr>
                    <w:drawing>
                      <wp:inline distT="0" distB="0" distL="0" distR="0">
                        <wp:extent cx="2691765" cy="219392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4"/>
                                <a:stretch>
                                  <a:fillRect/>
                                </a:stretch>
                              </pic:blipFill>
                              <pic:spPr>
                                <a:xfrm>
                                  <a:off x="0" y="0"/>
                                  <a:ext cx="2691765" cy="2193925"/>
                                </a:xfrm>
                                <a:prstGeom prst="rect">
                                  <a:avLst/>
                                </a:prstGeom>
                              </pic:spPr>
                            </pic:pic>
                          </a:graphicData>
                        </a:graphic>
                      </wp:inline>
                    </w:drawing>
                  </w:r>
                </w:p>
              </w:tc>
            </w:tr>
            <w:tr>
              <w:tblPrEx>
                <w:tblCellMar>
                  <w:top w:w="0" w:type="dxa"/>
                  <w:left w:w="108" w:type="dxa"/>
                  <w:bottom w:w="0" w:type="dxa"/>
                  <w:right w:w="108" w:type="dxa"/>
                </w:tblCellMar>
              </w:tblPrEx>
              <w:trPr>
                <w:trHeight w:val="910" w:hRule="atLeast"/>
                <w:jc w:val="center"/>
              </w:trPr>
              <w:tc>
                <w:tcPr>
                  <w:tcW w:w="4455" w:type="dxa"/>
                </w:tcPr>
                <w:p>
                  <w:pPr>
                    <w:jc w:val="center"/>
                    <w:rPr>
                      <w:b/>
                      <w:color w:val="auto"/>
                      <w:sz w:val="24"/>
                    </w:rPr>
                  </w:pPr>
                  <w:r>
                    <w:rPr>
                      <w:rFonts w:hint="eastAsia"/>
                      <w:b/>
                      <w:color w:val="auto"/>
                      <w:sz w:val="24"/>
                    </w:rPr>
                    <w:t>项目加压泵站东面 荒草地</w:t>
                  </w:r>
                </w:p>
              </w:tc>
              <w:tc>
                <w:tcPr>
                  <w:tcW w:w="4455" w:type="dxa"/>
                </w:tcPr>
                <w:p>
                  <w:pPr>
                    <w:ind w:left="1928" w:hanging="1928" w:hangingChars="800"/>
                    <w:jc w:val="center"/>
                    <w:rPr>
                      <w:b/>
                      <w:color w:val="auto"/>
                      <w:sz w:val="24"/>
                    </w:rPr>
                  </w:pPr>
                  <w:r>
                    <w:rPr>
                      <w:rFonts w:hint="eastAsia"/>
                      <w:b/>
                      <w:color w:val="auto"/>
                      <w:sz w:val="24"/>
                    </w:rPr>
                    <w:t>项目加压泵站西面 梅江碧桂园小区</w:t>
                  </w:r>
                </w:p>
              </w:tc>
            </w:tr>
            <w:tr>
              <w:tblPrEx>
                <w:tblCellMar>
                  <w:top w:w="0" w:type="dxa"/>
                  <w:left w:w="108" w:type="dxa"/>
                  <w:bottom w:w="0" w:type="dxa"/>
                  <w:right w:w="108" w:type="dxa"/>
                </w:tblCellMar>
              </w:tblPrEx>
              <w:trPr>
                <w:trHeight w:val="3412" w:hRule="atLeast"/>
                <w:jc w:val="center"/>
              </w:trPr>
              <w:tc>
                <w:tcPr>
                  <w:tcW w:w="4455" w:type="dxa"/>
                </w:tcPr>
                <w:p>
                  <w:pPr>
                    <w:spacing w:line="300" w:lineRule="auto"/>
                    <w:jc w:val="center"/>
                    <w:rPr>
                      <w:b/>
                      <w:color w:val="auto"/>
                      <w:sz w:val="24"/>
                    </w:rPr>
                  </w:pPr>
                  <w:r>
                    <w:rPr>
                      <w:color w:val="auto"/>
                    </w:rPr>
                    <w:drawing>
                      <wp:inline distT="0" distB="0" distL="0" distR="0">
                        <wp:extent cx="2613660" cy="203517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5"/>
                                <a:stretch>
                                  <a:fillRect/>
                                </a:stretch>
                              </pic:blipFill>
                              <pic:spPr>
                                <a:xfrm>
                                  <a:off x="0" y="0"/>
                                  <a:ext cx="2637138" cy="2053694"/>
                                </a:xfrm>
                                <a:prstGeom prst="rect">
                                  <a:avLst/>
                                </a:prstGeom>
                              </pic:spPr>
                            </pic:pic>
                          </a:graphicData>
                        </a:graphic>
                      </wp:inline>
                    </w:drawing>
                  </w:r>
                </w:p>
              </w:tc>
              <w:tc>
                <w:tcPr>
                  <w:tcW w:w="4455" w:type="dxa"/>
                </w:tcPr>
                <w:p>
                  <w:pPr>
                    <w:spacing w:line="300" w:lineRule="auto"/>
                    <w:jc w:val="center"/>
                    <w:rPr>
                      <w:b/>
                      <w:color w:val="auto"/>
                      <w:sz w:val="24"/>
                    </w:rPr>
                  </w:pPr>
                  <w:r>
                    <w:rPr>
                      <w:color w:val="auto"/>
                    </w:rPr>
                    <w:drawing>
                      <wp:inline distT="0" distB="0" distL="0" distR="0">
                        <wp:extent cx="2434590" cy="205041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6"/>
                                <a:stretch>
                                  <a:fillRect/>
                                </a:stretch>
                              </pic:blipFill>
                              <pic:spPr>
                                <a:xfrm>
                                  <a:off x="0" y="0"/>
                                  <a:ext cx="2441711" cy="2056360"/>
                                </a:xfrm>
                                <a:prstGeom prst="rect">
                                  <a:avLst/>
                                </a:prstGeom>
                              </pic:spPr>
                            </pic:pic>
                          </a:graphicData>
                        </a:graphic>
                      </wp:inline>
                    </w:drawing>
                  </w:r>
                </w:p>
              </w:tc>
            </w:tr>
            <w:tr>
              <w:tblPrEx>
                <w:tblCellMar>
                  <w:top w:w="0" w:type="dxa"/>
                  <w:left w:w="108" w:type="dxa"/>
                  <w:bottom w:w="0" w:type="dxa"/>
                  <w:right w:w="108" w:type="dxa"/>
                </w:tblCellMar>
              </w:tblPrEx>
              <w:trPr>
                <w:trHeight w:val="451" w:hRule="atLeast"/>
                <w:jc w:val="center"/>
              </w:trPr>
              <w:tc>
                <w:tcPr>
                  <w:tcW w:w="4455" w:type="dxa"/>
                </w:tcPr>
                <w:p>
                  <w:pPr>
                    <w:jc w:val="center"/>
                    <w:rPr>
                      <w:b/>
                      <w:color w:val="auto"/>
                      <w:sz w:val="24"/>
                    </w:rPr>
                  </w:pPr>
                  <w:r>
                    <w:rPr>
                      <w:rFonts w:hint="eastAsia"/>
                      <w:b/>
                      <w:color w:val="auto"/>
                      <w:sz w:val="24"/>
                    </w:rPr>
                    <w:t>项目加压泵站南面 碧桂路</w:t>
                  </w:r>
                </w:p>
              </w:tc>
              <w:tc>
                <w:tcPr>
                  <w:tcW w:w="4455" w:type="dxa"/>
                </w:tcPr>
                <w:p>
                  <w:pPr>
                    <w:jc w:val="center"/>
                    <w:rPr>
                      <w:b/>
                      <w:color w:val="auto"/>
                      <w:sz w:val="24"/>
                    </w:rPr>
                  </w:pPr>
                  <w:r>
                    <w:rPr>
                      <w:rFonts w:hint="eastAsia"/>
                      <w:b/>
                      <w:color w:val="auto"/>
                      <w:sz w:val="24"/>
                    </w:rPr>
                    <w:t>项目加压泵站北面 乡村道路和梅江区拘留所</w:t>
                  </w:r>
                </w:p>
              </w:tc>
            </w:tr>
          </w:tbl>
          <w:p>
            <w:pPr>
              <w:spacing w:line="300" w:lineRule="auto"/>
              <w:jc w:val="center"/>
              <w:rPr>
                <w:b/>
                <w:color w:val="auto"/>
                <w:sz w:val="24"/>
              </w:rPr>
            </w:pPr>
            <w:r>
              <w:rPr>
                <w:b/>
                <w:color w:val="auto"/>
                <w:sz w:val="24"/>
              </w:rPr>
              <w:t>图1 项目四至图片</w:t>
            </w:r>
          </w:p>
          <w:p>
            <w:pPr>
              <w:spacing w:line="300" w:lineRule="auto"/>
              <w:jc w:val="center"/>
              <w:rPr>
                <w:b/>
                <w:color w:val="auto"/>
                <w:sz w:val="24"/>
              </w:rPr>
            </w:pPr>
          </w:p>
          <w:tbl>
            <w:tblPr>
              <w:tblStyle w:val="33"/>
              <w:tblW w:w="0" w:type="auto"/>
              <w:jc w:val="center"/>
              <w:tblLayout w:type="fixed"/>
              <w:tblCellMar>
                <w:top w:w="0" w:type="dxa"/>
                <w:left w:w="108" w:type="dxa"/>
                <w:bottom w:w="0" w:type="dxa"/>
                <w:right w:w="108" w:type="dxa"/>
              </w:tblCellMar>
            </w:tblPr>
            <w:tblGrid>
              <w:gridCol w:w="4455"/>
              <w:gridCol w:w="4455"/>
            </w:tblGrid>
            <w:tr>
              <w:tblPrEx>
                <w:tblCellMar>
                  <w:top w:w="0" w:type="dxa"/>
                  <w:left w:w="108" w:type="dxa"/>
                  <w:bottom w:w="0" w:type="dxa"/>
                  <w:right w:w="108" w:type="dxa"/>
                </w:tblCellMar>
              </w:tblPrEx>
              <w:trPr>
                <w:trHeight w:val="3406" w:hRule="atLeast"/>
                <w:jc w:val="center"/>
              </w:trPr>
              <w:tc>
                <w:tcPr>
                  <w:tcW w:w="4455" w:type="dxa"/>
                </w:tcPr>
                <w:p>
                  <w:pPr>
                    <w:spacing w:line="300" w:lineRule="auto"/>
                    <w:jc w:val="center"/>
                    <w:rPr>
                      <w:b/>
                      <w:color w:val="auto"/>
                      <w:sz w:val="24"/>
                    </w:rPr>
                  </w:pPr>
                  <w:r>
                    <w:rPr>
                      <w:color w:val="auto"/>
                    </w:rPr>
                    <w:drawing>
                      <wp:inline distT="0" distB="0" distL="0" distR="0">
                        <wp:extent cx="2691765" cy="2052955"/>
                        <wp:effectExtent l="0" t="0" r="0" b="444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17"/>
                                <a:stretch>
                                  <a:fillRect/>
                                </a:stretch>
                              </pic:blipFill>
                              <pic:spPr>
                                <a:xfrm>
                                  <a:off x="0" y="0"/>
                                  <a:ext cx="2691765" cy="2052955"/>
                                </a:xfrm>
                                <a:prstGeom prst="rect">
                                  <a:avLst/>
                                </a:prstGeom>
                              </pic:spPr>
                            </pic:pic>
                          </a:graphicData>
                        </a:graphic>
                      </wp:inline>
                    </w:drawing>
                  </w:r>
                </w:p>
              </w:tc>
              <w:tc>
                <w:tcPr>
                  <w:tcW w:w="4455" w:type="dxa"/>
                </w:tcPr>
                <w:p>
                  <w:pPr>
                    <w:spacing w:line="300" w:lineRule="auto"/>
                    <w:jc w:val="center"/>
                    <w:rPr>
                      <w:b/>
                      <w:color w:val="auto"/>
                      <w:sz w:val="24"/>
                    </w:rPr>
                  </w:pPr>
                  <w:r>
                    <w:rPr>
                      <w:color w:val="auto"/>
                    </w:rPr>
                    <w:drawing>
                      <wp:inline distT="0" distB="0" distL="0" distR="0">
                        <wp:extent cx="2585720" cy="206375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18"/>
                                <a:stretch>
                                  <a:fillRect/>
                                </a:stretch>
                              </pic:blipFill>
                              <pic:spPr>
                                <a:xfrm>
                                  <a:off x="0" y="0"/>
                                  <a:ext cx="2590756" cy="2067593"/>
                                </a:xfrm>
                                <a:prstGeom prst="rect">
                                  <a:avLst/>
                                </a:prstGeom>
                              </pic:spPr>
                            </pic:pic>
                          </a:graphicData>
                        </a:graphic>
                      </wp:inline>
                    </w:drawing>
                  </w:r>
                </w:p>
              </w:tc>
            </w:tr>
            <w:tr>
              <w:tblPrEx>
                <w:tblCellMar>
                  <w:top w:w="0" w:type="dxa"/>
                  <w:left w:w="108" w:type="dxa"/>
                  <w:bottom w:w="0" w:type="dxa"/>
                  <w:right w:w="108" w:type="dxa"/>
                </w:tblCellMar>
              </w:tblPrEx>
              <w:trPr>
                <w:trHeight w:val="410" w:hRule="atLeast"/>
                <w:jc w:val="center"/>
              </w:trPr>
              <w:tc>
                <w:tcPr>
                  <w:tcW w:w="4455" w:type="dxa"/>
                </w:tcPr>
                <w:p>
                  <w:pPr>
                    <w:jc w:val="center"/>
                    <w:rPr>
                      <w:b/>
                      <w:color w:val="auto"/>
                      <w:sz w:val="24"/>
                    </w:rPr>
                  </w:pPr>
                  <w:r>
                    <w:rPr>
                      <w:rFonts w:hint="eastAsia"/>
                      <w:b/>
                      <w:color w:val="auto"/>
                      <w:sz w:val="24"/>
                    </w:rPr>
                    <w:t>金盘医院</w:t>
                  </w:r>
                </w:p>
              </w:tc>
              <w:tc>
                <w:tcPr>
                  <w:tcW w:w="4455" w:type="dxa"/>
                </w:tcPr>
                <w:p>
                  <w:pPr>
                    <w:ind w:left="1928" w:hanging="1928" w:hangingChars="800"/>
                    <w:jc w:val="center"/>
                    <w:rPr>
                      <w:b/>
                      <w:color w:val="auto"/>
                      <w:sz w:val="24"/>
                    </w:rPr>
                  </w:pPr>
                  <w:r>
                    <w:rPr>
                      <w:rFonts w:hint="eastAsia"/>
                      <w:b/>
                      <w:color w:val="auto"/>
                      <w:sz w:val="24"/>
                    </w:rPr>
                    <w:t>梅县区宝宝幼儿园</w:t>
                  </w:r>
                </w:p>
              </w:tc>
            </w:tr>
            <w:tr>
              <w:tblPrEx>
                <w:tblCellMar>
                  <w:top w:w="0" w:type="dxa"/>
                  <w:left w:w="108" w:type="dxa"/>
                  <w:bottom w:w="0" w:type="dxa"/>
                  <w:right w:w="108" w:type="dxa"/>
                </w:tblCellMar>
              </w:tblPrEx>
              <w:trPr>
                <w:trHeight w:val="3412" w:hRule="atLeast"/>
                <w:jc w:val="center"/>
              </w:trPr>
              <w:tc>
                <w:tcPr>
                  <w:tcW w:w="4455" w:type="dxa"/>
                </w:tcPr>
                <w:p>
                  <w:pPr>
                    <w:spacing w:line="300" w:lineRule="auto"/>
                    <w:jc w:val="center"/>
                    <w:rPr>
                      <w:b/>
                      <w:color w:val="auto"/>
                      <w:sz w:val="24"/>
                    </w:rPr>
                  </w:pPr>
                  <w:r>
                    <w:rPr>
                      <w:color w:val="auto"/>
                    </w:rPr>
                    <w:drawing>
                      <wp:inline distT="0" distB="0" distL="0" distR="0">
                        <wp:extent cx="2691765" cy="2091055"/>
                        <wp:effectExtent l="0" t="0" r="0" b="444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19"/>
                                <a:stretch>
                                  <a:fillRect/>
                                </a:stretch>
                              </pic:blipFill>
                              <pic:spPr>
                                <a:xfrm>
                                  <a:off x="0" y="0"/>
                                  <a:ext cx="2691765" cy="2091055"/>
                                </a:xfrm>
                                <a:prstGeom prst="rect">
                                  <a:avLst/>
                                </a:prstGeom>
                              </pic:spPr>
                            </pic:pic>
                          </a:graphicData>
                        </a:graphic>
                      </wp:inline>
                    </w:drawing>
                  </w:r>
                </w:p>
              </w:tc>
              <w:tc>
                <w:tcPr>
                  <w:tcW w:w="4455" w:type="dxa"/>
                </w:tcPr>
                <w:p>
                  <w:pPr>
                    <w:spacing w:line="300" w:lineRule="auto"/>
                    <w:jc w:val="center"/>
                    <w:rPr>
                      <w:b/>
                      <w:color w:val="auto"/>
                      <w:sz w:val="24"/>
                    </w:rPr>
                  </w:pPr>
                  <w:r>
                    <w:rPr>
                      <w:color w:val="auto"/>
                    </w:rPr>
                    <w:drawing>
                      <wp:inline distT="0" distB="0" distL="0" distR="0">
                        <wp:extent cx="2567305" cy="207772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20"/>
                                <a:stretch>
                                  <a:fillRect/>
                                </a:stretch>
                              </pic:blipFill>
                              <pic:spPr>
                                <a:xfrm>
                                  <a:off x="0" y="0"/>
                                  <a:ext cx="2572099" cy="2081828"/>
                                </a:xfrm>
                                <a:prstGeom prst="rect">
                                  <a:avLst/>
                                </a:prstGeom>
                              </pic:spPr>
                            </pic:pic>
                          </a:graphicData>
                        </a:graphic>
                      </wp:inline>
                    </w:drawing>
                  </w:r>
                </w:p>
              </w:tc>
            </w:tr>
            <w:tr>
              <w:tblPrEx>
                <w:tblCellMar>
                  <w:top w:w="0" w:type="dxa"/>
                  <w:left w:w="108" w:type="dxa"/>
                  <w:bottom w:w="0" w:type="dxa"/>
                  <w:right w:w="108" w:type="dxa"/>
                </w:tblCellMar>
              </w:tblPrEx>
              <w:trPr>
                <w:trHeight w:val="451" w:hRule="atLeast"/>
                <w:jc w:val="center"/>
              </w:trPr>
              <w:tc>
                <w:tcPr>
                  <w:tcW w:w="4455" w:type="dxa"/>
                </w:tcPr>
                <w:p>
                  <w:pPr>
                    <w:jc w:val="center"/>
                    <w:rPr>
                      <w:b/>
                      <w:color w:val="auto"/>
                      <w:sz w:val="24"/>
                    </w:rPr>
                  </w:pPr>
                  <w:r>
                    <w:rPr>
                      <w:rFonts w:hint="eastAsia"/>
                      <w:b/>
                      <w:color w:val="auto"/>
                      <w:sz w:val="24"/>
                    </w:rPr>
                    <w:t>梅县区金盘桥幼儿园</w:t>
                  </w:r>
                </w:p>
              </w:tc>
              <w:tc>
                <w:tcPr>
                  <w:tcW w:w="4455" w:type="dxa"/>
                </w:tcPr>
                <w:p>
                  <w:pPr>
                    <w:jc w:val="center"/>
                    <w:rPr>
                      <w:b/>
                      <w:color w:val="auto"/>
                      <w:sz w:val="24"/>
                    </w:rPr>
                  </w:pPr>
                  <w:r>
                    <w:rPr>
                      <w:rFonts w:hint="eastAsia"/>
                      <w:b/>
                      <w:color w:val="auto"/>
                      <w:sz w:val="24"/>
                    </w:rPr>
                    <w:t>梅州市工业学校</w:t>
                  </w:r>
                </w:p>
              </w:tc>
            </w:tr>
            <w:tr>
              <w:tblPrEx>
                <w:tblCellMar>
                  <w:top w:w="0" w:type="dxa"/>
                  <w:left w:w="108" w:type="dxa"/>
                  <w:bottom w:w="0" w:type="dxa"/>
                  <w:right w:w="108" w:type="dxa"/>
                </w:tblCellMar>
              </w:tblPrEx>
              <w:trPr>
                <w:trHeight w:val="451" w:hRule="atLeast"/>
                <w:jc w:val="center"/>
              </w:trPr>
              <w:tc>
                <w:tcPr>
                  <w:tcW w:w="4455" w:type="dxa"/>
                </w:tcPr>
                <w:p>
                  <w:pPr>
                    <w:jc w:val="center"/>
                    <w:rPr>
                      <w:b/>
                      <w:color w:val="auto"/>
                      <w:sz w:val="24"/>
                    </w:rPr>
                  </w:pPr>
                  <w:r>
                    <w:rPr>
                      <w:color w:val="auto"/>
                    </w:rPr>
                    <w:drawing>
                      <wp:inline distT="0" distB="0" distL="0" distR="0">
                        <wp:extent cx="2691765" cy="202565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21"/>
                                <a:stretch>
                                  <a:fillRect/>
                                </a:stretch>
                              </pic:blipFill>
                              <pic:spPr>
                                <a:xfrm>
                                  <a:off x="0" y="0"/>
                                  <a:ext cx="2691765" cy="2025650"/>
                                </a:xfrm>
                                <a:prstGeom prst="rect">
                                  <a:avLst/>
                                </a:prstGeom>
                              </pic:spPr>
                            </pic:pic>
                          </a:graphicData>
                        </a:graphic>
                      </wp:inline>
                    </w:drawing>
                  </w:r>
                </w:p>
              </w:tc>
              <w:tc>
                <w:tcPr>
                  <w:tcW w:w="4455" w:type="dxa"/>
                </w:tcPr>
                <w:p>
                  <w:pPr>
                    <w:jc w:val="center"/>
                    <w:rPr>
                      <w:b/>
                      <w:color w:val="auto"/>
                      <w:sz w:val="24"/>
                    </w:rPr>
                  </w:pPr>
                  <w:r>
                    <w:rPr>
                      <w:color w:val="auto"/>
                    </w:rPr>
                    <w:drawing>
                      <wp:inline distT="0" distB="0" distL="0" distR="0">
                        <wp:extent cx="2691765" cy="1996440"/>
                        <wp:effectExtent l="0" t="0" r="0" b="381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22"/>
                                <a:stretch>
                                  <a:fillRect/>
                                </a:stretch>
                              </pic:blipFill>
                              <pic:spPr>
                                <a:xfrm>
                                  <a:off x="0" y="0"/>
                                  <a:ext cx="2691765" cy="1996440"/>
                                </a:xfrm>
                                <a:prstGeom prst="rect">
                                  <a:avLst/>
                                </a:prstGeom>
                              </pic:spPr>
                            </pic:pic>
                          </a:graphicData>
                        </a:graphic>
                      </wp:inline>
                    </w:drawing>
                  </w:r>
                </w:p>
              </w:tc>
            </w:tr>
            <w:tr>
              <w:tblPrEx>
                <w:tblCellMar>
                  <w:top w:w="0" w:type="dxa"/>
                  <w:left w:w="108" w:type="dxa"/>
                  <w:bottom w:w="0" w:type="dxa"/>
                  <w:right w:w="108" w:type="dxa"/>
                </w:tblCellMar>
              </w:tblPrEx>
              <w:trPr>
                <w:trHeight w:val="2302" w:hRule="atLeast"/>
                <w:jc w:val="center"/>
              </w:trPr>
              <w:tc>
                <w:tcPr>
                  <w:tcW w:w="4455" w:type="dxa"/>
                </w:tcPr>
                <w:p>
                  <w:pPr>
                    <w:jc w:val="center"/>
                    <w:rPr>
                      <w:b/>
                      <w:color w:val="auto"/>
                      <w:sz w:val="24"/>
                    </w:rPr>
                  </w:pPr>
                  <w:r>
                    <w:rPr>
                      <w:rFonts w:hint="eastAsia"/>
                      <w:b/>
                      <w:color w:val="auto"/>
                      <w:sz w:val="24"/>
                    </w:rPr>
                    <w:t>梅州市禁毒宣传教育基地</w:t>
                  </w:r>
                </w:p>
              </w:tc>
              <w:tc>
                <w:tcPr>
                  <w:tcW w:w="4455" w:type="dxa"/>
                </w:tcPr>
                <w:p>
                  <w:pPr>
                    <w:jc w:val="center"/>
                    <w:rPr>
                      <w:b/>
                      <w:color w:val="auto"/>
                      <w:sz w:val="24"/>
                    </w:rPr>
                  </w:pPr>
                  <w:r>
                    <w:rPr>
                      <w:rFonts w:hint="eastAsia"/>
                      <w:b/>
                      <w:color w:val="auto"/>
                      <w:sz w:val="24"/>
                    </w:rPr>
                    <w:t>强制隔离戒毒中心</w:t>
                  </w:r>
                </w:p>
              </w:tc>
            </w:tr>
            <w:tr>
              <w:tblPrEx>
                <w:tblCellMar>
                  <w:top w:w="0" w:type="dxa"/>
                  <w:left w:w="108" w:type="dxa"/>
                  <w:bottom w:w="0" w:type="dxa"/>
                  <w:right w:w="108" w:type="dxa"/>
                </w:tblCellMar>
              </w:tblPrEx>
              <w:trPr>
                <w:trHeight w:val="451" w:hRule="atLeast"/>
                <w:jc w:val="center"/>
              </w:trPr>
              <w:tc>
                <w:tcPr>
                  <w:tcW w:w="4455" w:type="dxa"/>
                </w:tcPr>
                <w:p>
                  <w:pPr>
                    <w:jc w:val="center"/>
                    <w:rPr>
                      <w:b/>
                      <w:color w:val="auto"/>
                      <w:sz w:val="24"/>
                    </w:rPr>
                  </w:pPr>
                  <w:r>
                    <w:rPr>
                      <w:color w:val="auto"/>
                    </w:rPr>
                    <w:drawing>
                      <wp:inline distT="0" distB="0" distL="0" distR="0">
                        <wp:extent cx="2691765" cy="1978025"/>
                        <wp:effectExtent l="0" t="0" r="0" b="317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23"/>
                                <a:stretch>
                                  <a:fillRect/>
                                </a:stretch>
                              </pic:blipFill>
                              <pic:spPr>
                                <a:xfrm>
                                  <a:off x="0" y="0"/>
                                  <a:ext cx="2691765" cy="1978025"/>
                                </a:xfrm>
                                <a:prstGeom prst="rect">
                                  <a:avLst/>
                                </a:prstGeom>
                              </pic:spPr>
                            </pic:pic>
                          </a:graphicData>
                        </a:graphic>
                      </wp:inline>
                    </w:drawing>
                  </w:r>
                </w:p>
              </w:tc>
              <w:tc>
                <w:tcPr>
                  <w:tcW w:w="4455" w:type="dxa"/>
                </w:tcPr>
                <w:p>
                  <w:pPr>
                    <w:jc w:val="center"/>
                    <w:rPr>
                      <w:b/>
                      <w:color w:val="auto"/>
                      <w:sz w:val="24"/>
                    </w:rPr>
                  </w:pPr>
                  <w:r>
                    <w:rPr>
                      <w:color w:val="auto"/>
                    </w:rPr>
                    <w:drawing>
                      <wp:inline distT="0" distB="0" distL="0" distR="0">
                        <wp:extent cx="2691765" cy="1983105"/>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24"/>
                                <a:stretch>
                                  <a:fillRect/>
                                </a:stretch>
                              </pic:blipFill>
                              <pic:spPr>
                                <a:xfrm>
                                  <a:off x="0" y="0"/>
                                  <a:ext cx="2691765" cy="1983105"/>
                                </a:xfrm>
                                <a:prstGeom prst="rect">
                                  <a:avLst/>
                                </a:prstGeom>
                              </pic:spPr>
                            </pic:pic>
                          </a:graphicData>
                        </a:graphic>
                      </wp:inline>
                    </w:drawing>
                  </w:r>
                </w:p>
              </w:tc>
            </w:tr>
            <w:tr>
              <w:tblPrEx>
                <w:tblCellMar>
                  <w:top w:w="0" w:type="dxa"/>
                  <w:left w:w="108" w:type="dxa"/>
                  <w:bottom w:w="0" w:type="dxa"/>
                  <w:right w:w="108" w:type="dxa"/>
                </w:tblCellMar>
              </w:tblPrEx>
              <w:trPr>
                <w:trHeight w:val="451" w:hRule="atLeast"/>
                <w:jc w:val="center"/>
              </w:trPr>
              <w:tc>
                <w:tcPr>
                  <w:tcW w:w="4455" w:type="dxa"/>
                </w:tcPr>
                <w:p>
                  <w:pPr>
                    <w:jc w:val="center"/>
                    <w:rPr>
                      <w:b/>
                      <w:color w:val="auto"/>
                      <w:sz w:val="24"/>
                    </w:rPr>
                  </w:pPr>
                  <w:r>
                    <w:rPr>
                      <w:rFonts w:hint="eastAsia"/>
                      <w:b/>
                      <w:color w:val="auto"/>
                      <w:sz w:val="24"/>
                    </w:rPr>
                    <w:t>沿线道路</w:t>
                  </w:r>
                </w:p>
              </w:tc>
              <w:tc>
                <w:tcPr>
                  <w:tcW w:w="4455" w:type="dxa"/>
                </w:tcPr>
                <w:p>
                  <w:pPr>
                    <w:jc w:val="center"/>
                    <w:rPr>
                      <w:b/>
                      <w:color w:val="auto"/>
                      <w:sz w:val="24"/>
                    </w:rPr>
                  </w:pPr>
                  <w:r>
                    <w:rPr>
                      <w:rFonts w:hint="eastAsia"/>
                      <w:b/>
                      <w:color w:val="auto"/>
                      <w:sz w:val="24"/>
                    </w:rPr>
                    <w:t>沿线道路</w:t>
                  </w:r>
                </w:p>
              </w:tc>
            </w:tr>
            <w:tr>
              <w:tblPrEx>
                <w:tblCellMar>
                  <w:top w:w="0" w:type="dxa"/>
                  <w:left w:w="108" w:type="dxa"/>
                  <w:bottom w:w="0" w:type="dxa"/>
                  <w:right w:w="108" w:type="dxa"/>
                </w:tblCellMar>
              </w:tblPrEx>
              <w:trPr>
                <w:trHeight w:val="451" w:hRule="atLeast"/>
                <w:jc w:val="center"/>
              </w:trPr>
              <w:tc>
                <w:tcPr>
                  <w:tcW w:w="4455" w:type="dxa"/>
                </w:tcPr>
                <w:p>
                  <w:pPr>
                    <w:jc w:val="center"/>
                    <w:rPr>
                      <w:b/>
                      <w:color w:val="auto"/>
                      <w:sz w:val="24"/>
                    </w:rPr>
                  </w:pPr>
                  <w:r>
                    <w:rPr>
                      <w:color w:val="auto"/>
                    </w:rPr>
                    <w:drawing>
                      <wp:inline distT="0" distB="0" distL="0" distR="0">
                        <wp:extent cx="2691765" cy="194437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25"/>
                                <a:stretch>
                                  <a:fillRect/>
                                </a:stretch>
                              </pic:blipFill>
                              <pic:spPr>
                                <a:xfrm>
                                  <a:off x="0" y="0"/>
                                  <a:ext cx="2691765" cy="1944370"/>
                                </a:xfrm>
                                <a:prstGeom prst="rect">
                                  <a:avLst/>
                                </a:prstGeom>
                              </pic:spPr>
                            </pic:pic>
                          </a:graphicData>
                        </a:graphic>
                      </wp:inline>
                    </w:drawing>
                  </w:r>
                </w:p>
              </w:tc>
              <w:tc>
                <w:tcPr>
                  <w:tcW w:w="4455" w:type="dxa"/>
                </w:tcPr>
                <w:p>
                  <w:pPr>
                    <w:jc w:val="center"/>
                    <w:rPr>
                      <w:b/>
                      <w:color w:val="auto"/>
                      <w:sz w:val="24"/>
                    </w:rPr>
                  </w:pPr>
                  <w:r>
                    <w:rPr>
                      <w:color w:val="auto"/>
                    </w:rPr>
                    <w:drawing>
                      <wp:inline distT="0" distB="0" distL="0" distR="0">
                        <wp:extent cx="2540000" cy="1947545"/>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26"/>
                                <a:stretch>
                                  <a:fillRect/>
                                </a:stretch>
                              </pic:blipFill>
                              <pic:spPr>
                                <a:xfrm>
                                  <a:off x="0" y="0"/>
                                  <a:ext cx="2565785" cy="1967806"/>
                                </a:xfrm>
                                <a:prstGeom prst="rect">
                                  <a:avLst/>
                                </a:prstGeom>
                              </pic:spPr>
                            </pic:pic>
                          </a:graphicData>
                        </a:graphic>
                      </wp:inline>
                    </w:drawing>
                  </w:r>
                </w:p>
              </w:tc>
            </w:tr>
            <w:tr>
              <w:tblPrEx>
                <w:tblCellMar>
                  <w:top w:w="0" w:type="dxa"/>
                  <w:left w:w="108" w:type="dxa"/>
                  <w:bottom w:w="0" w:type="dxa"/>
                  <w:right w:w="108" w:type="dxa"/>
                </w:tblCellMar>
              </w:tblPrEx>
              <w:trPr>
                <w:trHeight w:val="451" w:hRule="atLeast"/>
                <w:jc w:val="center"/>
              </w:trPr>
              <w:tc>
                <w:tcPr>
                  <w:tcW w:w="4455" w:type="dxa"/>
                </w:tcPr>
                <w:p>
                  <w:pPr>
                    <w:jc w:val="center"/>
                    <w:rPr>
                      <w:b/>
                      <w:color w:val="auto"/>
                      <w:sz w:val="24"/>
                    </w:rPr>
                  </w:pPr>
                  <w:r>
                    <w:rPr>
                      <w:rFonts w:hint="eastAsia"/>
                      <w:b/>
                      <w:color w:val="auto"/>
                      <w:sz w:val="24"/>
                    </w:rPr>
                    <w:t>城东镇政府</w:t>
                  </w:r>
                </w:p>
              </w:tc>
              <w:tc>
                <w:tcPr>
                  <w:tcW w:w="4455" w:type="dxa"/>
                </w:tcPr>
                <w:p>
                  <w:pPr>
                    <w:jc w:val="center"/>
                    <w:rPr>
                      <w:b/>
                      <w:color w:val="auto"/>
                      <w:sz w:val="24"/>
                    </w:rPr>
                  </w:pPr>
                  <w:r>
                    <w:rPr>
                      <w:rFonts w:hint="eastAsia"/>
                      <w:b/>
                      <w:color w:val="auto"/>
                      <w:sz w:val="24"/>
                    </w:rPr>
                    <w:t>沿线店铺和居民点</w:t>
                  </w:r>
                </w:p>
              </w:tc>
            </w:tr>
          </w:tbl>
          <w:p>
            <w:pPr>
              <w:spacing w:line="300" w:lineRule="auto"/>
              <w:jc w:val="center"/>
              <w:rPr>
                <w:b/>
                <w:color w:val="auto"/>
                <w:sz w:val="24"/>
              </w:rPr>
            </w:pPr>
            <w:r>
              <w:rPr>
                <w:b/>
                <w:color w:val="auto"/>
                <w:sz w:val="24"/>
              </w:rPr>
              <w:t xml:space="preserve">图2 </w:t>
            </w:r>
            <w:r>
              <w:rPr>
                <w:rFonts w:hint="eastAsia"/>
                <w:b/>
                <w:color w:val="auto"/>
                <w:sz w:val="24"/>
              </w:rPr>
              <w:t>项目供水管道沿线</w:t>
            </w:r>
            <w:r>
              <w:rPr>
                <w:b/>
                <w:color w:val="auto"/>
                <w:sz w:val="24"/>
              </w:rPr>
              <w:t>图片</w:t>
            </w:r>
          </w:p>
          <w:p>
            <w:pPr>
              <w:spacing w:line="300" w:lineRule="auto"/>
              <w:jc w:val="center"/>
              <w:rPr>
                <w:b/>
                <w:color w:val="auto"/>
                <w:sz w:val="24"/>
              </w:rPr>
            </w:pPr>
          </w:p>
          <w:p>
            <w:pPr>
              <w:spacing w:line="300" w:lineRule="auto"/>
              <w:jc w:val="center"/>
              <w:rPr>
                <w:b/>
                <w:color w:val="auto"/>
                <w:sz w:val="24"/>
              </w:rPr>
            </w:pPr>
          </w:p>
          <w:p>
            <w:pPr>
              <w:spacing w:line="300" w:lineRule="auto"/>
              <w:jc w:val="center"/>
              <w:rPr>
                <w:b/>
                <w:color w:val="auto"/>
                <w:sz w:val="24"/>
              </w:rPr>
            </w:pPr>
          </w:p>
          <w:p>
            <w:pPr>
              <w:spacing w:line="300" w:lineRule="auto"/>
              <w:rPr>
                <w:b/>
                <w:color w:val="auto"/>
                <w:sz w:val="24"/>
              </w:rPr>
            </w:pPr>
          </w:p>
          <w:p>
            <w:pPr>
              <w:spacing w:line="300" w:lineRule="auto"/>
              <w:jc w:val="center"/>
              <w:rPr>
                <w:b/>
                <w:color w:val="auto"/>
                <w:sz w:val="24"/>
              </w:rPr>
            </w:pPr>
          </w:p>
        </w:tc>
      </w:tr>
    </w:tbl>
    <w:p>
      <w:pPr>
        <w:spacing w:line="300" w:lineRule="auto"/>
        <w:rPr>
          <w:rFonts w:eastAsia="黑体"/>
          <w:color w:val="auto"/>
        </w:rPr>
      </w:pPr>
      <w:r>
        <w:rPr>
          <w:rFonts w:eastAsia="黑体"/>
          <w:color w:val="auto"/>
          <w:sz w:val="30"/>
        </w:rPr>
        <w:t>建设项目所在地自然环境社会环境简况</w:t>
      </w:r>
    </w:p>
    <w:tbl>
      <w:tblPr>
        <w:tblStyle w:val="33"/>
        <w:tblW w:w="0" w:type="auto"/>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9648"/>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13445" w:hRule="atLeast"/>
        </w:trPr>
        <w:tc>
          <w:tcPr>
            <w:tcW w:w="9648" w:type="dxa"/>
            <w:tcBorders>
              <w:bottom w:val="single" w:color="auto" w:sz="4" w:space="0"/>
            </w:tcBorders>
          </w:tcPr>
          <w:p>
            <w:pPr>
              <w:spacing w:before="240" w:beforeLines="100" w:line="360" w:lineRule="auto"/>
              <w:rPr>
                <w:b/>
                <w:color w:val="auto"/>
                <w:sz w:val="24"/>
                <w:szCs w:val="20"/>
              </w:rPr>
            </w:pPr>
            <w:r>
              <w:rPr>
                <w:b/>
                <w:color w:val="auto"/>
                <w:sz w:val="24"/>
                <w:szCs w:val="20"/>
              </w:rPr>
              <w:t>自然环境简况（地形、地貌、地质、气候、气象、水文、植被、生物多样性等）：</w:t>
            </w:r>
          </w:p>
          <w:p>
            <w:pPr>
              <w:spacing w:line="360" w:lineRule="auto"/>
              <w:ind w:firstLine="482" w:firstLineChars="200"/>
              <w:rPr>
                <w:b/>
                <w:color w:val="auto"/>
                <w:sz w:val="24"/>
              </w:rPr>
            </w:pPr>
            <w:r>
              <w:rPr>
                <w:rFonts w:hint="eastAsia" w:hAnsi="宋体"/>
                <w:b/>
                <w:color w:val="auto"/>
                <w:sz w:val="24"/>
              </w:rPr>
              <w:t>1、</w:t>
            </w:r>
            <w:r>
              <w:rPr>
                <w:rFonts w:hAnsi="宋体"/>
                <w:b/>
                <w:color w:val="auto"/>
                <w:sz w:val="24"/>
              </w:rPr>
              <w:t>地理位置</w:t>
            </w:r>
          </w:p>
          <w:p>
            <w:pPr>
              <w:adjustRightInd w:val="0"/>
              <w:snapToGrid w:val="0"/>
              <w:spacing w:line="360" w:lineRule="auto"/>
              <w:ind w:firstLine="510"/>
              <w:rPr>
                <w:color w:val="auto"/>
                <w:sz w:val="24"/>
              </w:rPr>
            </w:pPr>
            <w:r>
              <w:rPr>
                <w:color w:val="auto"/>
                <w:sz w:val="24"/>
              </w:rPr>
              <w:t>梅州市位于广东省东北部，东北邻福建省的武平、上杭、永定、平和4县，西北接江西省寻乌县，西面连广东省河源市的龙川县、东源县、紫金县，西南、南面与汕尾市的陆河县、揭阳市的榕城区、揭西县相接，东南面和潮州市郊区、饶平县相连。全境地理坐标位于东经115°18＇至116°56＇、北纬23°23＇至24°56＇之间，全市总面积</w:t>
            </w:r>
            <w:r>
              <w:rPr>
                <w:rFonts w:hint="eastAsia"/>
                <w:color w:val="auto"/>
                <w:sz w:val="24"/>
              </w:rPr>
              <w:t>为</w:t>
            </w:r>
            <w:r>
              <w:rPr>
                <w:color w:val="auto"/>
                <w:sz w:val="24"/>
              </w:rPr>
              <w:t>158</w:t>
            </w:r>
            <w:r>
              <w:rPr>
                <w:rFonts w:hint="eastAsia"/>
                <w:color w:val="auto"/>
                <w:sz w:val="24"/>
              </w:rPr>
              <w:t>7</w:t>
            </w:r>
            <w:r>
              <w:rPr>
                <w:color w:val="auto"/>
                <w:sz w:val="24"/>
              </w:rPr>
              <w:t>6km</w:t>
            </w:r>
            <w:r>
              <w:rPr>
                <w:color w:val="auto"/>
                <w:sz w:val="24"/>
                <w:vertAlign w:val="superscript"/>
              </w:rPr>
              <w:t>2</w:t>
            </w:r>
            <w:r>
              <w:rPr>
                <w:color w:val="auto"/>
                <w:sz w:val="24"/>
              </w:rPr>
              <w:t>。梅州市人民政府设在梅江区江南新中路。</w:t>
            </w:r>
            <w:r>
              <w:rPr>
                <w:rFonts w:hint="eastAsia"/>
                <w:color w:val="auto"/>
                <w:sz w:val="24"/>
              </w:rPr>
              <w:t>梅州市是客家人的主要聚居地，</w:t>
            </w:r>
            <w:r>
              <w:rPr>
                <w:color w:val="auto"/>
                <w:sz w:val="24"/>
              </w:rPr>
              <w:t>全市辖梅江区、兴宁市、梅县</w:t>
            </w:r>
            <w:r>
              <w:rPr>
                <w:rFonts w:hint="eastAsia"/>
                <w:color w:val="auto"/>
                <w:sz w:val="24"/>
              </w:rPr>
              <w:t>区</w:t>
            </w:r>
            <w:r>
              <w:rPr>
                <w:color w:val="auto"/>
                <w:sz w:val="24"/>
              </w:rPr>
              <w:t>、平远县、蕉岭县、大埔县、丰顺县、五华县</w:t>
            </w:r>
            <w:r>
              <w:rPr>
                <w:rFonts w:hint="eastAsia"/>
                <w:color w:val="auto"/>
                <w:sz w:val="24"/>
              </w:rPr>
              <w:t>共5</w:t>
            </w:r>
            <w:r>
              <w:rPr>
                <w:color w:val="auto"/>
                <w:sz w:val="24"/>
              </w:rPr>
              <w:t>县</w:t>
            </w:r>
            <w:r>
              <w:rPr>
                <w:rFonts w:hint="eastAsia"/>
                <w:color w:val="auto"/>
                <w:sz w:val="24"/>
              </w:rPr>
              <w:t>2</w:t>
            </w:r>
            <w:r>
              <w:rPr>
                <w:color w:val="auto"/>
                <w:sz w:val="24"/>
              </w:rPr>
              <w:t>区1市。</w:t>
            </w:r>
          </w:p>
          <w:p>
            <w:pPr>
              <w:pStyle w:val="82"/>
              <w:spacing w:line="360" w:lineRule="auto"/>
              <w:ind w:firstLine="482" w:firstLineChars="200"/>
              <w:rPr>
                <w:b/>
                <w:color w:val="auto"/>
              </w:rPr>
            </w:pPr>
            <w:r>
              <w:rPr>
                <w:rFonts w:hint="eastAsia"/>
                <w:b/>
                <w:color w:val="auto"/>
              </w:rPr>
              <w:t>2、</w:t>
            </w:r>
            <w:r>
              <w:rPr>
                <w:b/>
                <w:color w:val="auto"/>
              </w:rPr>
              <w:t>地形地貌</w:t>
            </w:r>
          </w:p>
          <w:p>
            <w:pPr>
              <w:pStyle w:val="82"/>
              <w:spacing w:line="360" w:lineRule="auto"/>
              <w:ind w:firstLine="480" w:firstLineChars="200"/>
              <w:rPr>
                <w:color w:val="auto"/>
              </w:rPr>
            </w:pPr>
            <w:r>
              <w:rPr>
                <w:color w:val="auto"/>
              </w:rPr>
              <w:t>梅州市地质构造比较复杂，主要由花岗岩、喷出岩、变质岩、砂页岩、红色岩和石灰岩六大岩系构成台地、丘陵、山地、阶地和平原五大类地貌。全市山地面积最大，占47.5％；丘陵占39.2％；平原、阶地、台地面积仅占12.4％左右；河流和水库等水面积占0.9％。</w:t>
            </w:r>
          </w:p>
          <w:p>
            <w:pPr>
              <w:pStyle w:val="82"/>
              <w:spacing w:line="360" w:lineRule="auto"/>
              <w:ind w:firstLine="482" w:firstLineChars="200"/>
              <w:rPr>
                <w:color w:val="auto"/>
              </w:rPr>
            </w:pPr>
            <w:r>
              <w:rPr>
                <w:rFonts w:hint="eastAsia"/>
                <w:b/>
                <w:color w:val="auto"/>
              </w:rPr>
              <w:t>3、</w:t>
            </w:r>
            <w:r>
              <w:rPr>
                <w:b/>
                <w:color w:val="auto"/>
              </w:rPr>
              <w:t>气候与气象</w:t>
            </w:r>
          </w:p>
          <w:p>
            <w:pPr>
              <w:pStyle w:val="82"/>
              <w:spacing w:line="360" w:lineRule="auto"/>
              <w:ind w:firstLine="480" w:firstLineChars="200"/>
              <w:rPr>
                <w:color w:val="auto"/>
              </w:rPr>
            </w:pPr>
            <w:r>
              <w:rPr>
                <w:color w:val="auto"/>
              </w:rPr>
              <w:t>梅州市属亚热带季风气候区，是南亚热带和中亚热带气候区的过渡地带。平远、蕉岭和梅县</w:t>
            </w:r>
            <w:r>
              <w:rPr>
                <w:rFonts w:hint="eastAsia"/>
                <w:color w:val="auto"/>
              </w:rPr>
              <w:t>区</w:t>
            </w:r>
            <w:r>
              <w:rPr>
                <w:color w:val="auto"/>
              </w:rPr>
              <w:t>北部为中亚热带气候区南缘，五华、丰顺、兴宁、大埔和平远、蕉岭、梅县</w:t>
            </w:r>
            <w:r>
              <w:rPr>
                <w:rFonts w:hint="eastAsia"/>
                <w:color w:val="auto"/>
              </w:rPr>
              <w:t>区</w:t>
            </w:r>
            <w:r>
              <w:rPr>
                <w:color w:val="auto"/>
              </w:rPr>
              <w:t>南部为南亚热带气候区，这种地处低纬，近临南海、太平洋和山地的特定地形影响，形成夏日长、冬日短，气温高、冷热悬殊、光照充足、气流闭塞、雨水丰盈且集中的气候。年平均气温为20.6</w:t>
            </w:r>
            <w:r>
              <w:rPr>
                <w:rFonts w:hint="eastAsia"/>
                <w:color w:val="auto"/>
              </w:rPr>
              <w:t>~</w:t>
            </w:r>
            <w:r>
              <w:rPr>
                <w:color w:val="auto"/>
              </w:rPr>
              <w:t>21.4℃；7月气温最高为28.3</w:t>
            </w:r>
            <w:r>
              <w:rPr>
                <w:rFonts w:hint="eastAsia"/>
                <w:color w:val="auto"/>
              </w:rPr>
              <w:t>~</w:t>
            </w:r>
            <w:r>
              <w:rPr>
                <w:color w:val="auto"/>
              </w:rPr>
              <w:t>28.6℃；1月最低为11.1</w:t>
            </w:r>
            <w:r>
              <w:rPr>
                <w:rFonts w:hint="eastAsia"/>
                <w:color w:val="auto"/>
              </w:rPr>
              <w:t>~</w:t>
            </w:r>
            <w:r>
              <w:rPr>
                <w:color w:val="auto"/>
              </w:rPr>
              <w:t>11.3℃之间。年平均降雨日为150天左右，多年平均年降雨量在1483.4－1798.4毫米之间。由于山多，台风影响较沿海平原要小，然台风带来的暴雨降水，又往往造成山洪暴发、山体滑坡、河水泛滥，水灾成为主要灾害。同时，寒露风低温阴雨和干旱也是主要自然灾害之一。</w:t>
            </w:r>
          </w:p>
          <w:p>
            <w:pPr>
              <w:pStyle w:val="82"/>
              <w:spacing w:line="360" w:lineRule="auto"/>
              <w:ind w:firstLine="480" w:firstLineChars="200"/>
              <w:rPr>
                <w:color w:val="auto"/>
              </w:rPr>
            </w:pPr>
            <w:r>
              <w:rPr>
                <w:color w:val="auto"/>
              </w:rPr>
              <w:t>该地区近年来以西南风为主导风向，出现频率为8.</w:t>
            </w:r>
            <w:r>
              <w:rPr>
                <w:rFonts w:hint="eastAsia"/>
                <w:color w:val="auto"/>
              </w:rPr>
              <w:t>6</w:t>
            </w:r>
            <w:r>
              <w:rPr>
                <w:color w:val="auto"/>
              </w:rPr>
              <w:t>%，西风为次主导风向，出现频率为</w:t>
            </w:r>
            <w:r>
              <w:rPr>
                <w:rFonts w:hint="eastAsia"/>
                <w:color w:val="auto"/>
              </w:rPr>
              <w:t>7.1</w:t>
            </w:r>
            <w:r>
              <w:rPr>
                <w:color w:val="auto"/>
              </w:rPr>
              <w:t>%；静风频率为</w:t>
            </w:r>
            <w:r>
              <w:rPr>
                <w:rFonts w:hint="eastAsia"/>
                <w:color w:val="auto"/>
              </w:rPr>
              <w:t>28.3</w:t>
            </w:r>
            <w:r>
              <w:rPr>
                <w:color w:val="auto"/>
              </w:rPr>
              <w:t>%；南南东和北北东风出现的几率最少，仅在</w:t>
            </w:r>
            <w:r>
              <w:rPr>
                <w:rFonts w:hint="eastAsia"/>
                <w:color w:val="auto"/>
              </w:rPr>
              <w:t>2</w:t>
            </w:r>
            <w:r>
              <w:rPr>
                <w:color w:val="auto"/>
              </w:rPr>
              <w:t>%以下。</w:t>
            </w:r>
          </w:p>
          <w:p>
            <w:pPr>
              <w:pStyle w:val="82"/>
              <w:spacing w:before="120" w:beforeLines="50" w:line="360" w:lineRule="auto"/>
              <w:ind w:firstLine="482" w:firstLineChars="200"/>
              <w:rPr>
                <w:b/>
                <w:color w:val="auto"/>
              </w:rPr>
            </w:pPr>
            <w:r>
              <w:rPr>
                <w:rFonts w:hint="eastAsia"/>
                <w:b/>
                <w:color w:val="auto"/>
              </w:rPr>
              <w:t>4、</w:t>
            </w:r>
            <w:r>
              <w:rPr>
                <w:b/>
                <w:color w:val="auto"/>
              </w:rPr>
              <w:t>水文</w:t>
            </w:r>
          </w:p>
          <w:p>
            <w:pPr>
              <w:pStyle w:val="82"/>
              <w:spacing w:line="360" w:lineRule="auto"/>
              <w:ind w:firstLine="480" w:firstLineChars="200"/>
              <w:rPr>
                <w:color w:val="auto"/>
              </w:rPr>
            </w:pPr>
            <w:r>
              <w:rPr>
                <w:rFonts w:hint="eastAsia"/>
                <w:color w:val="auto"/>
              </w:rPr>
              <w:t>项目所在地主要地表水为梅江。</w:t>
            </w:r>
            <w:r>
              <w:rPr>
                <w:color w:val="auto"/>
              </w:rPr>
              <w:t>梅江是广东省第二大河——韩江的主流，地理位置在东经115°13′-116°33′、北纬23°55′-24°48′。梅江发源于广东省紫金县的白石栋，上游称为琴江，流经五华县水寨与五华水汇合后始称梅江，再由西南向东北流经五华、兴宁、梅县</w:t>
            </w:r>
            <w:r>
              <w:rPr>
                <w:rFonts w:hint="eastAsia"/>
                <w:color w:val="auto"/>
              </w:rPr>
              <w:t>区</w:t>
            </w:r>
            <w:r>
              <w:rPr>
                <w:color w:val="auto"/>
              </w:rPr>
              <w:t>至大埔县的三河坝，与发源于福建省长汀县木马山的汀江汇合后称韩江。梅江流域东西宽136.5km，南北长172km，干流全长307km，流域集水面积13929km</w:t>
            </w:r>
            <w:r>
              <w:rPr>
                <w:color w:val="auto"/>
                <w:vertAlign w:val="superscript"/>
              </w:rPr>
              <w:t>2</w:t>
            </w:r>
            <w:r>
              <w:rPr>
                <w:color w:val="auto"/>
              </w:rPr>
              <w:t>，其中梅州市以下河长约85km，集水面积5559km</w:t>
            </w:r>
            <w:r>
              <w:rPr>
                <w:color w:val="auto"/>
                <w:vertAlign w:val="superscript"/>
              </w:rPr>
              <w:t>2</w:t>
            </w:r>
            <w:r>
              <w:rPr>
                <w:color w:val="auto"/>
              </w:rPr>
              <w:t>。天然落差约60m，河床比降0.35‰～0.6‰，洪水比降0.25‰～0.4‰。梅江流域径流年际变化较大，年内分配不均匀，以4~9月份为汛期，约占年径流量的70～80%，最小径流量为1月，只占年径流量的3%左右。多年平均流量180m</w:t>
            </w:r>
            <w:r>
              <w:rPr>
                <w:color w:val="auto"/>
                <w:vertAlign w:val="superscript"/>
              </w:rPr>
              <w:t>3</w:t>
            </w:r>
            <w:r>
              <w:rPr>
                <w:color w:val="auto"/>
              </w:rPr>
              <w:t>/s，95%保证率最枯日平均流量28.7m</w:t>
            </w:r>
            <w:r>
              <w:rPr>
                <w:color w:val="auto"/>
                <w:vertAlign w:val="superscript"/>
              </w:rPr>
              <w:t>3</w:t>
            </w:r>
            <w:r>
              <w:rPr>
                <w:color w:val="auto"/>
              </w:rPr>
              <w:t>/s。梅江流域洪水主要是暴雨造成，而暴雨以台风暴雨为主，暴雨中心多在水口水文站以上及下游支流石窟河一带。</w:t>
            </w:r>
          </w:p>
          <w:p>
            <w:pPr>
              <w:pStyle w:val="82"/>
              <w:spacing w:line="360" w:lineRule="auto"/>
              <w:ind w:firstLine="482" w:firstLineChars="200"/>
              <w:rPr>
                <w:b/>
                <w:color w:val="auto"/>
              </w:rPr>
            </w:pPr>
            <w:r>
              <w:rPr>
                <w:rFonts w:hint="eastAsia"/>
                <w:b/>
                <w:color w:val="auto"/>
              </w:rPr>
              <w:t>5、</w:t>
            </w:r>
            <w:r>
              <w:rPr>
                <w:b/>
                <w:color w:val="auto"/>
              </w:rPr>
              <w:t>植被、生物多样性</w:t>
            </w:r>
          </w:p>
          <w:p>
            <w:pPr>
              <w:pStyle w:val="82"/>
              <w:spacing w:line="360" w:lineRule="auto"/>
              <w:ind w:firstLine="480" w:firstLineChars="200"/>
              <w:rPr>
                <w:color w:val="auto"/>
              </w:rPr>
            </w:pPr>
            <w:r>
              <w:rPr>
                <w:color w:val="auto"/>
              </w:rPr>
              <w:t>梅州市境内有2000多种高等植物，经考察采集和记载的就有1084</w:t>
            </w:r>
            <w:r>
              <w:rPr>
                <w:rFonts w:hint="eastAsia"/>
                <w:color w:val="auto"/>
              </w:rPr>
              <w:t>种</w:t>
            </w:r>
            <w:r>
              <w:rPr>
                <w:color w:val="auto"/>
              </w:rPr>
              <w:t>，隶属于182个科、598属。其中蕨类植物19科、29属、41种；果子植物7科、11属、14种；双子叶植物134科、471属、908种；单子叶植物22科、87属、121种。按树种分类有：材用植物，药用植物，油脂植物，芳香植物，纤维植物，淀粉植物，果类植物，蜜源植物，鞣料植物，还有属于花卉、观赏和庭园绿化类的野生植物。梅州市山地众多，野生动物种类繁多，经济价值较大的主要兽类和鸟类有200多种，两栖、爬行类动物有100种以上。</w:t>
            </w:r>
          </w:p>
          <w:p>
            <w:pPr>
              <w:pStyle w:val="82"/>
              <w:spacing w:line="360" w:lineRule="auto"/>
              <w:ind w:firstLine="480" w:firstLineChars="200"/>
              <w:rPr>
                <w:color w:val="auto"/>
              </w:rPr>
            </w:pPr>
          </w:p>
          <w:p>
            <w:pPr>
              <w:pStyle w:val="82"/>
              <w:spacing w:line="360" w:lineRule="auto"/>
              <w:ind w:firstLine="480" w:firstLineChars="200"/>
              <w:rPr>
                <w:color w:val="auto"/>
              </w:rPr>
            </w:pPr>
          </w:p>
          <w:p>
            <w:pPr>
              <w:spacing w:line="360" w:lineRule="auto"/>
              <w:ind w:firstLine="512" w:firstLineChars="200"/>
              <w:rPr>
                <w:color w:val="auto"/>
                <w:spacing w:val="8"/>
                <w:sz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14307" w:hRule="atLeast"/>
        </w:trPr>
        <w:tc>
          <w:tcPr>
            <w:tcW w:w="9648" w:type="dxa"/>
            <w:tcBorders>
              <w:top w:val="single" w:color="auto" w:sz="4" w:space="0"/>
              <w:bottom w:val="single" w:color="auto" w:sz="4" w:space="0"/>
            </w:tcBorders>
          </w:tcPr>
          <w:p>
            <w:pPr>
              <w:spacing w:before="120" w:beforeLines="50" w:line="360" w:lineRule="auto"/>
              <w:rPr>
                <w:b/>
                <w:color w:val="auto"/>
                <w:spacing w:val="10"/>
                <w:sz w:val="24"/>
              </w:rPr>
            </w:pPr>
            <w:r>
              <w:rPr>
                <w:b/>
                <w:color w:val="auto"/>
                <w:spacing w:val="10"/>
                <w:sz w:val="24"/>
              </w:rPr>
              <w:t>社会环境简况(社会经济结构、教育、文化、文物保护等):</w:t>
            </w:r>
          </w:p>
          <w:p>
            <w:pPr>
              <w:adjustRightInd w:val="0"/>
              <w:snapToGrid w:val="0"/>
              <w:spacing w:line="360" w:lineRule="auto"/>
              <w:ind w:firstLine="480" w:firstLineChars="200"/>
              <w:rPr>
                <w:bCs/>
                <w:color w:val="auto"/>
                <w:sz w:val="24"/>
              </w:rPr>
            </w:pPr>
            <w:r>
              <w:rPr>
                <w:rFonts w:hint="eastAsia"/>
                <w:bCs/>
                <w:color w:val="auto"/>
                <w:sz w:val="24"/>
              </w:rPr>
              <w:t>（1）人口与行政区划</w:t>
            </w:r>
          </w:p>
          <w:p>
            <w:pPr>
              <w:adjustRightInd w:val="0"/>
              <w:snapToGrid w:val="0"/>
              <w:spacing w:line="360" w:lineRule="auto"/>
              <w:ind w:firstLine="480" w:firstLineChars="200"/>
              <w:rPr>
                <w:bCs/>
                <w:color w:val="auto"/>
                <w:sz w:val="24"/>
              </w:rPr>
            </w:pPr>
            <w:r>
              <w:rPr>
                <w:rFonts w:hint="eastAsia"/>
                <w:bCs/>
                <w:color w:val="auto"/>
                <w:sz w:val="24"/>
              </w:rPr>
              <w:t>梅州市位于广东省东北部。1988年设立地级市，辖梅江区、梅县区、平远县、蕉岭县、大埔县、丰顺县、五华县，代管兴宁市。土地面积15864.50平方千米。年末常住人口 438.30 万人，比上年末增加 0.42 万人，其中城镇人口 225.68 万人，占常住人口的比重（常住人口城镇化率）为 51.49%，比上年末提高 1.0 个百分点。全市出生人口 6.88万人,人口出生率为 11.93‰；死亡人口 2.98 万人，死亡率为5.16‰；自然增长人口 3.90 万人，自然增长率为 6.77‰。年末户籍人口为 545.85 万人。</w:t>
            </w:r>
          </w:p>
          <w:p>
            <w:pPr>
              <w:adjustRightInd w:val="0"/>
              <w:snapToGrid w:val="0"/>
              <w:spacing w:line="360" w:lineRule="auto"/>
              <w:ind w:firstLine="480" w:firstLineChars="200"/>
              <w:rPr>
                <w:bCs/>
                <w:color w:val="auto"/>
                <w:sz w:val="24"/>
              </w:rPr>
            </w:pPr>
            <w:r>
              <w:rPr>
                <w:rFonts w:hint="eastAsia"/>
                <w:bCs/>
                <w:color w:val="auto"/>
                <w:sz w:val="24"/>
              </w:rPr>
              <w:t>（2）社会经济</w:t>
            </w:r>
          </w:p>
          <w:p>
            <w:pPr>
              <w:adjustRightInd w:val="0"/>
              <w:snapToGrid w:val="0"/>
              <w:spacing w:line="360" w:lineRule="auto"/>
              <w:ind w:firstLine="480" w:firstLineChars="200"/>
              <w:rPr>
                <w:bCs/>
                <w:color w:val="auto"/>
                <w:sz w:val="24"/>
              </w:rPr>
            </w:pPr>
            <w:r>
              <w:rPr>
                <w:rFonts w:hint="eastAsia"/>
                <w:bCs/>
                <w:color w:val="auto"/>
                <w:sz w:val="24"/>
              </w:rPr>
              <w:t>2019 年，梅州坚持以习近平新时代中国特色社会主义思想为指导，深入贯彻习近平总书记对广东重要讲话和重要指示批示精神，全面落实全省推动老区苏区振兴发展工作现场会精神，统筹做好稳增长、促改革、调结构、惠民生、防风险、保稳定各项工作，推动经济运行稳中向好，城乡居民收入稳步增长，全面建成小康社会取得新的重大进展。</w:t>
            </w:r>
          </w:p>
          <w:p>
            <w:pPr>
              <w:adjustRightInd w:val="0"/>
              <w:snapToGrid w:val="0"/>
              <w:spacing w:line="360" w:lineRule="auto"/>
              <w:ind w:firstLine="480" w:firstLineChars="200"/>
              <w:rPr>
                <w:bCs/>
                <w:color w:val="auto"/>
                <w:sz w:val="24"/>
              </w:rPr>
            </w:pPr>
            <w:r>
              <w:rPr>
                <w:rFonts w:hint="eastAsia"/>
                <w:bCs/>
                <w:color w:val="auto"/>
                <w:sz w:val="24"/>
              </w:rPr>
              <w:t>2019 年全市实现地区生产总值（初步核算数）1187.06 亿元，比上年增长 3.4%。全市人均地区生产总值 27096 元，增长 3.3%。其中：第一产业增加值 219.03 亿元，比上年增长 4.1%，对</w:t>
            </w:r>
            <w:r>
              <w:rPr>
                <w:bCs/>
                <w:color w:val="auto"/>
                <w:sz w:val="24"/>
              </w:rPr>
              <w:t>地区生产总值增长的贡献率为 20.7%；第二产业增加值 370.89 亿元，比上年增长 3.0%，对地区生产总值增长的贡献率为 31.7%；第三产业增加值 597.14 亿元，比上年增长 3.4%，对地 区生产总值增长的贡献率为 47.6%。三次产业结构比重为 18.5： 31.2：50.3。县域地区生产总值（不含市辖区）700.47 亿元，占 全市比重为 59.0%，增长 3.2%。</w:t>
            </w:r>
          </w:p>
          <w:p>
            <w:pPr>
              <w:adjustRightInd w:val="0"/>
              <w:snapToGrid w:val="0"/>
              <w:spacing w:line="360" w:lineRule="auto"/>
              <w:ind w:firstLine="480" w:firstLineChars="200"/>
              <w:rPr>
                <w:bCs/>
                <w:color w:val="auto"/>
                <w:sz w:val="24"/>
              </w:rPr>
            </w:pPr>
            <w:r>
              <w:rPr>
                <w:bCs/>
                <w:color w:val="auto"/>
                <w:sz w:val="24"/>
              </w:rPr>
              <w:t>全年粮食作物播种面积 269.63 万亩，比上年增长 0.04%； 稻谷种植面积 239.18 万亩，下降 0.2%；甘蔗种植面积 2.24 万 亩，下降 12.9%；油料种植面积 18.49 万亩，增长 3.5%；蔬菜 种植面积 101.54 万亩，增长 2.4%；园林水果种植面积 113.13 万亩，增长 2.3%；茶叶种植面积 29.71 万亩，增长 19.1%。 全年粮食产量 110.35 万吨，增长 3.9%；稻谷产量 103 万吨， 增长 4.4%；甘蔗产量 5.12 万吨，下降 2.7 %；油料产量 3.5 万 吨，增长 5.9%；蔬菜产量 225.2 万吨，增长 5.5%；水果产量 142.99 万吨，增长 7.2%；茶叶产量 2.09 万吨，增长 6.5%。 全年肉类总产量 27.12 万吨，下降 5.7%，其中：猪肉产量 14.42 万吨，下降 16.4%；禽肉产量 10.88 万吨，增长 12.1%。 全年水产品产量 10.82 万吨，增长 1.03%。</w:t>
            </w:r>
          </w:p>
          <w:p>
            <w:pPr>
              <w:adjustRightInd w:val="0"/>
              <w:snapToGrid w:val="0"/>
              <w:spacing w:line="360" w:lineRule="auto"/>
              <w:ind w:firstLine="480" w:firstLineChars="200"/>
              <w:rPr>
                <w:bCs/>
                <w:color w:val="auto"/>
                <w:sz w:val="24"/>
              </w:rPr>
            </w:pPr>
            <w:r>
              <w:rPr>
                <w:bCs/>
                <w:color w:val="auto"/>
                <w:sz w:val="24"/>
              </w:rPr>
              <w:t>全年全部工业增加值比上年增长 3.0%。规模以上工业增加 值增长 1.7%，其中，国有及国有控股企业增长 4.7%，民营企业 增长 1.7%，外商及港澳台投资企业下降 7.9%，股份制企业增长 2.8%，股份合作制企业增长 8.2%，集体企业下降 35.0%。分轻 重工业看，轻工业下降 3.9%，重工业增长 6.1%。分企业规模看， 大型企业增长 1.2%，中型企业增长 2.3%，小微型企业增长 1.8%。</w:t>
            </w:r>
          </w:p>
          <w:p>
            <w:pPr>
              <w:adjustRightInd w:val="0"/>
              <w:snapToGrid w:val="0"/>
              <w:spacing w:line="360" w:lineRule="auto"/>
              <w:ind w:firstLine="480" w:firstLineChars="200"/>
              <w:rPr>
                <w:bCs/>
                <w:color w:val="auto"/>
                <w:sz w:val="24"/>
              </w:rPr>
            </w:pPr>
            <w:r>
              <w:rPr>
                <w:bCs/>
                <w:color w:val="auto"/>
                <w:sz w:val="24"/>
              </w:rPr>
              <w:t>全年批发和零售业增加值比上年增长 1.8%，住宿和餐饮业 增加值增长 1.8%，金融业增加值增长 7.3%，房地产业增加值增 长 11.3%。现代服务业增加值 318.09 亿元，增长 6.9%。生产性 服务业增加值 195.95 亿元，增长 4.6%。全年规模以上服务业企 业实现营业收入 56.72 亿元，比上年下降 0.4%；利润总额-1.75 亿元，下降 60.7%。</w:t>
            </w:r>
          </w:p>
          <w:p>
            <w:pPr>
              <w:adjustRightInd w:val="0"/>
              <w:snapToGrid w:val="0"/>
              <w:spacing w:line="360" w:lineRule="auto"/>
              <w:ind w:firstLine="480" w:firstLineChars="200"/>
              <w:rPr>
                <w:bCs/>
                <w:color w:val="auto"/>
                <w:sz w:val="24"/>
              </w:rPr>
            </w:pPr>
            <w:r>
              <w:rPr>
                <w:bCs/>
                <w:color w:val="auto"/>
                <w:sz w:val="24"/>
              </w:rPr>
              <w:t>全年完成固定资产投资比上年增长 4.0%。其中，项目投资 增长 8.4%。基础设施投资增长 2.1%，占固定资产投资的比重为 37.6%。分投资主体看，国有经济投资增长 8.8%，民间投资增长 2.0%，港澳台、外商经济投资增长 120.7%。</w:t>
            </w:r>
          </w:p>
          <w:p>
            <w:pPr>
              <w:tabs>
                <w:tab w:val="left" w:pos="7905"/>
              </w:tabs>
              <w:spacing w:line="360" w:lineRule="auto"/>
              <w:ind w:firstLine="480" w:firstLineChars="200"/>
              <w:rPr>
                <w:bCs/>
                <w:color w:val="auto"/>
                <w:sz w:val="24"/>
              </w:rPr>
            </w:pPr>
            <w:r>
              <w:rPr>
                <w:bCs/>
                <w:color w:val="auto"/>
                <w:sz w:val="24"/>
              </w:rPr>
              <w:t>全年社会消费品零售总额 775.14 亿元，比上年增长 6.7%。 其中，限额以上社会消费品零售总额为 126.81 亿元，下降 7.3 %。 分区域看，城镇消费品零售总额 579.04 亿元，增长 4.7 %；农 村消费品零售总额 196.10 亿元，增长 13.0%。分消费类型看， 商品零售额 723.28 亿元，增长 6.7 %；餐饮收入 51.86 亿元，增 长 6.7%。</w:t>
            </w:r>
          </w:p>
          <w:p>
            <w:pPr>
              <w:tabs>
                <w:tab w:val="left" w:pos="7905"/>
              </w:tabs>
              <w:spacing w:line="360" w:lineRule="auto"/>
              <w:ind w:firstLine="480" w:firstLineChars="200"/>
              <w:rPr>
                <w:bCs/>
                <w:color w:val="auto"/>
                <w:sz w:val="24"/>
              </w:rPr>
            </w:pPr>
            <w:r>
              <w:rPr>
                <w:bCs/>
                <w:color w:val="auto"/>
                <w:sz w:val="24"/>
              </w:rPr>
              <w:t>全年货物进出口总额 120.62 亿元,比上年下降 10.8%。出口 总额 100.74 亿元，下降 14.6%，其中：“三资”企业出口 28.09 亿元，下降 19.2%；私营企业出口 69.56 亿元，下降 11.4%。出 口总额中，一般贸易出口 71.18 亿元,下降 20.1%,占出口总额的 70.7%。全年新签外商直接投资项目 130 个，实际利用外商直接 投资 23978 万元(按国家商务部确认口径)，下降 27.6%。</w:t>
            </w:r>
          </w:p>
          <w:p>
            <w:pPr>
              <w:tabs>
                <w:tab w:val="left" w:pos="7905"/>
              </w:tabs>
              <w:spacing w:line="360" w:lineRule="auto"/>
              <w:ind w:firstLine="480" w:firstLineChars="200"/>
              <w:rPr>
                <w:bCs/>
                <w:color w:val="auto"/>
                <w:sz w:val="24"/>
              </w:rPr>
            </w:pPr>
            <w:r>
              <w:rPr>
                <w:bCs/>
                <w:color w:val="auto"/>
                <w:sz w:val="24"/>
              </w:rPr>
              <w:t>年末全市金融机构本外币各项存款余额 2251.36 亿元，比上 年末增长 5.6%，其中：住户存款余额 1517.82 亿元，比上年末 增长 12.6%。金融机构本外币各项贷款余额 1352.38 亿元，比上 年末增长 15.4%，其中：短期贷款 272.67 亿元，增长 19.9%； 中长期贷款 1050.60 亿元，增长 14.4%。</w:t>
            </w:r>
          </w:p>
          <w:p>
            <w:pPr>
              <w:tabs>
                <w:tab w:val="left" w:pos="7905"/>
              </w:tabs>
              <w:spacing w:line="360" w:lineRule="auto"/>
              <w:ind w:firstLine="480" w:firstLineChars="200"/>
              <w:rPr>
                <w:color w:val="auto"/>
                <w:sz w:val="24"/>
              </w:rPr>
            </w:pPr>
            <w:r>
              <w:rPr>
                <w:bCs/>
                <w:color w:val="auto"/>
                <w:sz w:val="24"/>
              </w:rPr>
              <w:t>全年全市居民人均可支配收入 22904 元，比上年增长 8.0%, 剔除价格上涨因素，实际增长 4.9%。按常住地分，城镇居民人 均可支配收入 29235 元，增长 6.8%，剔除价格上涨因素，实际 增长 3.7%；农村居民人均可支配收入 16447 元，增长 8.4%，剔 除价格上涨因素，实际增长 5.2%。</w:t>
            </w:r>
          </w:p>
        </w:tc>
      </w:tr>
    </w:tbl>
    <w:p>
      <w:pPr>
        <w:rPr>
          <w:rFonts w:eastAsia="黑体"/>
          <w:color w:val="auto"/>
          <w:sz w:val="30"/>
        </w:rPr>
      </w:pPr>
      <w:r>
        <w:rPr>
          <w:rFonts w:eastAsia="黑体"/>
          <w:color w:val="auto"/>
          <w:sz w:val="30"/>
        </w:rPr>
        <w:t>环境质量状况</w:t>
      </w:r>
    </w:p>
    <w:tbl>
      <w:tblPr>
        <w:tblStyle w:val="33"/>
        <w:tblW w:w="906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9064"/>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13728" w:hRule="atLeast"/>
        </w:trPr>
        <w:tc>
          <w:tcPr>
            <w:tcW w:w="9064" w:type="dxa"/>
            <w:tcBorders>
              <w:bottom w:val="single" w:color="auto" w:sz="4" w:space="0"/>
            </w:tcBorders>
          </w:tcPr>
          <w:p>
            <w:pPr>
              <w:adjustRightInd w:val="0"/>
              <w:snapToGrid w:val="0"/>
              <w:spacing w:line="360" w:lineRule="auto"/>
              <w:rPr>
                <w:b/>
                <w:bCs/>
                <w:color w:val="auto"/>
                <w:sz w:val="28"/>
              </w:rPr>
            </w:pPr>
            <w:r>
              <w:rPr>
                <w:b/>
                <w:bCs/>
                <w:color w:val="auto"/>
                <w:sz w:val="28"/>
              </w:rPr>
              <w:t>建设项目所在地区域环境质量现状及主要环境问题（环境空气、地面水、声环境、生态环境等）：</w:t>
            </w:r>
          </w:p>
          <w:p>
            <w:pPr>
              <w:adjustRightInd w:val="0"/>
              <w:snapToGrid w:val="0"/>
              <w:spacing w:line="360" w:lineRule="auto"/>
              <w:ind w:firstLine="482" w:firstLineChars="200"/>
              <w:rPr>
                <w:b/>
                <w:bCs/>
                <w:color w:val="auto"/>
                <w:sz w:val="24"/>
              </w:rPr>
            </w:pPr>
            <w:r>
              <w:rPr>
                <w:rFonts w:hint="eastAsia"/>
                <w:b/>
                <w:bCs/>
                <w:color w:val="auto"/>
                <w:sz w:val="24"/>
              </w:rPr>
              <w:t>1、功能区划</w:t>
            </w:r>
          </w:p>
          <w:p>
            <w:pPr>
              <w:adjustRightInd w:val="0"/>
              <w:snapToGrid w:val="0"/>
              <w:spacing w:line="360" w:lineRule="auto"/>
              <w:ind w:firstLine="480" w:firstLineChars="200"/>
              <w:rPr>
                <w:bCs/>
                <w:color w:val="auto"/>
                <w:sz w:val="24"/>
              </w:rPr>
            </w:pPr>
            <w:r>
              <w:rPr>
                <w:rFonts w:hint="eastAsia"/>
                <w:bCs/>
                <w:color w:val="auto"/>
                <w:sz w:val="24"/>
              </w:rPr>
              <w:t>本项目选址所在地环境功能属性如表</w:t>
            </w:r>
            <w:r>
              <w:rPr>
                <w:bCs/>
                <w:color w:val="auto"/>
                <w:sz w:val="24"/>
              </w:rPr>
              <w:t>2</w:t>
            </w:r>
            <w:r>
              <w:rPr>
                <w:rFonts w:hint="eastAsia"/>
                <w:bCs/>
                <w:color w:val="auto"/>
                <w:sz w:val="24"/>
              </w:rPr>
              <w:t>。</w:t>
            </w:r>
          </w:p>
          <w:p>
            <w:pPr>
              <w:ind w:left="360"/>
              <w:jc w:val="center"/>
              <w:rPr>
                <w:b/>
                <w:bCs/>
                <w:color w:val="auto"/>
              </w:rPr>
            </w:pPr>
            <w:r>
              <w:rPr>
                <w:rFonts w:hint="eastAsia"/>
                <w:b/>
                <w:bCs/>
                <w:color w:val="auto"/>
              </w:rPr>
              <w:t>表</w:t>
            </w:r>
            <w:r>
              <w:rPr>
                <w:b/>
                <w:color w:val="auto"/>
                <w:szCs w:val="21"/>
              </w:rPr>
              <w:fldChar w:fldCharType="begin"/>
            </w:r>
            <w:r>
              <w:rPr>
                <w:b/>
                <w:color w:val="auto"/>
                <w:szCs w:val="21"/>
              </w:rPr>
              <w:instrText xml:space="preserve"> </w:instrText>
            </w:r>
            <w:r>
              <w:rPr>
                <w:rFonts w:hint="eastAsia"/>
                <w:b/>
                <w:color w:val="auto"/>
                <w:szCs w:val="21"/>
              </w:rPr>
              <w:instrText xml:space="preserve">SEQ 表 \* ARABIC</w:instrText>
            </w:r>
            <w:r>
              <w:rPr>
                <w:b/>
                <w:color w:val="auto"/>
                <w:szCs w:val="21"/>
              </w:rPr>
              <w:instrText xml:space="preserve"> </w:instrText>
            </w:r>
            <w:r>
              <w:rPr>
                <w:b/>
                <w:color w:val="auto"/>
                <w:szCs w:val="21"/>
              </w:rPr>
              <w:fldChar w:fldCharType="separate"/>
            </w:r>
            <w:r>
              <w:rPr>
                <w:b/>
                <w:color w:val="auto"/>
                <w:szCs w:val="21"/>
              </w:rPr>
              <w:t>2</w:t>
            </w:r>
            <w:r>
              <w:rPr>
                <w:b/>
                <w:color w:val="auto"/>
                <w:szCs w:val="21"/>
              </w:rPr>
              <w:fldChar w:fldCharType="end"/>
            </w:r>
            <w:r>
              <w:rPr>
                <w:rFonts w:hint="eastAsia"/>
                <w:b/>
                <w:bCs/>
                <w:color w:val="auto"/>
              </w:rPr>
              <w:t xml:space="preserve">    环境功能属性</w:t>
            </w:r>
          </w:p>
          <w:tbl>
            <w:tblPr>
              <w:tblStyle w:val="33"/>
              <w:tblW w:w="0" w:type="auto"/>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629"/>
              <w:gridCol w:w="3088"/>
              <w:gridCol w:w="1560"/>
              <w:gridCol w:w="306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454" w:hRule="exact"/>
                <w:jc w:val="center"/>
              </w:trPr>
              <w:tc>
                <w:tcPr>
                  <w:tcW w:w="3717" w:type="dxa"/>
                  <w:gridSpan w:val="2"/>
                  <w:tcBorders>
                    <w:top w:val="single" w:color="000000" w:sz="6" w:space="0"/>
                  </w:tcBorders>
                  <w:vAlign w:val="center"/>
                </w:tcPr>
                <w:p>
                  <w:pPr>
                    <w:jc w:val="center"/>
                    <w:rPr>
                      <w:bCs/>
                      <w:color w:val="auto"/>
                      <w:szCs w:val="21"/>
                    </w:rPr>
                  </w:pPr>
                  <w:r>
                    <w:rPr>
                      <w:rFonts w:hAnsi="宋体"/>
                      <w:bCs/>
                      <w:color w:val="auto"/>
                      <w:szCs w:val="21"/>
                    </w:rPr>
                    <w:t>功能区类别</w:t>
                  </w:r>
                </w:p>
              </w:tc>
              <w:tc>
                <w:tcPr>
                  <w:tcW w:w="4626" w:type="dxa"/>
                  <w:gridSpan w:val="2"/>
                  <w:vAlign w:val="center"/>
                </w:tcPr>
                <w:p>
                  <w:pPr>
                    <w:jc w:val="center"/>
                    <w:rPr>
                      <w:bCs/>
                      <w:color w:val="auto"/>
                      <w:szCs w:val="21"/>
                    </w:rPr>
                  </w:pPr>
                  <w:r>
                    <w:rPr>
                      <w:rFonts w:hAnsi="宋体"/>
                      <w:bCs/>
                      <w:color w:val="auto"/>
                      <w:szCs w:val="21"/>
                    </w:rPr>
                    <w:t>功能区分类及执行标准</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454" w:hRule="exact"/>
                <w:jc w:val="center"/>
              </w:trPr>
              <w:tc>
                <w:tcPr>
                  <w:tcW w:w="629" w:type="dxa"/>
                  <w:vAlign w:val="center"/>
                </w:tcPr>
                <w:p>
                  <w:pPr>
                    <w:jc w:val="center"/>
                    <w:rPr>
                      <w:bCs/>
                      <w:color w:val="auto"/>
                      <w:szCs w:val="21"/>
                    </w:rPr>
                  </w:pPr>
                  <w:r>
                    <w:rPr>
                      <w:bCs/>
                      <w:color w:val="auto"/>
                      <w:szCs w:val="21"/>
                    </w:rPr>
                    <w:t>1</w:t>
                  </w:r>
                </w:p>
              </w:tc>
              <w:tc>
                <w:tcPr>
                  <w:tcW w:w="3088" w:type="dxa"/>
                  <w:vAlign w:val="center"/>
                </w:tcPr>
                <w:p>
                  <w:pPr>
                    <w:jc w:val="center"/>
                    <w:rPr>
                      <w:bCs/>
                      <w:color w:val="auto"/>
                      <w:szCs w:val="21"/>
                    </w:rPr>
                  </w:pPr>
                  <w:r>
                    <w:rPr>
                      <w:rFonts w:hAnsi="宋体"/>
                      <w:bCs/>
                      <w:color w:val="auto"/>
                      <w:szCs w:val="21"/>
                    </w:rPr>
                    <w:t>水功能区</w:t>
                  </w:r>
                  <w:r>
                    <w:rPr>
                      <w:rFonts w:hint="eastAsia" w:hAnsi="宋体"/>
                      <w:bCs/>
                      <w:color w:val="auto"/>
                      <w:szCs w:val="21"/>
                    </w:rPr>
                    <w:t>（周溪河）</w:t>
                  </w:r>
                </w:p>
              </w:tc>
              <w:tc>
                <w:tcPr>
                  <w:tcW w:w="1560" w:type="dxa"/>
                  <w:vAlign w:val="center"/>
                </w:tcPr>
                <w:p>
                  <w:pPr>
                    <w:jc w:val="center"/>
                    <w:rPr>
                      <w:bCs/>
                      <w:color w:val="auto"/>
                      <w:szCs w:val="21"/>
                    </w:rPr>
                  </w:pPr>
                  <w:r>
                    <w:rPr>
                      <w:rFonts w:hint="eastAsia" w:ascii="宋体" w:hAnsi="宋体"/>
                      <w:bCs/>
                      <w:color w:val="auto"/>
                      <w:szCs w:val="21"/>
                    </w:rPr>
                    <w:t>Ⅲ类</w:t>
                  </w:r>
                </w:p>
              </w:tc>
              <w:tc>
                <w:tcPr>
                  <w:tcW w:w="3066" w:type="dxa"/>
                  <w:vAlign w:val="center"/>
                </w:tcPr>
                <w:p>
                  <w:pPr>
                    <w:jc w:val="center"/>
                    <w:rPr>
                      <w:bCs/>
                      <w:color w:val="auto"/>
                      <w:szCs w:val="21"/>
                    </w:rPr>
                  </w:pPr>
                  <w:r>
                    <w:rPr>
                      <w:bCs/>
                      <w:color w:val="auto"/>
                      <w:szCs w:val="21"/>
                    </w:rPr>
                    <w:t xml:space="preserve">GB3838-2002 </w:t>
                  </w:r>
                  <w:r>
                    <w:rPr>
                      <w:rFonts w:hint="eastAsia" w:ascii="宋体" w:hAnsi="宋体"/>
                      <w:bCs/>
                      <w:color w:val="auto"/>
                      <w:szCs w:val="21"/>
                    </w:rPr>
                    <w:t>Ⅲ类</w:t>
                  </w:r>
                  <w:r>
                    <w:rPr>
                      <w:rFonts w:hAnsi="宋体"/>
                      <w:bCs/>
                      <w:color w:val="auto"/>
                      <w:szCs w:val="21"/>
                    </w:rPr>
                    <w:t>标准</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454" w:hRule="exact"/>
                <w:jc w:val="center"/>
              </w:trPr>
              <w:tc>
                <w:tcPr>
                  <w:tcW w:w="629" w:type="dxa"/>
                  <w:vAlign w:val="center"/>
                </w:tcPr>
                <w:p>
                  <w:pPr>
                    <w:jc w:val="center"/>
                    <w:rPr>
                      <w:bCs/>
                      <w:color w:val="auto"/>
                      <w:szCs w:val="21"/>
                    </w:rPr>
                  </w:pPr>
                  <w:r>
                    <w:rPr>
                      <w:bCs/>
                      <w:color w:val="auto"/>
                      <w:szCs w:val="21"/>
                    </w:rPr>
                    <w:t>2</w:t>
                  </w:r>
                </w:p>
              </w:tc>
              <w:tc>
                <w:tcPr>
                  <w:tcW w:w="3088" w:type="dxa"/>
                  <w:vAlign w:val="center"/>
                </w:tcPr>
                <w:p>
                  <w:pPr>
                    <w:jc w:val="center"/>
                    <w:rPr>
                      <w:bCs/>
                      <w:color w:val="auto"/>
                      <w:szCs w:val="21"/>
                    </w:rPr>
                  </w:pPr>
                  <w:r>
                    <w:rPr>
                      <w:rFonts w:hAnsi="宋体"/>
                      <w:bCs/>
                      <w:color w:val="auto"/>
                      <w:szCs w:val="21"/>
                    </w:rPr>
                    <w:t>大气功能区</w:t>
                  </w:r>
                </w:p>
              </w:tc>
              <w:tc>
                <w:tcPr>
                  <w:tcW w:w="1560" w:type="dxa"/>
                  <w:vAlign w:val="center"/>
                </w:tcPr>
                <w:p>
                  <w:pPr>
                    <w:jc w:val="center"/>
                    <w:rPr>
                      <w:bCs/>
                      <w:color w:val="auto"/>
                      <w:szCs w:val="21"/>
                    </w:rPr>
                  </w:pPr>
                  <w:r>
                    <w:rPr>
                      <w:rFonts w:hAnsi="宋体"/>
                      <w:bCs/>
                      <w:color w:val="auto"/>
                      <w:szCs w:val="21"/>
                    </w:rPr>
                    <w:t>二类区</w:t>
                  </w:r>
                </w:p>
              </w:tc>
              <w:tc>
                <w:tcPr>
                  <w:tcW w:w="3066" w:type="dxa"/>
                  <w:vAlign w:val="center"/>
                </w:tcPr>
                <w:p>
                  <w:pPr>
                    <w:jc w:val="center"/>
                    <w:rPr>
                      <w:bCs/>
                      <w:color w:val="auto"/>
                      <w:szCs w:val="21"/>
                    </w:rPr>
                  </w:pPr>
                  <w:r>
                    <w:rPr>
                      <w:bCs/>
                      <w:color w:val="auto"/>
                      <w:szCs w:val="21"/>
                    </w:rPr>
                    <w:t>GB3095-2012</w:t>
                  </w:r>
                  <w:r>
                    <w:rPr>
                      <w:rFonts w:hAnsi="宋体"/>
                      <w:bCs/>
                      <w:color w:val="auto"/>
                      <w:szCs w:val="21"/>
                    </w:rPr>
                    <w:t>二级标准</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454" w:hRule="exact"/>
                <w:jc w:val="center"/>
              </w:trPr>
              <w:tc>
                <w:tcPr>
                  <w:tcW w:w="629" w:type="dxa"/>
                  <w:vAlign w:val="center"/>
                </w:tcPr>
                <w:p>
                  <w:pPr>
                    <w:jc w:val="center"/>
                    <w:rPr>
                      <w:bCs/>
                      <w:color w:val="auto"/>
                      <w:szCs w:val="21"/>
                    </w:rPr>
                  </w:pPr>
                  <w:r>
                    <w:rPr>
                      <w:bCs/>
                      <w:color w:val="auto"/>
                      <w:szCs w:val="21"/>
                    </w:rPr>
                    <w:t>3</w:t>
                  </w:r>
                </w:p>
              </w:tc>
              <w:tc>
                <w:tcPr>
                  <w:tcW w:w="3088" w:type="dxa"/>
                  <w:vAlign w:val="center"/>
                </w:tcPr>
                <w:p>
                  <w:pPr>
                    <w:jc w:val="center"/>
                    <w:rPr>
                      <w:bCs/>
                      <w:color w:val="auto"/>
                      <w:szCs w:val="21"/>
                    </w:rPr>
                  </w:pPr>
                  <w:r>
                    <w:rPr>
                      <w:rFonts w:hAnsi="宋体"/>
                      <w:bCs/>
                      <w:color w:val="auto"/>
                      <w:szCs w:val="21"/>
                    </w:rPr>
                    <w:t>环境噪声功能区</w:t>
                  </w:r>
                </w:p>
              </w:tc>
              <w:tc>
                <w:tcPr>
                  <w:tcW w:w="1560" w:type="dxa"/>
                  <w:vAlign w:val="center"/>
                </w:tcPr>
                <w:p>
                  <w:pPr>
                    <w:jc w:val="center"/>
                    <w:rPr>
                      <w:bCs/>
                      <w:color w:val="auto"/>
                      <w:szCs w:val="21"/>
                    </w:rPr>
                  </w:pPr>
                  <w:r>
                    <w:rPr>
                      <w:bCs/>
                      <w:color w:val="auto"/>
                      <w:szCs w:val="21"/>
                    </w:rPr>
                    <w:t>1</w:t>
                  </w:r>
                  <w:r>
                    <w:rPr>
                      <w:rFonts w:hint="eastAsia"/>
                      <w:bCs/>
                      <w:color w:val="auto"/>
                      <w:szCs w:val="21"/>
                    </w:rPr>
                    <w:t>，2，4a类</w:t>
                  </w:r>
                  <w:r>
                    <w:rPr>
                      <w:bCs/>
                      <w:color w:val="auto"/>
                      <w:szCs w:val="21"/>
                    </w:rPr>
                    <w:t>区</w:t>
                  </w:r>
                </w:p>
              </w:tc>
              <w:tc>
                <w:tcPr>
                  <w:tcW w:w="3066" w:type="dxa"/>
                  <w:vAlign w:val="center"/>
                </w:tcPr>
                <w:p>
                  <w:pPr>
                    <w:jc w:val="center"/>
                    <w:rPr>
                      <w:bCs/>
                      <w:color w:val="auto"/>
                      <w:szCs w:val="21"/>
                    </w:rPr>
                  </w:pPr>
                  <w:r>
                    <w:rPr>
                      <w:bCs/>
                      <w:color w:val="auto"/>
                      <w:szCs w:val="21"/>
                    </w:rPr>
                    <w:t>GB3096-</w:t>
                  </w:r>
                  <w:r>
                    <w:rPr>
                      <w:rFonts w:hint="eastAsia"/>
                      <w:bCs/>
                      <w:color w:val="auto"/>
                      <w:szCs w:val="21"/>
                    </w:rPr>
                    <w:t>2008</w:t>
                  </w:r>
                  <w:r>
                    <w:rPr>
                      <w:bCs/>
                      <w:color w:val="auto"/>
                      <w:szCs w:val="21"/>
                    </w:rPr>
                    <w:t xml:space="preserve"> 1</w:t>
                  </w:r>
                  <w:r>
                    <w:rPr>
                      <w:rFonts w:hint="eastAsia"/>
                      <w:bCs/>
                      <w:color w:val="auto"/>
                      <w:szCs w:val="21"/>
                    </w:rPr>
                    <w:t>，2，4a类</w:t>
                  </w:r>
                  <w:r>
                    <w:rPr>
                      <w:bCs/>
                      <w:color w:val="auto"/>
                      <w:szCs w:val="21"/>
                    </w:rPr>
                    <w:t>标准</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454" w:hRule="exact"/>
                <w:jc w:val="center"/>
              </w:trPr>
              <w:tc>
                <w:tcPr>
                  <w:tcW w:w="629" w:type="dxa"/>
                  <w:vAlign w:val="center"/>
                </w:tcPr>
                <w:p>
                  <w:pPr>
                    <w:jc w:val="center"/>
                    <w:rPr>
                      <w:bCs/>
                      <w:color w:val="auto"/>
                      <w:szCs w:val="21"/>
                    </w:rPr>
                  </w:pPr>
                  <w:r>
                    <w:rPr>
                      <w:bCs/>
                      <w:color w:val="auto"/>
                      <w:szCs w:val="21"/>
                    </w:rPr>
                    <w:t>4</w:t>
                  </w:r>
                </w:p>
              </w:tc>
              <w:tc>
                <w:tcPr>
                  <w:tcW w:w="3088" w:type="dxa"/>
                  <w:vAlign w:val="center"/>
                </w:tcPr>
                <w:p>
                  <w:pPr>
                    <w:jc w:val="center"/>
                    <w:rPr>
                      <w:bCs/>
                      <w:color w:val="auto"/>
                      <w:szCs w:val="21"/>
                    </w:rPr>
                  </w:pPr>
                  <w:r>
                    <w:rPr>
                      <w:rFonts w:hAnsi="宋体"/>
                      <w:bCs/>
                      <w:color w:val="auto"/>
                      <w:szCs w:val="21"/>
                    </w:rPr>
                    <w:t>基本农田保护区</w:t>
                  </w:r>
                </w:p>
              </w:tc>
              <w:tc>
                <w:tcPr>
                  <w:tcW w:w="4626" w:type="dxa"/>
                  <w:gridSpan w:val="2"/>
                  <w:vAlign w:val="center"/>
                </w:tcPr>
                <w:p>
                  <w:pPr>
                    <w:jc w:val="center"/>
                    <w:rPr>
                      <w:bCs/>
                      <w:color w:val="auto"/>
                      <w:szCs w:val="21"/>
                    </w:rPr>
                  </w:pPr>
                  <w:r>
                    <w:rPr>
                      <w:rFonts w:hAnsi="宋体"/>
                      <w:bCs/>
                      <w:color w:val="auto"/>
                      <w:szCs w:val="21"/>
                    </w:rPr>
                    <w:t>否</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454" w:hRule="exact"/>
                <w:jc w:val="center"/>
              </w:trPr>
              <w:tc>
                <w:tcPr>
                  <w:tcW w:w="629" w:type="dxa"/>
                  <w:vAlign w:val="center"/>
                </w:tcPr>
                <w:p>
                  <w:pPr>
                    <w:jc w:val="center"/>
                    <w:rPr>
                      <w:bCs/>
                      <w:color w:val="auto"/>
                      <w:szCs w:val="21"/>
                    </w:rPr>
                  </w:pPr>
                  <w:r>
                    <w:rPr>
                      <w:rFonts w:hint="eastAsia"/>
                      <w:bCs/>
                      <w:color w:val="auto"/>
                      <w:szCs w:val="21"/>
                    </w:rPr>
                    <w:t>5</w:t>
                  </w:r>
                </w:p>
              </w:tc>
              <w:tc>
                <w:tcPr>
                  <w:tcW w:w="3088" w:type="dxa"/>
                  <w:vAlign w:val="center"/>
                </w:tcPr>
                <w:p>
                  <w:pPr>
                    <w:jc w:val="center"/>
                    <w:rPr>
                      <w:rFonts w:hAnsi="宋体"/>
                      <w:bCs/>
                      <w:color w:val="auto"/>
                      <w:szCs w:val="21"/>
                    </w:rPr>
                  </w:pPr>
                  <w:r>
                    <w:rPr>
                      <w:rFonts w:hint="eastAsia" w:hAnsi="宋体"/>
                      <w:bCs/>
                      <w:color w:val="auto"/>
                      <w:szCs w:val="21"/>
                    </w:rPr>
                    <w:t>城市污水集水范围</w:t>
                  </w:r>
                </w:p>
              </w:tc>
              <w:tc>
                <w:tcPr>
                  <w:tcW w:w="4626" w:type="dxa"/>
                  <w:gridSpan w:val="2"/>
                  <w:vAlign w:val="center"/>
                </w:tcPr>
                <w:p>
                  <w:pPr>
                    <w:jc w:val="center"/>
                    <w:rPr>
                      <w:rFonts w:hAnsi="宋体"/>
                      <w:bCs/>
                      <w:color w:val="auto"/>
                      <w:szCs w:val="21"/>
                    </w:rPr>
                  </w:pPr>
                  <w:r>
                    <w:rPr>
                      <w:rFonts w:hint="eastAsia" w:hAnsi="宋体"/>
                      <w:bCs/>
                      <w:color w:val="auto"/>
                      <w:szCs w:val="21"/>
                    </w:rP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454" w:hRule="exact"/>
                <w:jc w:val="center"/>
              </w:trPr>
              <w:tc>
                <w:tcPr>
                  <w:tcW w:w="629" w:type="dxa"/>
                  <w:vAlign w:val="center"/>
                </w:tcPr>
                <w:p>
                  <w:pPr>
                    <w:jc w:val="center"/>
                    <w:rPr>
                      <w:bCs/>
                      <w:color w:val="auto"/>
                      <w:szCs w:val="21"/>
                    </w:rPr>
                  </w:pPr>
                  <w:r>
                    <w:rPr>
                      <w:rFonts w:hint="eastAsia"/>
                      <w:bCs/>
                      <w:color w:val="auto"/>
                      <w:szCs w:val="21"/>
                    </w:rPr>
                    <w:t>6</w:t>
                  </w:r>
                </w:p>
              </w:tc>
              <w:tc>
                <w:tcPr>
                  <w:tcW w:w="3088" w:type="dxa"/>
                  <w:vAlign w:val="center"/>
                </w:tcPr>
                <w:p>
                  <w:pPr>
                    <w:jc w:val="center"/>
                    <w:rPr>
                      <w:bCs/>
                      <w:color w:val="auto"/>
                      <w:szCs w:val="21"/>
                    </w:rPr>
                  </w:pPr>
                  <w:r>
                    <w:rPr>
                      <w:rFonts w:hAnsi="宋体"/>
                      <w:bCs/>
                      <w:color w:val="auto"/>
                      <w:szCs w:val="21"/>
                    </w:rPr>
                    <w:t>风景保护区（市政府颁布）</w:t>
                  </w:r>
                </w:p>
              </w:tc>
              <w:tc>
                <w:tcPr>
                  <w:tcW w:w="4626" w:type="dxa"/>
                  <w:gridSpan w:val="2"/>
                  <w:vAlign w:val="center"/>
                </w:tcPr>
                <w:p>
                  <w:pPr>
                    <w:jc w:val="center"/>
                    <w:rPr>
                      <w:bCs/>
                      <w:color w:val="auto"/>
                      <w:szCs w:val="21"/>
                    </w:rPr>
                  </w:pPr>
                  <w:r>
                    <w:rPr>
                      <w:rFonts w:hAnsi="宋体"/>
                      <w:bCs/>
                      <w:color w:val="auto"/>
                      <w:szCs w:val="21"/>
                    </w:rPr>
                    <w:t>否</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454" w:hRule="exact"/>
                <w:jc w:val="center"/>
              </w:trPr>
              <w:tc>
                <w:tcPr>
                  <w:tcW w:w="629" w:type="dxa"/>
                  <w:vAlign w:val="center"/>
                </w:tcPr>
                <w:p>
                  <w:pPr>
                    <w:jc w:val="center"/>
                    <w:rPr>
                      <w:bCs/>
                      <w:color w:val="auto"/>
                      <w:szCs w:val="21"/>
                    </w:rPr>
                  </w:pPr>
                  <w:r>
                    <w:rPr>
                      <w:rFonts w:hint="eastAsia"/>
                      <w:bCs/>
                      <w:color w:val="auto"/>
                      <w:szCs w:val="21"/>
                    </w:rPr>
                    <w:t>7</w:t>
                  </w:r>
                </w:p>
              </w:tc>
              <w:tc>
                <w:tcPr>
                  <w:tcW w:w="3088" w:type="dxa"/>
                  <w:vAlign w:val="center"/>
                </w:tcPr>
                <w:p>
                  <w:pPr>
                    <w:jc w:val="center"/>
                    <w:rPr>
                      <w:rFonts w:hAnsi="宋体"/>
                      <w:bCs/>
                      <w:color w:val="auto"/>
                      <w:szCs w:val="21"/>
                    </w:rPr>
                  </w:pPr>
                  <w:r>
                    <w:rPr>
                      <w:rFonts w:hint="eastAsia" w:hAnsi="宋体"/>
                      <w:bCs/>
                      <w:color w:val="auto"/>
                      <w:szCs w:val="21"/>
                    </w:rPr>
                    <w:t>饮用水源保护区</w:t>
                  </w:r>
                </w:p>
              </w:tc>
              <w:tc>
                <w:tcPr>
                  <w:tcW w:w="4626" w:type="dxa"/>
                  <w:gridSpan w:val="2"/>
                  <w:vAlign w:val="center"/>
                </w:tcPr>
                <w:p>
                  <w:pPr>
                    <w:jc w:val="center"/>
                    <w:rPr>
                      <w:rFonts w:hAnsi="宋体"/>
                      <w:bCs/>
                      <w:color w:val="auto"/>
                      <w:szCs w:val="21"/>
                    </w:rPr>
                  </w:pPr>
                  <w:r>
                    <w:rPr>
                      <w:rFonts w:hint="eastAsia" w:hAnsi="宋体"/>
                      <w:bCs/>
                      <w:color w:val="auto"/>
                      <w:szCs w:val="21"/>
                    </w:rPr>
                    <w:t>否</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454" w:hRule="exact"/>
                <w:jc w:val="center"/>
              </w:trPr>
              <w:tc>
                <w:tcPr>
                  <w:tcW w:w="629" w:type="dxa"/>
                  <w:vAlign w:val="center"/>
                </w:tcPr>
                <w:p>
                  <w:pPr>
                    <w:jc w:val="center"/>
                    <w:rPr>
                      <w:bCs/>
                      <w:color w:val="auto"/>
                      <w:szCs w:val="21"/>
                    </w:rPr>
                  </w:pPr>
                  <w:r>
                    <w:rPr>
                      <w:rFonts w:hint="eastAsia"/>
                      <w:bCs/>
                      <w:color w:val="auto"/>
                      <w:szCs w:val="21"/>
                    </w:rPr>
                    <w:t>8</w:t>
                  </w:r>
                </w:p>
              </w:tc>
              <w:tc>
                <w:tcPr>
                  <w:tcW w:w="3088" w:type="dxa"/>
                  <w:vAlign w:val="center"/>
                </w:tcPr>
                <w:p>
                  <w:pPr>
                    <w:jc w:val="center"/>
                    <w:rPr>
                      <w:bCs/>
                      <w:color w:val="auto"/>
                      <w:szCs w:val="21"/>
                    </w:rPr>
                  </w:pPr>
                  <w:r>
                    <w:rPr>
                      <w:rFonts w:hAnsi="宋体"/>
                      <w:bCs/>
                      <w:color w:val="auto"/>
                      <w:szCs w:val="21"/>
                    </w:rPr>
                    <w:t>水库库区</w:t>
                  </w:r>
                </w:p>
              </w:tc>
              <w:tc>
                <w:tcPr>
                  <w:tcW w:w="4626" w:type="dxa"/>
                  <w:gridSpan w:val="2"/>
                  <w:vAlign w:val="center"/>
                </w:tcPr>
                <w:p>
                  <w:pPr>
                    <w:jc w:val="center"/>
                    <w:rPr>
                      <w:bCs/>
                      <w:color w:val="auto"/>
                      <w:szCs w:val="21"/>
                    </w:rPr>
                  </w:pPr>
                  <w:r>
                    <w:rPr>
                      <w:rFonts w:hAnsi="宋体"/>
                      <w:bCs/>
                      <w:color w:val="auto"/>
                      <w:szCs w:val="21"/>
                    </w:rPr>
                    <w:t>否</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454" w:hRule="exact"/>
                <w:jc w:val="center"/>
              </w:trPr>
              <w:tc>
                <w:tcPr>
                  <w:tcW w:w="629" w:type="dxa"/>
                  <w:vAlign w:val="center"/>
                </w:tcPr>
                <w:p>
                  <w:pPr>
                    <w:jc w:val="center"/>
                    <w:rPr>
                      <w:bCs/>
                      <w:color w:val="auto"/>
                      <w:szCs w:val="21"/>
                    </w:rPr>
                  </w:pPr>
                  <w:r>
                    <w:rPr>
                      <w:rFonts w:hint="eastAsia"/>
                      <w:bCs/>
                      <w:color w:val="auto"/>
                      <w:szCs w:val="21"/>
                    </w:rPr>
                    <w:t>9</w:t>
                  </w:r>
                </w:p>
              </w:tc>
              <w:tc>
                <w:tcPr>
                  <w:tcW w:w="3088" w:type="dxa"/>
                  <w:vAlign w:val="center"/>
                </w:tcPr>
                <w:p>
                  <w:pPr>
                    <w:jc w:val="center"/>
                    <w:rPr>
                      <w:bCs/>
                      <w:color w:val="auto"/>
                      <w:szCs w:val="21"/>
                    </w:rPr>
                  </w:pPr>
                  <w:r>
                    <w:rPr>
                      <w:rFonts w:hAnsi="宋体"/>
                      <w:bCs/>
                      <w:color w:val="auto"/>
                      <w:szCs w:val="21"/>
                    </w:rPr>
                    <w:t>管道煤气干管区</w:t>
                  </w:r>
                </w:p>
              </w:tc>
              <w:tc>
                <w:tcPr>
                  <w:tcW w:w="4626" w:type="dxa"/>
                  <w:gridSpan w:val="2"/>
                  <w:vAlign w:val="center"/>
                </w:tcPr>
                <w:p>
                  <w:pPr>
                    <w:jc w:val="center"/>
                    <w:rPr>
                      <w:bCs/>
                      <w:color w:val="auto"/>
                      <w:szCs w:val="21"/>
                    </w:rPr>
                  </w:pPr>
                  <w:r>
                    <w:rPr>
                      <w:rFonts w:hAnsi="宋体"/>
                      <w:bCs/>
                      <w:color w:val="auto"/>
                      <w:szCs w:val="21"/>
                    </w:rPr>
                    <w:t>否</w:t>
                  </w:r>
                </w:p>
              </w:tc>
            </w:tr>
          </w:tbl>
          <w:p>
            <w:pPr>
              <w:adjustRightInd w:val="0"/>
              <w:snapToGrid w:val="0"/>
              <w:spacing w:line="360" w:lineRule="auto"/>
              <w:ind w:firstLine="482" w:firstLineChars="200"/>
              <w:rPr>
                <w:b/>
                <w:bCs/>
                <w:color w:val="auto"/>
                <w:sz w:val="24"/>
              </w:rPr>
            </w:pPr>
            <w:r>
              <w:rPr>
                <w:rFonts w:hint="eastAsia"/>
                <w:b/>
                <w:bCs/>
                <w:color w:val="auto"/>
                <w:sz w:val="24"/>
              </w:rPr>
              <w:t>2、</w:t>
            </w:r>
            <w:r>
              <w:rPr>
                <w:b/>
                <w:bCs/>
                <w:color w:val="auto"/>
                <w:sz w:val="24"/>
              </w:rPr>
              <w:t>地表水环境质量现状</w:t>
            </w:r>
          </w:p>
          <w:p>
            <w:pPr>
              <w:adjustRightInd w:val="0"/>
              <w:snapToGrid w:val="0"/>
              <w:spacing w:line="360" w:lineRule="auto"/>
              <w:ind w:firstLine="456" w:firstLineChars="200"/>
              <w:rPr>
                <w:bCs/>
                <w:color w:val="auto"/>
                <w:sz w:val="24"/>
              </w:rPr>
            </w:pPr>
            <w:r>
              <w:rPr>
                <w:rFonts w:hint="eastAsia"/>
                <w:color w:val="auto"/>
                <w:spacing w:val="-6"/>
                <w:kern w:val="0"/>
                <w:sz w:val="24"/>
              </w:rPr>
              <w:t>项目附近无</w:t>
            </w:r>
            <w:r>
              <w:rPr>
                <w:color w:val="auto"/>
                <w:spacing w:val="-6"/>
                <w:kern w:val="0"/>
                <w:sz w:val="24"/>
              </w:rPr>
              <w:t>饮用水源保护区</w:t>
            </w:r>
            <w:r>
              <w:rPr>
                <w:rFonts w:hint="eastAsia"/>
                <w:color w:val="auto"/>
                <w:spacing w:val="-6"/>
                <w:kern w:val="0"/>
                <w:sz w:val="24"/>
              </w:rPr>
              <w:t>，最近的饮用水源保护区为梅江饮用水源保护区，距离项目泵站西南面约3</w:t>
            </w:r>
            <w:r>
              <w:rPr>
                <w:color w:val="auto"/>
                <w:spacing w:val="-6"/>
                <w:kern w:val="0"/>
                <w:sz w:val="24"/>
              </w:rPr>
              <w:t>.47km</w:t>
            </w:r>
            <w:r>
              <w:rPr>
                <w:rFonts w:hint="eastAsia"/>
                <w:color w:val="auto"/>
                <w:spacing w:val="-6"/>
                <w:kern w:val="0"/>
                <w:sz w:val="24"/>
              </w:rPr>
              <w:t>，根据《2</w:t>
            </w:r>
            <w:r>
              <w:rPr>
                <w:color w:val="auto"/>
                <w:spacing w:val="-6"/>
                <w:kern w:val="0"/>
                <w:sz w:val="24"/>
              </w:rPr>
              <w:t>019</w:t>
            </w:r>
            <w:r>
              <w:rPr>
                <w:rFonts w:hint="eastAsia"/>
                <w:color w:val="auto"/>
                <w:spacing w:val="-6"/>
                <w:kern w:val="0"/>
                <w:sz w:val="24"/>
              </w:rPr>
              <w:t>年梅州市生态环境状况公报》，梅江水质为优。</w:t>
            </w:r>
          </w:p>
          <w:p>
            <w:pPr>
              <w:adjustRightInd w:val="0"/>
              <w:snapToGrid w:val="0"/>
              <w:spacing w:line="360" w:lineRule="auto"/>
              <w:ind w:firstLine="480" w:firstLineChars="200"/>
              <w:rPr>
                <w:bCs/>
                <w:color w:val="auto"/>
                <w:sz w:val="24"/>
              </w:rPr>
            </w:pPr>
            <w:r>
              <w:rPr>
                <w:rFonts w:hint="eastAsia"/>
                <w:bCs/>
                <w:color w:val="auto"/>
                <w:sz w:val="24"/>
              </w:rPr>
              <w:t>经现场勘查，</w:t>
            </w:r>
            <w:r>
              <w:rPr>
                <w:bCs/>
                <w:color w:val="auto"/>
                <w:sz w:val="24"/>
              </w:rPr>
              <w:t>本项目附近水体为</w:t>
            </w:r>
            <w:r>
              <w:rPr>
                <w:rFonts w:hint="eastAsia"/>
                <w:bCs/>
                <w:color w:val="auto"/>
                <w:sz w:val="24"/>
              </w:rPr>
              <w:t>周溪河及其支流（见附图7）</w:t>
            </w:r>
            <w:r>
              <w:rPr>
                <w:bCs/>
                <w:color w:val="auto"/>
                <w:sz w:val="24"/>
              </w:rPr>
              <w:t>，为</w:t>
            </w:r>
            <w:r>
              <w:rPr>
                <w:rFonts w:hint="eastAsia"/>
                <w:bCs/>
                <w:color w:val="auto"/>
                <w:sz w:val="24"/>
              </w:rPr>
              <w:t>Ⅲ类</w:t>
            </w:r>
            <w:r>
              <w:rPr>
                <w:bCs/>
                <w:color w:val="auto"/>
                <w:sz w:val="24"/>
              </w:rPr>
              <w:t>环境功能水域，水质执行《地表水环境质量标准》（GB3838-2002）</w:t>
            </w:r>
            <w:r>
              <w:rPr>
                <w:rFonts w:hint="eastAsia"/>
                <w:bCs/>
                <w:color w:val="auto"/>
                <w:sz w:val="24"/>
              </w:rPr>
              <w:t>Ⅲ类</w:t>
            </w:r>
            <w:r>
              <w:rPr>
                <w:bCs/>
                <w:color w:val="auto"/>
                <w:sz w:val="24"/>
              </w:rPr>
              <w:t>标准。</w:t>
            </w:r>
            <w:r>
              <w:rPr>
                <w:rFonts w:hint="eastAsia"/>
                <w:bCs/>
                <w:color w:val="auto"/>
                <w:sz w:val="24"/>
              </w:rPr>
              <w:t>本项目</w:t>
            </w:r>
            <w:r>
              <w:rPr>
                <w:bCs/>
                <w:color w:val="auto"/>
                <w:sz w:val="24"/>
              </w:rPr>
              <w:t>委托</w:t>
            </w:r>
            <w:r>
              <w:rPr>
                <w:rFonts w:hint="eastAsia" w:hAnsi="宋体"/>
                <w:color w:val="auto"/>
                <w:sz w:val="24"/>
              </w:rPr>
              <w:t>广东精科环境科技有限公司</w:t>
            </w:r>
            <w:r>
              <w:rPr>
                <w:rFonts w:hAnsi="宋体"/>
                <w:color w:val="auto"/>
                <w:sz w:val="24"/>
                <w:szCs w:val="28"/>
              </w:rPr>
              <w:t>于</w:t>
            </w:r>
            <w:r>
              <w:rPr>
                <w:color w:val="auto"/>
                <w:sz w:val="24"/>
              </w:rPr>
              <w:t>20</w:t>
            </w:r>
            <w:r>
              <w:rPr>
                <w:rFonts w:hint="eastAsia"/>
                <w:color w:val="auto"/>
                <w:sz w:val="24"/>
              </w:rPr>
              <w:t>20</w:t>
            </w:r>
            <w:r>
              <w:rPr>
                <w:rFonts w:hAnsi="宋体"/>
                <w:color w:val="auto"/>
                <w:sz w:val="24"/>
              </w:rPr>
              <w:t>年</w:t>
            </w:r>
            <w:r>
              <w:rPr>
                <w:rFonts w:hint="eastAsia"/>
                <w:color w:val="auto"/>
                <w:sz w:val="24"/>
              </w:rPr>
              <w:t>5月25</w:t>
            </w:r>
            <w:r>
              <w:rPr>
                <w:color w:val="auto"/>
                <w:sz w:val="24"/>
              </w:rPr>
              <w:t>-27</w:t>
            </w:r>
            <w:r>
              <w:rPr>
                <w:rFonts w:hint="eastAsia"/>
                <w:color w:val="auto"/>
                <w:sz w:val="24"/>
              </w:rPr>
              <w:t>日</w:t>
            </w:r>
            <w:r>
              <w:rPr>
                <w:rFonts w:hAnsi="宋体"/>
                <w:color w:val="auto"/>
                <w:sz w:val="24"/>
                <w:szCs w:val="28"/>
              </w:rPr>
              <w:t>对周溪河</w:t>
            </w:r>
            <w:r>
              <w:rPr>
                <w:rFonts w:hint="eastAsia" w:hAnsi="宋体"/>
                <w:color w:val="auto"/>
                <w:sz w:val="24"/>
                <w:szCs w:val="28"/>
              </w:rPr>
              <w:t>进行采样监测</w:t>
            </w:r>
            <w:r>
              <w:rPr>
                <w:rFonts w:hAnsi="宋体"/>
                <w:color w:val="auto"/>
                <w:sz w:val="24"/>
                <w:szCs w:val="28"/>
              </w:rPr>
              <w:t>，</w:t>
            </w:r>
            <w:r>
              <w:rPr>
                <w:rFonts w:hint="eastAsia"/>
                <w:bCs/>
                <w:color w:val="auto"/>
                <w:sz w:val="24"/>
              </w:rPr>
              <w:t>监测结果如下（监测断面详见附件2）：</w:t>
            </w:r>
          </w:p>
          <w:p>
            <w:pPr>
              <w:pStyle w:val="14"/>
              <w:ind w:firstLine="470"/>
              <w:rPr>
                <w:rFonts w:ascii="宋体" w:hAnsi="宋体" w:cs="Arial"/>
                <w:color w:val="auto"/>
                <w:sz w:val="21"/>
                <w:szCs w:val="21"/>
              </w:rPr>
            </w:pPr>
            <w:r>
              <w:rPr>
                <w:rFonts w:hint="eastAsia" w:cs="Arial"/>
                <w:color w:val="auto"/>
                <w:sz w:val="21"/>
                <w:szCs w:val="21"/>
              </w:rPr>
              <w:t xml:space="preserve">            表</w:t>
            </w:r>
            <w:r>
              <w:rPr>
                <w:b w:val="0"/>
                <w:color w:val="auto"/>
                <w:sz w:val="21"/>
                <w:szCs w:val="21"/>
              </w:rPr>
              <w:fldChar w:fldCharType="begin"/>
            </w:r>
            <w:r>
              <w:rPr>
                <w:b w:val="0"/>
                <w:color w:val="auto"/>
                <w:sz w:val="21"/>
                <w:szCs w:val="21"/>
              </w:rPr>
              <w:instrText xml:space="preserve"> </w:instrText>
            </w:r>
            <w:r>
              <w:rPr>
                <w:rFonts w:hint="eastAsia"/>
                <w:b w:val="0"/>
                <w:color w:val="auto"/>
                <w:sz w:val="21"/>
                <w:szCs w:val="21"/>
              </w:rPr>
              <w:instrText xml:space="preserve">SEQ 表 \* ARABIC</w:instrText>
            </w:r>
            <w:r>
              <w:rPr>
                <w:b w:val="0"/>
                <w:color w:val="auto"/>
                <w:sz w:val="21"/>
                <w:szCs w:val="21"/>
              </w:rPr>
              <w:instrText xml:space="preserve"> </w:instrText>
            </w:r>
            <w:r>
              <w:rPr>
                <w:b w:val="0"/>
                <w:color w:val="auto"/>
                <w:sz w:val="21"/>
                <w:szCs w:val="21"/>
              </w:rPr>
              <w:fldChar w:fldCharType="separate"/>
            </w:r>
            <w:r>
              <w:rPr>
                <w:b w:val="0"/>
                <w:color w:val="auto"/>
                <w:sz w:val="21"/>
                <w:szCs w:val="21"/>
              </w:rPr>
              <w:t>3</w:t>
            </w:r>
            <w:r>
              <w:rPr>
                <w:b w:val="0"/>
                <w:color w:val="auto"/>
                <w:sz w:val="21"/>
                <w:szCs w:val="21"/>
              </w:rPr>
              <w:fldChar w:fldCharType="end"/>
            </w:r>
            <w:r>
              <w:rPr>
                <w:rFonts w:cs="Arial"/>
                <w:color w:val="auto"/>
                <w:sz w:val="21"/>
                <w:szCs w:val="21"/>
              </w:rPr>
              <w:t xml:space="preserve">  </w:t>
            </w:r>
            <w:r>
              <w:rPr>
                <w:rFonts w:hint="eastAsia" w:ascii="宋体" w:hAnsi="宋体" w:cs="Arial"/>
                <w:color w:val="auto"/>
                <w:sz w:val="21"/>
                <w:szCs w:val="21"/>
              </w:rPr>
              <w:t>项目所在地水质监测数据     单位：</w:t>
            </w:r>
            <w:r>
              <w:rPr>
                <w:rFonts w:cs="Arial"/>
                <w:color w:val="auto"/>
                <w:sz w:val="21"/>
                <w:szCs w:val="21"/>
              </w:rPr>
              <w:t>mg/L</w:t>
            </w:r>
            <w:r>
              <w:rPr>
                <w:rFonts w:hint="eastAsia" w:ascii="宋体" w:hAnsi="宋体" w:cs="Arial"/>
                <w:color w:val="auto"/>
                <w:sz w:val="21"/>
                <w:szCs w:val="21"/>
              </w:rPr>
              <w:t>（除pH外）</w:t>
            </w:r>
          </w:p>
          <w:tbl>
            <w:tblPr>
              <w:tblStyle w:val="118"/>
              <w:tblW w:w="0" w:type="auto"/>
              <w:tblInd w:w="0" w:type="dxa"/>
              <w:tblLayout w:type="fixed"/>
              <w:tblCellMar>
                <w:top w:w="0" w:type="dxa"/>
                <w:left w:w="0" w:type="dxa"/>
                <w:bottom w:w="0" w:type="dxa"/>
                <w:right w:w="0" w:type="dxa"/>
              </w:tblCellMar>
            </w:tblPr>
            <w:tblGrid>
              <w:gridCol w:w="1129"/>
              <w:gridCol w:w="1985"/>
              <w:gridCol w:w="1276"/>
              <w:gridCol w:w="1134"/>
              <w:gridCol w:w="1134"/>
              <w:gridCol w:w="1037"/>
              <w:gridCol w:w="968"/>
            </w:tblGrid>
            <w:tr>
              <w:tblPrEx>
                <w:tblCellMar>
                  <w:top w:w="0" w:type="dxa"/>
                  <w:left w:w="0" w:type="dxa"/>
                  <w:bottom w:w="0" w:type="dxa"/>
                  <w:right w:w="0" w:type="dxa"/>
                </w:tblCellMar>
              </w:tblPrEx>
              <w:trPr>
                <w:trHeight w:val="470" w:hRule="exact"/>
              </w:trPr>
              <w:tc>
                <w:tcPr>
                  <w:tcW w:w="1129" w:type="dxa"/>
                  <w:vMerge w:val="restart"/>
                  <w:tcBorders>
                    <w:top w:val="single" w:color="000000" w:sz="4" w:space="0"/>
                    <w:left w:val="single" w:color="000000" w:sz="4" w:space="0"/>
                    <w:right w:val="single" w:color="000000" w:sz="4" w:space="0"/>
                  </w:tcBorders>
                  <w:vAlign w:val="center"/>
                </w:tcPr>
                <w:p>
                  <w:pPr>
                    <w:pStyle w:val="119"/>
                    <w:jc w:val="center"/>
                    <w:rPr>
                      <w:rFonts w:ascii="Times New Roman" w:hAnsi="Times New Roman"/>
                      <w:b/>
                      <w:bCs/>
                      <w:color w:val="auto"/>
                      <w:sz w:val="21"/>
                      <w:szCs w:val="21"/>
                      <w:lang w:eastAsia="zh-CN"/>
                    </w:rPr>
                  </w:pPr>
                  <w:r>
                    <w:rPr>
                      <w:rFonts w:ascii="Times New Roman" w:hAnsi="Times New Roman"/>
                      <w:b/>
                      <w:bCs/>
                      <w:color w:val="auto"/>
                      <w:sz w:val="21"/>
                      <w:szCs w:val="21"/>
                      <w:lang w:eastAsia="zh-CN"/>
                    </w:rPr>
                    <w:t>采样点位</w:t>
                  </w:r>
                </w:p>
              </w:tc>
              <w:tc>
                <w:tcPr>
                  <w:tcW w:w="1985" w:type="dxa"/>
                  <w:vMerge w:val="restart"/>
                  <w:tcBorders>
                    <w:top w:val="single" w:color="000000" w:sz="4" w:space="0"/>
                    <w:left w:val="single" w:color="000000" w:sz="4" w:space="0"/>
                    <w:right w:val="single" w:color="000000" w:sz="4" w:space="0"/>
                  </w:tcBorders>
                  <w:vAlign w:val="center"/>
                </w:tcPr>
                <w:p>
                  <w:pPr>
                    <w:pStyle w:val="119"/>
                    <w:jc w:val="center"/>
                    <w:rPr>
                      <w:rFonts w:ascii="Times New Roman" w:hAnsi="Times New Roman"/>
                      <w:b/>
                      <w:bCs/>
                      <w:color w:val="auto"/>
                      <w:sz w:val="21"/>
                      <w:szCs w:val="21"/>
                      <w:lang w:eastAsia="zh-CN"/>
                    </w:rPr>
                  </w:pPr>
                  <w:r>
                    <w:rPr>
                      <w:rFonts w:ascii="Times New Roman" w:hAnsi="Times New Roman"/>
                      <w:b/>
                      <w:bCs/>
                      <w:color w:val="auto"/>
                      <w:sz w:val="21"/>
                      <w:szCs w:val="21"/>
                      <w:lang w:eastAsia="zh-CN"/>
                    </w:rPr>
                    <w:t>检测项目</w:t>
                  </w:r>
                </w:p>
              </w:tc>
              <w:tc>
                <w:tcPr>
                  <w:tcW w:w="3544" w:type="dxa"/>
                  <w:gridSpan w:val="3"/>
                  <w:tcBorders>
                    <w:top w:val="single" w:color="000000" w:sz="4" w:space="0"/>
                    <w:left w:val="single" w:color="000000" w:sz="4" w:space="0"/>
                    <w:bottom w:val="single" w:color="000000" w:sz="4" w:space="0"/>
                    <w:right w:val="single" w:color="000000" w:sz="4" w:space="0"/>
                  </w:tcBorders>
                  <w:vAlign w:val="center"/>
                </w:tcPr>
                <w:p>
                  <w:pPr>
                    <w:pStyle w:val="119"/>
                    <w:spacing w:before="64"/>
                    <w:ind w:left="2"/>
                    <w:jc w:val="center"/>
                    <w:rPr>
                      <w:rFonts w:ascii="Times New Roman" w:hAnsi="Times New Roman"/>
                      <w:b/>
                      <w:bCs/>
                      <w:color w:val="auto"/>
                      <w:sz w:val="21"/>
                      <w:szCs w:val="21"/>
                      <w:lang w:eastAsia="zh-CN"/>
                    </w:rPr>
                  </w:pPr>
                  <w:r>
                    <w:rPr>
                      <w:rFonts w:ascii="Times New Roman" w:hAnsi="Times New Roman"/>
                      <w:b/>
                      <w:bCs/>
                      <w:color w:val="auto"/>
                      <w:sz w:val="21"/>
                      <w:szCs w:val="21"/>
                      <w:lang w:eastAsia="zh-CN"/>
                    </w:rPr>
                    <w:t>检测结果</w:t>
                  </w:r>
                </w:p>
              </w:tc>
              <w:tc>
                <w:tcPr>
                  <w:tcW w:w="1037" w:type="dxa"/>
                  <w:vMerge w:val="restart"/>
                  <w:tcBorders>
                    <w:top w:val="single" w:color="000000" w:sz="4" w:space="0"/>
                    <w:left w:val="single" w:color="000000" w:sz="4" w:space="0"/>
                    <w:right w:val="single" w:color="000000" w:sz="4" w:space="0"/>
                  </w:tcBorders>
                  <w:vAlign w:val="center"/>
                </w:tcPr>
                <w:p>
                  <w:pPr>
                    <w:pStyle w:val="119"/>
                    <w:spacing w:before="148" w:line="273" w:lineRule="auto"/>
                    <w:ind w:left="199" w:right="192"/>
                    <w:rPr>
                      <w:rFonts w:ascii="Times New Roman" w:hAnsi="Times New Roman"/>
                      <w:b/>
                      <w:bCs/>
                      <w:color w:val="auto"/>
                      <w:sz w:val="21"/>
                      <w:szCs w:val="21"/>
                      <w:lang w:eastAsia="zh-CN"/>
                    </w:rPr>
                  </w:pPr>
                  <w:r>
                    <w:rPr>
                      <w:rFonts w:ascii="Times New Roman" w:hAnsi="Times New Roman"/>
                      <w:b/>
                      <w:bCs/>
                      <w:color w:val="auto"/>
                      <w:sz w:val="21"/>
                      <w:szCs w:val="21"/>
                      <w:lang w:eastAsia="zh-CN"/>
                    </w:rPr>
                    <w:t>评价标准限值</w:t>
                  </w:r>
                </w:p>
              </w:tc>
              <w:tc>
                <w:tcPr>
                  <w:tcW w:w="968" w:type="dxa"/>
                  <w:vMerge w:val="restart"/>
                  <w:tcBorders>
                    <w:top w:val="single" w:color="000000" w:sz="4" w:space="0"/>
                    <w:left w:val="single" w:color="000000" w:sz="4" w:space="0"/>
                    <w:right w:val="single" w:color="000000" w:sz="4" w:space="0"/>
                  </w:tcBorders>
                  <w:vAlign w:val="center"/>
                </w:tcPr>
                <w:p>
                  <w:pPr>
                    <w:pStyle w:val="119"/>
                    <w:ind w:left="314"/>
                    <w:rPr>
                      <w:rFonts w:ascii="Times New Roman" w:hAnsi="Times New Roman"/>
                      <w:b/>
                      <w:bCs/>
                      <w:color w:val="auto"/>
                      <w:sz w:val="21"/>
                      <w:szCs w:val="21"/>
                      <w:lang w:eastAsia="zh-CN"/>
                    </w:rPr>
                  </w:pPr>
                  <w:r>
                    <w:rPr>
                      <w:rFonts w:ascii="Times New Roman" w:hAnsi="Times New Roman"/>
                      <w:b/>
                      <w:bCs/>
                      <w:color w:val="auto"/>
                      <w:sz w:val="21"/>
                      <w:szCs w:val="21"/>
                      <w:lang w:eastAsia="zh-CN"/>
                    </w:rPr>
                    <w:t>单位</w:t>
                  </w:r>
                </w:p>
              </w:tc>
            </w:tr>
            <w:tr>
              <w:tblPrEx>
                <w:tblCellMar>
                  <w:top w:w="0" w:type="dxa"/>
                  <w:left w:w="0" w:type="dxa"/>
                  <w:bottom w:w="0" w:type="dxa"/>
                  <w:right w:w="0" w:type="dxa"/>
                </w:tblCellMar>
              </w:tblPrEx>
              <w:trPr>
                <w:trHeight w:val="470" w:hRule="exact"/>
              </w:trPr>
              <w:tc>
                <w:tcPr>
                  <w:tcW w:w="1129" w:type="dxa"/>
                  <w:vMerge w:val="continue"/>
                  <w:tcBorders>
                    <w:left w:val="single" w:color="000000" w:sz="4" w:space="0"/>
                    <w:bottom w:val="single" w:color="000000" w:sz="4" w:space="0"/>
                    <w:right w:val="single" w:color="000000" w:sz="4" w:space="0"/>
                  </w:tcBorders>
                  <w:vAlign w:val="center"/>
                </w:tcPr>
                <w:p>
                  <w:pPr>
                    <w:pStyle w:val="119"/>
                    <w:jc w:val="center"/>
                    <w:rPr>
                      <w:rFonts w:ascii="Times New Roman" w:hAnsi="Times New Roman"/>
                      <w:b/>
                      <w:bCs/>
                      <w:color w:val="auto"/>
                      <w:sz w:val="21"/>
                      <w:szCs w:val="21"/>
                      <w:lang w:eastAsia="zh-CN"/>
                    </w:rPr>
                  </w:pPr>
                </w:p>
              </w:tc>
              <w:tc>
                <w:tcPr>
                  <w:tcW w:w="1985" w:type="dxa"/>
                  <w:vMerge w:val="continue"/>
                  <w:tcBorders>
                    <w:left w:val="single" w:color="000000" w:sz="4" w:space="0"/>
                    <w:bottom w:val="single" w:color="000000" w:sz="4" w:space="0"/>
                    <w:right w:val="single" w:color="000000" w:sz="4" w:space="0"/>
                  </w:tcBorders>
                  <w:vAlign w:val="center"/>
                </w:tcPr>
                <w:p>
                  <w:pPr>
                    <w:pStyle w:val="119"/>
                    <w:jc w:val="center"/>
                    <w:rPr>
                      <w:rFonts w:ascii="Times New Roman" w:hAnsi="Times New Roman"/>
                      <w:b/>
                      <w:bCs/>
                      <w:color w:val="auto"/>
                      <w:sz w:val="21"/>
                      <w:szCs w:val="21"/>
                      <w:lang w:eastAsia="zh-CN"/>
                    </w:rPr>
                  </w:pPr>
                </w:p>
              </w:tc>
              <w:tc>
                <w:tcPr>
                  <w:tcW w:w="1276"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b/>
                      <w:bCs/>
                      <w:color w:val="auto"/>
                      <w:sz w:val="21"/>
                      <w:szCs w:val="21"/>
                      <w:lang w:eastAsia="zh-CN"/>
                    </w:rPr>
                  </w:pPr>
                  <w:r>
                    <w:rPr>
                      <w:rFonts w:ascii="Times New Roman" w:hAnsi="Times New Roman"/>
                      <w:b/>
                      <w:bCs/>
                      <w:color w:val="auto"/>
                      <w:sz w:val="21"/>
                      <w:szCs w:val="21"/>
                      <w:lang w:eastAsia="zh-CN"/>
                    </w:rPr>
                    <w:t>2020.05.25</w:t>
                  </w: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b/>
                      <w:bCs/>
                      <w:color w:val="auto"/>
                      <w:sz w:val="21"/>
                      <w:szCs w:val="21"/>
                      <w:lang w:eastAsia="zh-CN"/>
                    </w:rPr>
                  </w:pPr>
                  <w:r>
                    <w:rPr>
                      <w:rFonts w:ascii="Times New Roman" w:hAnsi="Times New Roman"/>
                      <w:b/>
                      <w:bCs/>
                      <w:color w:val="auto"/>
                      <w:sz w:val="21"/>
                      <w:szCs w:val="21"/>
                      <w:lang w:eastAsia="zh-CN"/>
                    </w:rPr>
                    <w:t>2020.05.26</w:t>
                  </w: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b/>
                      <w:bCs/>
                      <w:color w:val="auto"/>
                      <w:sz w:val="21"/>
                      <w:szCs w:val="21"/>
                      <w:lang w:eastAsia="zh-CN"/>
                    </w:rPr>
                  </w:pPr>
                  <w:r>
                    <w:rPr>
                      <w:rFonts w:ascii="Times New Roman" w:hAnsi="Times New Roman"/>
                      <w:b/>
                      <w:bCs/>
                      <w:color w:val="auto"/>
                      <w:sz w:val="21"/>
                      <w:szCs w:val="21"/>
                      <w:lang w:eastAsia="zh-CN"/>
                    </w:rPr>
                    <w:t>2020.05.27</w:t>
                  </w:r>
                </w:p>
              </w:tc>
              <w:tc>
                <w:tcPr>
                  <w:tcW w:w="1037" w:type="dxa"/>
                  <w:vMerge w:val="continue"/>
                  <w:tcBorders>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p>
              </w:tc>
              <w:tc>
                <w:tcPr>
                  <w:tcW w:w="968" w:type="dxa"/>
                  <w:vMerge w:val="continue"/>
                  <w:tcBorders>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p>
              </w:tc>
            </w:tr>
            <w:tr>
              <w:tblPrEx>
                <w:tblCellMar>
                  <w:top w:w="0" w:type="dxa"/>
                  <w:left w:w="0" w:type="dxa"/>
                  <w:bottom w:w="0" w:type="dxa"/>
                  <w:right w:w="0" w:type="dxa"/>
                </w:tblCellMar>
              </w:tblPrEx>
              <w:trPr>
                <w:trHeight w:val="470" w:hRule="exact"/>
              </w:trPr>
              <w:tc>
                <w:tcPr>
                  <w:tcW w:w="1129" w:type="dxa"/>
                  <w:vMerge w:val="restart"/>
                  <w:tcBorders>
                    <w:top w:val="single" w:color="000000" w:sz="4" w:space="0"/>
                    <w:left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W1周溪河</w:t>
                  </w:r>
                </w:p>
              </w:tc>
              <w:tc>
                <w:tcPr>
                  <w:tcW w:w="1985" w:type="dxa"/>
                  <w:tcBorders>
                    <w:top w:val="single" w:color="000000" w:sz="4" w:space="0"/>
                    <w:left w:val="single" w:color="000000" w:sz="4" w:space="0"/>
                    <w:bottom w:val="single" w:color="000000" w:sz="4" w:space="0"/>
                    <w:right w:val="single" w:color="000000" w:sz="4" w:space="0"/>
                  </w:tcBorders>
                  <w:vAlign w:val="center"/>
                </w:tcPr>
                <w:p>
                  <w:pPr>
                    <w:pStyle w:val="119"/>
                    <w:spacing w:before="111"/>
                    <w:jc w:val="center"/>
                    <w:rPr>
                      <w:rFonts w:ascii="Times New Roman" w:hAnsi="Times New Roman"/>
                      <w:color w:val="auto"/>
                      <w:sz w:val="21"/>
                      <w:szCs w:val="21"/>
                      <w:lang w:eastAsia="zh-CN"/>
                    </w:rPr>
                  </w:pPr>
                  <w:r>
                    <w:rPr>
                      <w:rFonts w:ascii="Times New Roman" w:hAnsi="Times New Roman"/>
                      <w:color w:val="auto"/>
                      <w:sz w:val="21"/>
                      <w:szCs w:val="21"/>
                      <w:lang w:eastAsia="zh-CN"/>
                    </w:rPr>
                    <w:t>pH</w:t>
                  </w:r>
                </w:p>
              </w:tc>
              <w:tc>
                <w:tcPr>
                  <w:tcW w:w="1276" w:type="dxa"/>
                  <w:tcBorders>
                    <w:top w:val="single" w:color="000000" w:sz="4" w:space="0"/>
                    <w:left w:val="single" w:color="000000" w:sz="4" w:space="0"/>
                    <w:bottom w:val="single" w:color="000000" w:sz="4" w:space="0"/>
                    <w:right w:val="single" w:color="000000" w:sz="4" w:space="0"/>
                  </w:tcBorders>
                  <w:vAlign w:val="center"/>
                </w:tcPr>
                <w:p>
                  <w:pPr>
                    <w:pStyle w:val="119"/>
                    <w:spacing w:before="111"/>
                    <w:jc w:val="center"/>
                    <w:rPr>
                      <w:rFonts w:ascii="Times New Roman" w:hAnsi="Times New Roman"/>
                      <w:color w:val="auto"/>
                      <w:sz w:val="21"/>
                      <w:szCs w:val="21"/>
                      <w:lang w:eastAsia="zh-CN"/>
                    </w:rPr>
                  </w:pPr>
                  <w:r>
                    <w:rPr>
                      <w:rFonts w:ascii="Times New Roman" w:hAnsi="Times New Roman"/>
                      <w:color w:val="auto"/>
                      <w:sz w:val="21"/>
                      <w:szCs w:val="21"/>
                      <w:lang w:eastAsia="zh-CN"/>
                    </w:rPr>
                    <w:t>7.31</w:t>
                  </w: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119"/>
                    <w:spacing w:before="111"/>
                    <w:jc w:val="center"/>
                    <w:rPr>
                      <w:rFonts w:ascii="Times New Roman" w:hAnsi="Times New Roman"/>
                      <w:color w:val="auto"/>
                      <w:sz w:val="21"/>
                      <w:szCs w:val="21"/>
                      <w:lang w:eastAsia="zh-CN"/>
                    </w:rPr>
                  </w:pPr>
                  <w:r>
                    <w:rPr>
                      <w:rFonts w:ascii="Times New Roman" w:hAnsi="Times New Roman"/>
                      <w:color w:val="auto"/>
                      <w:sz w:val="21"/>
                      <w:szCs w:val="21"/>
                      <w:lang w:eastAsia="zh-CN"/>
                    </w:rPr>
                    <w:t>7.32</w:t>
                  </w: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119"/>
                    <w:spacing w:before="111"/>
                    <w:jc w:val="center"/>
                    <w:rPr>
                      <w:rFonts w:ascii="Times New Roman" w:hAnsi="Times New Roman"/>
                      <w:color w:val="auto"/>
                      <w:sz w:val="21"/>
                      <w:szCs w:val="21"/>
                      <w:lang w:eastAsia="zh-CN"/>
                    </w:rPr>
                  </w:pPr>
                  <w:r>
                    <w:rPr>
                      <w:rFonts w:ascii="Times New Roman" w:hAnsi="Times New Roman"/>
                      <w:color w:val="auto"/>
                      <w:sz w:val="21"/>
                      <w:szCs w:val="21"/>
                      <w:lang w:eastAsia="zh-CN"/>
                    </w:rPr>
                    <w:t>7.29</w:t>
                  </w:r>
                </w:p>
              </w:tc>
              <w:tc>
                <w:tcPr>
                  <w:tcW w:w="1037" w:type="dxa"/>
                  <w:tcBorders>
                    <w:top w:val="single" w:color="000000" w:sz="4" w:space="0"/>
                    <w:left w:val="single" w:color="000000" w:sz="4" w:space="0"/>
                    <w:bottom w:val="single" w:color="000000" w:sz="4" w:space="0"/>
                    <w:right w:val="single" w:color="000000" w:sz="4" w:space="0"/>
                  </w:tcBorders>
                  <w:vAlign w:val="center"/>
                </w:tcPr>
                <w:p>
                  <w:pPr>
                    <w:pStyle w:val="119"/>
                    <w:spacing w:before="111"/>
                    <w:jc w:val="center"/>
                    <w:rPr>
                      <w:rFonts w:ascii="Times New Roman" w:hAnsi="Times New Roman"/>
                      <w:color w:val="auto"/>
                      <w:sz w:val="21"/>
                      <w:szCs w:val="21"/>
                      <w:lang w:eastAsia="zh-CN"/>
                    </w:rPr>
                  </w:pPr>
                  <w:r>
                    <w:rPr>
                      <w:rFonts w:ascii="Times New Roman" w:hAnsi="Times New Roman"/>
                      <w:color w:val="auto"/>
                      <w:sz w:val="21"/>
                      <w:szCs w:val="21"/>
                      <w:lang w:eastAsia="zh-CN"/>
                    </w:rPr>
                    <w:t>6~9</w:t>
                  </w:r>
                </w:p>
              </w:tc>
              <w:tc>
                <w:tcPr>
                  <w:tcW w:w="968" w:type="dxa"/>
                  <w:tcBorders>
                    <w:top w:val="single" w:color="000000" w:sz="4" w:space="0"/>
                    <w:left w:val="single" w:color="000000" w:sz="4" w:space="0"/>
                    <w:bottom w:val="single" w:color="000000" w:sz="4" w:space="0"/>
                    <w:right w:val="single" w:color="000000" w:sz="4" w:space="0"/>
                  </w:tcBorders>
                  <w:vAlign w:val="center"/>
                </w:tcPr>
                <w:p>
                  <w:pPr>
                    <w:pStyle w:val="119"/>
                    <w:spacing w:before="66"/>
                    <w:jc w:val="center"/>
                    <w:rPr>
                      <w:rFonts w:ascii="Times New Roman" w:hAnsi="Times New Roman"/>
                      <w:color w:val="auto"/>
                      <w:sz w:val="21"/>
                      <w:szCs w:val="21"/>
                      <w:lang w:eastAsia="zh-CN"/>
                    </w:rPr>
                  </w:pPr>
                  <w:r>
                    <w:rPr>
                      <w:rFonts w:ascii="Times New Roman" w:hAnsi="Times New Roman"/>
                      <w:color w:val="auto"/>
                      <w:sz w:val="21"/>
                      <w:szCs w:val="21"/>
                      <w:lang w:eastAsia="zh-CN"/>
                    </w:rPr>
                    <w:t>无量纲</w:t>
                  </w:r>
                </w:p>
              </w:tc>
            </w:tr>
            <w:tr>
              <w:tblPrEx>
                <w:tblCellMar>
                  <w:top w:w="0" w:type="dxa"/>
                  <w:left w:w="0" w:type="dxa"/>
                  <w:bottom w:w="0" w:type="dxa"/>
                  <w:right w:w="0" w:type="dxa"/>
                </w:tblCellMar>
              </w:tblPrEx>
              <w:trPr>
                <w:trHeight w:val="472" w:hRule="exact"/>
              </w:trPr>
              <w:tc>
                <w:tcPr>
                  <w:tcW w:w="1129" w:type="dxa"/>
                  <w:vMerge w:val="continue"/>
                  <w:tcBorders>
                    <w:left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p>
              </w:tc>
              <w:tc>
                <w:tcPr>
                  <w:tcW w:w="1985"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溶解氧</w:t>
                  </w:r>
                </w:p>
              </w:tc>
              <w:tc>
                <w:tcPr>
                  <w:tcW w:w="1276"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5.5</w:t>
                  </w: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5.4</w:t>
                  </w: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5.6</w:t>
                  </w:r>
                </w:p>
              </w:tc>
              <w:tc>
                <w:tcPr>
                  <w:tcW w:w="1037"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≥5</w:t>
                  </w:r>
                </w:p>
              </w:tc>
              <w:tc>
                <w:tcPr>
                  <w:tcW w:w="968"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mg/L</w:t>
                  </w:r>
                </w:p>
              </w:tc>
            </w:tr>
            <w:tr>
              <w:tblPrEx>
                <w:tblCellMar>
                  <w:top w:w="0" w:type="dxa"/>
                  <w:left w:w="0" w:type="dxa"/>
                  <w:bottom w:w="0" w:type="dxa"/>
                  <w:right w:w="0" w:type="dxa"/>
                </w:tblCellMar>
              </w:tblPrEx>
              <w:trPr>
                <w:trHeight w:val="470" w:hRule="exact"/>
              </w:trPr>
              <w:tc>
                <w:tcPr>
                  <w:tcW w:w="1129" w:type="dxa"/>
                  <w:vMerge w:val="continue"/>
                  <w:tcBorders>
                    <w:left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p>
              </w:tc>
              <w:tc>
                <w:tcPr>
                  <w:tcW w:w="1985"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化学需氧量</w:t>
                  </w:r>
                </w:p>
              </w:tc>
              <w:tc>
                <w:tcPr>
                  <w:tcW w:w="1276"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8</w:t>
                  </w: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11</w:t>
                  </w: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11</w:t>
                  </w:r>
                </w:p>
              </w:tc>
              <w:tc>
                <w:tcPr>
                  <w:tcW w:w="1037"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20</w:t>
                  </w:r>
                </w:p>
              </w:tc>
              <w:tc>
                <w:tcPr>
                  <w:tcW w:w="968"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mg/L</w:t>
                  </w:r>
                </w:p>
              </w:tc>
            </w:tr>
            <w:tr>
              <w:tblPrEx>
                <w:tblCellMar>
                  <w:top w:w="0" w:type="dxa"/>
                  <w:left w:w="0" w:type="dxa"/>
                  <w:bottom w:w="0" w:type="dxa"/>
                  <w:right w:w="0" w:type="dxa"/>
                </w:tblCellMar>
              </w:tblPrEx>
              <w:trPr>
                <w:trHeight w:val="470" w:hRule="exact"/>
              </w:trPr>
              <w:tc>
                <w:tcPr>
                  <w:tcW w:w="1129" w:type="dxa"/>
                  <w:vMerge w:val="continue"/>
                  <w:tcBorders>
                    <w:left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p>
              </w:tc>
              <w:tc>
                <w:tcPr>
                  <w:tcW w:w="1985"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五日生化需氧量</w:t>
                  </w:r>
                </w:p>
              </w:tc>
              <w:tc>
                <w:tcPr>
                  <w:tcW w:w="1276"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2.1</w:t>
                  </w: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2.8</w:t>
                  </w: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2.6</w:t>
                  </w:r>
                </w:p>
              </w:tc>
              <w:tc>
                <w:tcPr>
                  <w:tcW w:w="1037"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4</w:t>
                  </w:r>
                </w:p>
              </w:tc>
              <w:tc>
                <w:tcPr>
                  <w:tcW w:w="968"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mg/L</w:t>
                  </w:r>
                </w:p>
              </w:tc>
            </w:tr>
            <w:tr>
              <w:tblPrEx>
                <w:tblCellMar>
                  <w:top w:w="0" w:type="dxa"/>
                  <w:left w:w="0" w:type="dxa"/>
                  <w:bottom w:w="0" w:type="dxa"/>
                  <w:right w:w="0" w:type="dxa"/>
                </w:tblCellMar>
              </w:tblPrEx>
              <w:trPr>
                <w:trHeight w:val="470" w:hRule="exact"/>
              </w:trPr>
              <w:tc>
                <w:tcPr>
                  <w:tcW w:w="1129" w:type="dxa"/>
                  <w:vMerge w:val="continue"/>
                  <w:tcBorders>
                    <w:left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p>
              </w:tc>
              <w:tc>
                <w:tcPr>
                  <w:tcW w:w="1985"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悬浮物</w:t>
                  </w:r>
                </w:p>
              </w:tc>
              <w:tc>
                <w:tcPr>
                  <w:tcW w:w="1276"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17</w:t>
                  </w: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13</w:t>
                  </w: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15</w:t>
                  </w:r>
                </w:p>
              </w:tc>
              <w:tc>
                <w:tcPr>
                  <w:tcW w:w="1037"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w:t>
                  </w:r>
                </w:p>
              </w:tc>
              <w:tc>
                <w:tcPr>
                  <w:tcW w:w="968"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mg/L</w:t>
                  </w:r>
                </w:p>
              </w:tc>
            </w:tr>
            <w:tr>
              <w:tblPrEx>
                <w:tblCellMar>
                  <w:top w:w="0" w:type="dxa"/>
                  <w:left w:w="0" w:type="dxa"/>
                  <w:bottom w:w="0" w:type="dxa"/>
                  <w:right w:w="0" w:type="dxa"/>
                </w:tblCellMar>
              </w:tblPrEx>
              <w:trPr>
                <w:trHeight w:val="470" w:hRule="exact"/>
              </w:trPr>
              <w:tc>
                <w:tcPr>
                  <w:tcW w:w="1129" w:type="dxa"/>
                  <w:vMerge w:val="continue"/>
                  <w:tcBorders>
                    <w:left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p>
              </w:tc>
              <w:tc>
                <w:tcPr>
                  <w:tcW w:w="1985"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氨氮</w:t>
                  </w:r>
                </w:p>
              </w:tc>
              <w:tc>
                <w:tcPr>
                  <w:tcW w:w="1276"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0.252</w:t>
                  </w: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0.262</w:t>
                  </w: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0.223</w:t>
                  </w:r>
                </w:p>
              </w:tc>
              <w:tc>
                <w:tcPr>
                  <w:tcW w:w="1037"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1.0</w:t>
                  </w:r>
                </w:p>
              </w:tc>
              <w:tc>
                <w:tcPr>
                  <w:tcW w:w="968"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mg/L</w:t>
                  </w:r>
                </w:p>
              </w:tc>
            </w:tr>
            <w:tr>
              <w:tblPrEx>
                <w:tblCellMar>
                  <w:top w:w="0" w:type="dxa"/>
                  <w:left w:w="0" w:type="dxa"/>
                  <w:bottom w:w="0" w:type="dxa"/>
                  <w:right w:w="0" w:type="dxa"/>
                </w:tblCellMar>
              </w:tblPrEx>
              <w:trPr>
                <w:trHeight w:val="470" w:hRule="exact"/>
              </w:trPr>
              <w:tc>
                <w:tcPr>
                  <w:tcW w:w="1129" w:type="dxa"/>
                  <w:vMerge w:val="continue"/>
                  <w:tcBorders>
                    <w:left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p>
              </w:tc>
              <w:tc>
                <w:tcPr>
                  <w:tcW w:w="1985"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总磷</w:t>
                  </w:r>
                </w:p>
              </w:tc>
              <w:tc>
                <w:tcPr>
                  <w:tcW w:w="1276"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0.09</w:t>
                  </w: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0.08</w:t>
                  </w: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0.08</w:t>
                  </w:r>
                </w:p>
              </w:tc>
              <w:tc>
                <w:tcPr>
                  <w:tcW w:w="1037"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0.2</w:t>
                  </w:r>
                </w:p>
              </w:tc>
              <w:tc>
                <w:tcPr>
                  <w:tcW w:w="968"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mg/L</w:t>
                  </w:r>
                </w:p>
              </w:tc>
            </w:tr>
            <w:tr>
              <w:tblPrEx>
                <w:tblCellMar>
                  <w:top w:w="0" w:type="dxa"/>
                  <w:left w:w="0" w:type="dxa"/>
                  <w:bottom w:w="0" w:type="dxa"/>
                  <w:right w:w="0" w:type="dxa"/>
                </w:tblCellMar>
              </w:tblPrEx>
              <w:trPr>
                <w:trHeight w:val="470" w:hRule="exact"/>
              </w:trPr>
              <w:tc>
                <w:tcPr>
                  <w:tcW w:w="1129" w:type="dxa"/>
                  <w:vMerge w:val="continue"/>
                  <w:tcBorders>
                    <w:left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p>
              </w:tc>
              <w:tc>
                <w:tcPr>
                  <w:tcW w:w="1985"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阴离子表面活性剂</w:t>
                  </w:r>
                </w:p>
              </w:tc>
              <w:tc>
                <w:tcPr>
                  <w:tcW w:w="1276"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ND</w:t>
                  </w: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ND</w:t>
                  </w: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ND</w:t>
                  </w:r>
                </w:p>
              </w:tc>
              <w:tc>
                <w:tcPr>
                  <w:tcW w:w="1037"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0.2</w:t>
                  </w:r>
                </w:p>
              </w:tc>
              <w:tc>
                <w:tcPr>
                  <w:tcW w:w="968"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mg/L</w:t>
                  </w:r>
                </w:p>
              </w:tc>
            </w:tr>
            <w:tr>
              <w:tblPrEx>
                <w:tblCellMar>
                  <w:top w:w="0" w:type="dxa"/>
                  <w:left w:w="0" w:type="dxa"/>
                  <w:bottom w:w="0" w:type="dxa"/>
                  <w:right w:w="0" w:type="dxa"/>
                </w:tblCellMar>
              </w:tblPrEx>
              <w:trPr>
                <w:trHeight w:val="472" w:hRule="exact"/>
              </w:trPr>
              <w:tc>
                <w:tcPr>
                  <w:tcW w:w="1129" w:type="dxa"/>
                  <w:vMerge w:val="continue"/>
                  <w:tcBorders>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p>
              </w:tc>
              <w:tc>
                <w:tcPr>
                  <w:tcW w:w="1985"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粪大肠菌群</w:t>
                  </w:r>
                </w:p>
              </w:tc>
              <w:tc>
                <w:tcPr>
                  <w:tcW w:w="1276"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2400</w:t>
                  </w: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3500</w:t>
                  </w: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3500</w:t>
                  </w:r>
                </w:p>
              </w:tc>
              <w:tc>
                <w:tcPr>
                  <w:tcW w:w="1037"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10000</w:t>
                  </w:r>
                </w:p>
              </w:tc>
              <w:tc>
                <w:tcPr>
                  <w:tcW w:w="968"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个/L</w:t>
                  </w:r>
                </w:p>
              </w:tc>
            </w:tr>
            <w:tr>
              <w:tblPrEx>
                <w:tblCellMar>
                  <w:top w:w="0" w:type="dxa"/>
                  <w:left w:w="0" w:type="dxa"/>
                  <w:bottom w:w="0" w:type="dxa"/>
                  <w:right w:w="0" w:type="dxa"/>
                </w:tblCellMar>
              </w:tblPrEx>
              <w:trPr>
                <w:trHeight w:val="470" w:hRule="exact"/>
              </w:trPr>
              <w:tc>
                <w:tcPr>
                  <w:tcW w:w="1129" w:type="dxa"/>
                  <w:vMerge w:val="restart"/>
                  <w:tcBorders>
                    <w:top w:val="single" w:color="000000" w:sz="4" w:space="0"/>
                    <w:left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W2周溪河</w:t>
                  </w:r>
                </w:p>
              </w:tc>
              <w:tc>
                <w:tcPr>
                  <w:tcW w:w="1985" w:type="dxa"/>
                  <w:tcBorders>
                    <w:top w:val="single" w:color="000000" w:sz="4" w:space="0"/>
                    <w:left w:val="single" w:color="000000" w:sz="4" w:space="0"/>
                    <w:bottom w:val="single" w:color="000000" w:sz="4" w:space="0"/>
                    <w:right w:val="single" w:color="000000" w:sz="4" w:space="0"/>
                  </w:tcBorders>
                  <w:vAlign w:val="center"/>
                </w:tcPr>
                <w:p>
                  <w:pPr>
                    <w:pStyle w:val="119"/>
                    <w:spacing w:before="111"/>
                    <w:jc w:val="center"/>
                    <w:rPr>
                      <w:rFonts w:ascii="Times New Roman" w:hAnsi="Times New Roman"/>
                      <w:color w:val="auto"/>
                      <w:sz w:val="21"/>
                      <w:szCs w:val="21"/>
                      <w:lang w:eastAsia="zh-CN"/>
                    </w:rPr>
                  </w:pPr>
                  <w:r>
                    <w:rPr>
                      <w:rFonts w:ascii="Times New Roman" w:hAnsi="Times New Roman"/>
                      <w:color w:val="auto"/>
                      <w:sz w:val="21"/>
                      <w:szCs w:val="21"/>
                      <w:lang w:eastAsia="zh-CN"/>
                    </w:rPr>
                    <w:t>pH</w:t>
                  </w:r>
                </w:p>
              </w:tc>
              <w:tc>
                <w:tcPr>
                  <w:tcW w:w="1276" w:type="dxa"/>
                  <w:tcBorders>
                    <w:top w:val="single" w:color="000000" w:sz="4" w:space="0"/>
                    <w:left w:val="single" w:color="000000" w:sz="4" w:space="0"/>
                    <w:bottom w:val="single" w:color="000000" w:sz="4" w:space="0"/>
                    <w:right w:val="single" w:color="000000" w:sz="4" w:space="0"/>
                  </w:tcBorders>
                  <w:vAlign w:val="center"/>
                </w:tcPr>
                <w:p>
                  <w:pPr>
                    <w:pStyle w:val="119"/>
                    <w:spacing w:before="111"/>
                    <w:jc w:val="center"/>
                    <w:rPr>
                      <w:rFonts w:ascii="Times New Roman" w:hAnsi="Times New Roman"/>
                      <w:color w:val="auto"/>
                      <w:sz w:val="21"/>
                      <w:szCs w:val="21"/>
                      <w:lang w:eastAsia="zh-CN"/>
                    </w:rPr>
                  </w:pPr>
                  <w:r>
                    <w:rPr>
                      <w:rFonts w:ascii="Times New Roman" w:hAnsi="Times New Roman"/>
                      <w:color w:val="auto"/>
                      <w:sz w:val="21"/>
                      <w:szCs w:val="21"/>
                      <w:lang w:eastAsia="zh-CN"/>
                    </w:rPr>
                    <w:t>7.29</w:t>
                  </w: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119"/>
                    <w:spacing w:before="111"/>
                    <w:jc w:val="center"/>
                    <w:rPr>
                      <w:rFonts w:ascii="Times New Roman" w:hAnsi="Times New Roman"/>
                      <w:color w:val="auto"/>
                      <w:sz w:val="21"/>
                      <w:szCs w:val="21"/>
                      <w:lang w:eastAsia="zh-CN"/>
                    </w:rPr>
                  </w:pPr>
                  <w:r>
                    <w:rPr>
                      <w:rFonts w:ascii="Times New Roman" w:hAnsi="Times New Roman"/>
                      <w:color w:val="auto"/>
                      <w:sz w:val="21"/>
                      <w:szCs w:val="21"/>
                      <w:lang w:eastAsia="zh-CN"/>
                    </w:rPr>
                    <w:t>7.30</w:t>
                  </w: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119"/>
                    <w:spacing w:before="111"/>
                    <w:jc w:val="center"/>
                    <w:rPr>
                      <w:rFonts w:ascii="Times New Roman" w:hAnsi="Times New Roman"/>
                      <w:color w:val="auto"/>
                      <w:sz w:val="21"/>
                      <w:szCs w:val="21"/>
                      <w:lang w:eastAsia="zh-CN"/>
                    </w:rPr>
                  </w:pPr>
                  <w:r>
                    <w:rPr>
                      <w:rFonts w:ascii="Times New Roman" w:hAnsi="Times New Roman"/>
                      <w:color w:val="auto"/>
                      <w:sz w:val="21"/>
                      <w:szCs w:val="21"/>
                      <w:lang w:eastAsia="zh-CN"/>
                    </w:rPr>
                    <w:t>7.25</w:t>
                  </w:r>
                </w:p>
              </w:tc>
              <w:tc>
                <w:tcPr>
                  <w:tcW w:w="1037" w:type="dxa"/>
                  <w:tcBorders>
                    <w:top w:val="single" w:color="000000" w:sz="4" w:space="0"/>
                    <w:left w:val="single" w:color="000000" w:sz="4" w:space="0"/>
                    <w:bottom w:val="single" w:color="000000" w:sz="4" w:space="0"/>
                    <w:right w:val="single" w:color="000000" w:sz="4" w:space="0"/>
                  </w:tcBorders>
                  <w:vAlign w:val="center"/>
                </w:tcPr>
                <w:p>
                  <w:pPr>
                    <w:pStyle w:val="119"/>
                    <w:spacing w:before="111"/>
                    <w:jc w:val="center"/>
                    <w:rPr>
                      <w:rFonts w:ascii="Times New Roman" w:hAnsi="Times New Roman"/>
                      <w:color w:val="auto"/>
                      <w:sz w:val="21"/>
                      <w:szCs w:val="21"/>
                      <w:lang w:eastAsia="zh-CN"/>
                    </w:rPr>
                  </w:pPr>
                  <w:r>
                    <w:rPr>
                      <w:rFonts w:ascii="Times New Roman" w:hAnsi="Times New Roman"/>
                      <w:color w:val="auto"/>
                      <w:sz w:val="21"/>
                      <w:szCs w:val="21"/>
                      <w:lang w:eastAsia="zh-CN"/>
                    </w:rPr>
                    <w:t>6~9</w:t>
                  </w:r>
                </w:p>
              </w:tc>
              <w:tc>
                <w:tcPr>
                  <w:tcW w:w="968" w:type="dxa"/>
                  <w:tcBorders>
                    <w:top w:val="single" w:color="000000" w:sz="4" w:space="0"/>
                    <w:left w:val="single" w:color="000000" w:sz="4" w:space="0"/>
                    <w:bottom w:val="single" w:color="000000" w:sz="4" w:space="0"/>
                    <w:right w:val="single" w:color="000000" w:sz="4" w:space="0"/>
                  </w:tcBorders>
                  <w:vAlign w:val="center"/>
                </w:tcPr>
                <w:p>
                  <w:pPr>
                    <w:pStyle w:val="119"/>
                    <w:spacing w:before="64"/>
                    <w:jc w:val="center"/>
                    <w:rPr>
                      <w:rFonts w:ascii="Times New Roman" w:hAnsi="Times New Roman"/>
                      <w:color w:val="auto"/>
                      <w:sz w:val="21"/>
                      <w:szCs w:val="21"/>
                      <w:lang w:eastAsia="zh-CN"/>
                    </w:rPr>
                  </w:pPr>
                  <w:r>
                    <w:rPr>
                      <w:rFonts w:ascii="Times New Roman" w:hAnsi="Times New Roman"/>
                      <w:color w:val="auto"/>
                      <w:sz w:val="21"/>
                      <w:szCs w:val="21"/>
                      <w:lang w:eastAsia="zh-CN"/>
                    </w:rPr>
                    <w:t>无量纲</w:t>
                  </w:r>
                </w:p>
              </w:tc>
            </w:tr>
            <w:tr>
              <w:tblPrEx>
                <w:tblCellMar>
                  <w:top w:w="0" w:type="dxa"/>
                  <w:left w:w="0" w:type="dxa"/>
                  <w:bottom w:w="0" w:type="dxa"/>
                  <w:right w:w="0" w:type="dxa"/>
                </w:tblCellMar>
              </w:tblPrEx>
              <w:trPr>
                <w:trHeight w:val="470" w:hRule="exact"/>
              </w:trPr>
              <w:tc>
                <w:tcPr>
                  <w:tcW w:w="1129" w:type="dxa"/>
                  <w:vMerge w:val="continue"/>
                  <w:tcBorders>
                    <w:left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p>
              </w:tc>
              <w:tc>
                <w:tcPr>
                  <w:tcW w:w="1985"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溶解氧</w:t>
                  </w:r>
                </w:p>
              </w:tc>
              <w:tc>
                <w:tcPr>
                  <w:tcW w:w="1276"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5.3</w:t>
                  </w: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5.2</w:t>
                  </w: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5.3</w:t>
                  </w:r>
                </w:p>
              </w:tc>
              <w:tc>
                <w:tcPr>
                  <w:tcW w:w="1037"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≥5</w:t>
                  </w:r>
                </w:p>
              </w:tc>
              <w:tc>
                <w:tcPr>
                  <w:tcW w:w="968"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mg/L</w:t>
                  </w:r>
                </w:p>
              </w:tc>
            </w:tr>
            <w:tr>
              <w:tblPrEx>
                <w:tblCellMar>
                  <w:top w:w="0" w:type="dxa"/>
                  <w:left w:w="0" w:type="dxa"/>
                  <w:bottom w:w="0" w:type="dxa"/>
                  <w:right w:w="0" w:type="dxa"/>
                </w:tblCellMar>
              </w:tblPrEx>
              <w:trPr>
                <w:trHeight w:val="470" w:hRule="exact"/>
              </w:trPr>
              <w:tc>
                <w:tcPr>
                  <w:tcW w:w="1129" w:type="dxa"/>
                  <w:vMerge w:val="continue"/>
                  <w:tcBorders>
                    <w:left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p>
              </w:tc>
              <w:tc>
                <w:tcPr>
                  <w:tcW w:w="1985"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化学需氧量</w:t>
                  </w:r>
                </w:p>
              </w:tc>
              <w:tc>
                <w:tcPr>
                  <w:tcW w:w="1276"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12</w:t>
                  </w: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13</w:t>
                  </w: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13</w:t>
                  </w:r>
                </w:p>
              </w:tc>
              <w:tc>
                <w:tcPr>
                  <w:tcW w:w="1037"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20</w:t>
                  </w:r>
                </w:p>
              </w:tc>
              <w:tc>
                <w:tcPr>
                  <w:tcW w:w="968"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mg/L</w:t>
                  </w:r>
                </w:p>
              </w:tc>
            </w:tr>
            <w:tr>
              <w:tblPrEx>
                <w:tblCellMar>
                  <w:top w:w="0" w:type="dxa"/>
                  <w:left w:w="0" w:type="dxa"/>
                  <w:bottom w:w="0" w:type="dxa"/>
                  <w:right w:w="0" w:type="dxa"/>
                </w:tblCellMar>
              </w:tblPrEx>
              <w:trPr>
                <w:trHeight w:val="470" w:hRule="exact"/>
              </w:trPr>
              <w:tc>
                <w:tcPr>
                  <w:tcW w:w="1129" w:type="dxa"/>
                  <w:vMerge w:val="continue"/>
                  <w:tcBorders>
                    <w:left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p>
              </w:tc>
              <w:tc>
                <w:tcPr>
                  <w:tcW w:w="1985"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五日生化需氧量</w:t>
                  </w:r>
                </w:p>
              </w:tc>
              <w:tc>
                <w:tcPr>
                  <w:tcW w:w="1276"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3.0</w:t>
                  </w: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3.3</w:t>
                  </w: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3.2</w:t>
                  </w:r>
                </w:p>
              </w:tc>
              <w:tc>
                <w:tcPr>
                  <w:tcW w:w="1037"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4</w:t>
                  </w:r>
                </w:p>
              </w:tc>
              <w:tc>
                <w:tcPr>
                  <w:tcW w:w="968"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mg/L</w:t>
                  </w:r>
                </w:p>
              </w:tc>
            </w:tr>
            <w:tr>
              <w:tblPrEx>
                <w:tblCellMar>
                  <w:top w:w="0" w:type="dxa"/>
                  <w:left w:w="0" w:type="dxa"/>
                  <w:bottom w:w="0" w:type="dxa"/>
                  <w:right w:w="0" w:type="dxa"/>
                </w:tblCellMar>
              </w:tblPrEx>
              <w:trPr>
                <w:trHeight w:val="470" w:hRule="exact"/>
              </w:trPr>
              <w:tc>
                <w:tcPr>
                  <w:tcW w:w="1129" w:type="dxa"/>
                  <w:vMerge w:val="continue"/>
                  <w:tcBorders>
                    <w:left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p>
              </w:tc>
              <w:tc>
                <w:tcPr>
                  <w:tcW w:w="1985"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悬浮物</w:t>
                  </w:r>
                </w:p>
              </w:tc>
              <w:tc>
                <w:tcPr>
                  <w:tcW w:w="1276"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26</w:t>
                  </w: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22</w:t>
                  </w: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25</w:t>
                  </w:r>
                </w:p>
              </w:tc>
              <w:tc>
                <w:tcPr>
                  <w:tcW w:w="1037"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w:t>
                  </w:r>
                </w:p>
              </w:tc>
              <w:tc>
                <w:tcPr>
                  <w:tcW w:w="968"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mg/L</w:t>
                  </w:r>
                </w:p>
              </w:tc>
            </w:tr>
            <w:tr>
              <w:tblPrEx>
                <w:tblCellMar>
                  <w:top w:w="0" w:type="dxa"/>
                  <w:left w:w="0" w:type="dxa"/>
                  <w:bottom w:w="0" w:type="dxa"/>
                  <w:right w:w="0" w:type="dxa"/>
                </w:tblCellMar>
              </w:tblPrEx>
              <w:trPr>
                <w:trHeight w:val="472" w:hRule="exact"/>
              </w:trPr>
              <w:tc>
                <w:tcPr>
                  <w:tcW w:w="1129" w:type="dxa"/>
                  <w:vMerge w:val="continue"/>
                  <w:tcBorders>
                    <w:left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p>
              </w:tc>
              <w:tc>
                <w:tcPr>
                  <w:tcW w:w="1985"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氨氮</w:t>
                  </w:r>
                </w:p>
              </w:tc>
              <w:tc>
                <w:tcPr>
                  <w:tcW w:w="1276"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0.413</w:t>
                  </w: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0.423</w:t>
                  </w: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0.403</w:t>
                  </w:r>
                </w:p>
              </w:tc>
              <w:tc>
                <w:tcPr>
                  <w:tcW w:w="1037"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1.0</w:t>
                  </w:r>
                </w:p>
              </w:tc>
              <w:tc>
                <w:tcPr>
                  <w:tcW w:w="968"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mg/L</w:t>
                  </w:r>
                </w:p>
              </w:tc>
            </w:tr>
            <w:tr>
              <w:tblPrEx>
                <w:tblCellMar>
                  <w:top w:w="0" w:type="dxa"/>
                  <w:left w:w="0" w:type="dxa"/>
                  <w:bottom w:w="0" w:type="dxa"/>
                  <w:right w:w="0" w:type="dxa"/>
                </w:tblCellMar>
              </w:tblPrEx>
              <w:trPr>
                <w:trHeight w:val="470" w:hRule="exact"/>
              </w:trPr>
              <w:tc>
                <w:tcPr>
                  <w:tcW w:w="1129" w:type="dxa"/>
                  <w:vMerge w:val="continue"/>
                  <w:tcBorders>
                    <w:left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p>
              </w:tc>
              <w:tc>
                <w:tcPr>
                  <w:tcW w:w="1985"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总磷</w:t>
                  </w:r>
                </w:p>
              </w:tc>
              <w:tc>
                <w:tcPr>
                  <w:tcW w:w="1276"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0.15</w:t>
                  </w: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0.12</w:t>
                  </w: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0.12</w:t>
                  </w:r>
                </w:p>
              </w:tc>
              <w:tc>
                <w:tcPr>
                  <w:tcW w:w="1037"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0.2</w:t>
                  </w:r>
                </w:p>
              </w:tc>
              <w:tc>
                <w:tcPr>
                  <w:tcW w:w="968"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mg/L</w:t>
                  </w:r>
                </w:p>
              </w:tc>
            </w:tr>
            <w:tr>
              <w:tblPrEx>
                <w:tblCellMar>
                  <w:top w:w="0" w:type="dxa"/>
                  <w:left w:w="0" w:type="dxa"/>
                  <w:bottom w:w="0" w:type="dxa"/>
                  <w:right w:w="0" w:type="dxa"/>
                </w:tblCellMar>
              </w:tblPrEx>
              <w:trPr>
                <w:trHeight w:val="470" w:hRule="exact"/>
              </w:trPr>
              <w:tc>
                <w:tcPr>
                  <w:tcW w:w="1129" w:type="dxa"/>
                  <w:vMerge w:val="continue"/>
                  <w:tcBorders>
                    <w:left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p>
              </w:tc>
              <w:tc>
                <w:tcPr>
                  <w:tcW w:w="1985"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阴离子表面活性剂</w:t>
                  </w:r>
                </w:p>
              </w:tc>
              <w:tc>
                <w:tcPr>
                  <w:tcW w:w="1276"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ND</w:t>
                  </w: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ND</w:t>
                  </w: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ND</w:t>
                  </w:r>
                </w:p>
              </w:tc>
              <w:tc>
                <w:tcPr>
                  <w:tcW w:w="1037"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0.2</w:t>
                  </w:r>
                </w:p>
              </w:tc>
              <w:tc>
                <w:tcPr>
                  <w:tcW w:w="968"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mg/L</w:t>
                  </w:r>
                </w:p>
              </w:tc>
            </w:tr>
            <w:tr>
              <w:tblPrEx>
                <w:tblCellMar>
                  <w:top w:w="0" w:type="dxa"/>
                  <w:left w:w="0" w:type="dxa"/>
                  <w:bottom w:w="0" w:type="dxa"/>
                  <w:right w:w="0" w:type="dxa"/>
                </w:tblCellMar>
              </w:tblPrEx>
              <w:trPr>
                <w:trHeight w:val="470" w:hRule="exact"/>
              </w:trPr>
              <w:tc>
                <w:tcPr>
                  <w:tcW w:w="1129" w:type="dxa"/>
                  <w:vMerge w:val="continue"/>
                  <w:tcBorders>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p>
              </w:tc>
              <w:tc>
                <w:tcPr>
                  <w:tcW w:w="1985"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粪大肠菌群</w:t>
                  </w:r>
                </w:p>
              </w:tc>
              <w:tc>
                <w:tcPr>
                  <w:tcW w:w="1276"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3500</w:t>
                  </w: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5400</w:t>
                  </w:r>
                </w:p>
              </w:tc>
              <w:tc>
                <w:tcPr>
                  <w:tcW w:w="1134"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5400</w:t>
                  </w:r>
                </w:p>
              </w:tc>
              <w:tc>
                <w:tcPr>
                  <w:tcW w:w="1037"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10000</w:t>
                  </w:r>
                </w:p>
              </w:tc>
              <w:tc>
                <w:tcPr>
                  <w:tcW w:w="968" w:type="dxa"/>
                  <w:tcBorders>
                    <w:top w:val="single" w:color="000000" w:sz="4" w:space="0"/>
                    <w:left w:val="single" w:color="000000" w:sz="4" w:space="0"/>
                    <w:bottom w:val="single" w:color="000000" w:sz="4" w:space="0"/>
                    <w:right w:val="single" w:color="000000" w:sz="4" w:space="0"/>
                  </w:tcBorders>
                  <w:vAlign w:val="center"/>
                </w:tcPr>
                <w:p>
                  <w:pPr>
                    <w:pStyle w:val="119"/>
                    <w:jc w:val="center"/>
                    <w:rPr>
                      <w:rFonts w:ascii="Times New Roman" w:hAnsi="Times New Roman"/>
                      <w:color w:val="auto"/>
                      <w:sz w:val="21"/>
                      <w:szCs w:val="21"/>
                      <w:lang w:eastAsia="zh-CN"/>
                    </w:rPr>
                  </w:pPr>
                  <w:r>
                    <w:rPr>
                      <w:rFonts w:ascii="Times New Roman" w:hAnsi="Times New Roman"/>
                      <w:color w:val="auto"/>
                      <w:sz w:val="21"/>
                      <w:szCs w:val="21"/>
                      <w:lang w:eastAsia="zh-CN"/>
                    </w:rPr>
                    <w:t>个/L</w:t>
                  </w:r>
                </w:p>
              </w:tc>
            </w:tr>
            <w:tr>
              <w:tblPrEx>
                <w:tblCellMar>
                  <w:top w:w="0" w:type="dxa"/>
                  <w:left w:w="0" w:type="dxa"/>
                  <w:bottom w:w="0" w:type="dxa"/>
                  <w:right w:w="0" w:type="dxa"/>
                </w:tblCellMar>
              </w:tblPrEx>
              <w:trPr>
                <w:trHeight w:val="835" w:hRule="exact"/>
              </w:trPr>
              <w:tc>
                <w:tcPr>
                  <w:tcW w:w="1129" w:type="dxa"/>
                  <w:tcBorders>
                    <w:top w:val="single" w:color="000000" w:sz="4" w:space="0"/>
                    <w:left w:val="single" w:color="000000" w:sz="4" w:space="0"/>
                    <w:bottom w:val="single" w:color="000000" w:sz="4" w:space="0"/>
                    <w:right w:val="single" w:color="000000" w:sz="4" w:space="0"/>
                  </w:tcBorders>
                </w:tcPr>
                <w:p>
                  <w:pPr>
                    <w:pStyle w:val="119"/>
                    <w:jc w:val="center"/>
                    <w:rPr>
                      <w:rFonts w:ascii="宋体" w:hAnsi="宋体" w:cs="宋体"/>
                      <w:color w:val="auto"/>
                      <w:sz w:val="21"/>
                      <w:szCs w:val="21"/>
                      <w:lang w:eastAsia="zh-CN"/>
                    </w:rPr>
                  </w:pPr>
                  <w:r>
                    <w:rPr>
                      <w:rFonts w:hint="eastAsia" w:ascii="宋体" w:hAnsi="宋体" w:cs="宋体"/>
                      <w:color w:val="auto"/>
                      <w:sz w:val="21"/>
                      <w:szCs w:val="21"/>
                      <w:lang w:eastAsia="zh-CN"/>
                    </w:rPr>
                    <w:t>备注</w:t>
                  </w:r>
                </w:p>
              </w:tc>
              <w:tc>
                <w:tcPr>
                  <w:tcW w:w="7534" w:type="dxa"/>
                  <w:gridSpan w:val="6"/>
                  <w:tcBorders>
                    <w:top w:val="single" w:color="000000" w:sz="4" w:space="0"/>
                    <w:left w:val="single" w:color="000000" w:sz="4" w:space="0"/>
                    <w:bottom w:val="single" w:color="000000" w:sz="4" w:space="0"/>
                    <w:right w:val="single" w:color="000000" w:sz="4" w:space="0"/>
                  </w:tcBorders>
                </w:tcPr>
                <w:p>
                  <w:pPr>
                    <w:pStyle w:val="119"/>
                    <w:spacing w:before="21" w:line="256" w:lineRule="auto"/>
                    <w:ind w:left="103" w:right="149"/>
                    <w:rPr>
                      <w:rFonts w:ascii="宋体" w:hAnsi="宋体" w:cs="宋体"/>
                      <w:color w:val="auto"/>
                      <w:sz w:val="21"/>
                      <w:szCs w:val="21"/>
                      <w:lang w:eastAsia="zh-CN"/>
                    </w:rPr>
                  </w:pPr>
                  <w:r>
                    <w:rPr>
                      <w:rFonts w:hint="eastAsia" w:ascii="Times New Roman" w:hAnsi="Times New Roman" w:eastAsia="Times New Roman"/>
                      <w:color w:val="auto"/>
                      <w:sz w:val="21"/>
                      <w:szCs w:val="21"/>
                      <w:lang w:eastAsia="zh-CN"/>
                    </w:rPr>
                    <w:t>1.</w:t>
                  </w:r>
                  <w:r>
                    <w:rPr>
                      <w:rFonts w:hint="eastAsia" w:ascii="Times New Roman" w:hAnsi="Times New Roman" w:eastAsia="Times New Roman"/>
                      <w:color w:val="auto"/>
                      <w:spacing w:val="-1"/>
                      <w:sz w:val="21"/>
                      <w:szCs w:val="21"/>
                      <w:lang w:eastAsia="zh-CN"/>
                    </w:rPr>
                    <w:t>“</w:t>
                  </w:r>
                  <w:r>
                    <w:rPr>
                      <w:rFonts w:hint="eastAsia" w:ascii="Times New Roman" w:hAnsi="Times New Roman" w:eastAsia="Times New Roman"/>
                      <w:color w:val="auto"/>
                      <w:sz w:val="21"/>
                      <w:szCs w:val="21"/>
                      <w:lang w:eastAsia="zh-CN"/>
                    </w:rPr>
                    <w:t>—</w:t>
                  </w:r>
                  <w:r>
                    <w:rPr>
                      <w:rFonts w:hint="eastAsia" w:ascii="Times New Roman" w:hAnsi="Times New Roman" w:eastAsia="Times New Roman"/>
                      <w:color w:val="auto"/>
                      <w:spacing w:val="-1"/>
                      <w:sz w:val="21"/>
                      <w:szCs w:val="21"/>
                      <w:lang w:eastAsia="zh-CN"/>
                    </w:rPr>
                    <w:t>”</w:t>
                  </w:r>
                  <w:r>
                    <w:rPr>
                      <w:rFonts w:hint="eastAsia" w:ascii="宋体" w:hAnsi="宋体" w:cs="宋体"/>
                      <w:color w:val="auto"/>
                      <w:spacing w:val="-3"/>
                      <w:sz w:val="21"/>
                      <w:szCs w:val="21"/>
                      <w:lang w:eastAsia="zh-CN"/>
                    </w:rPr>
                    <w:t>表</w:t>
                  </w:r>
                  <w:r>
                    <w:rPr>
                      <w:rFonts w:hint="eastAsia" w:ascii="宋体" w:hAnsi="宋体" w:cs="宋体"/>
                      <w:color w:val="auto"/>
                      <w:sz w:val="21"/>
                      <w:szCs w:val="21"/>
                      <w:lang w:eastAsia="zh-CN"/>
                    </w:rPr>
                    <w:t>示</w:t>
                  </w:r>
                  <w:r>
                    <w:rPr>
                      <w:rFonts w:hint="eastAsia" w:ascii="宋体" w:hAnsi="宋体" w:cs="宋体"/>
                      <w:color w:val="auto"/>
                      <w:spacing w:val="-3"/>
                      <w:sz w:val="21"/>
                      <w:szCs w:val="21"/>
                      <w:lang w:eastAsia="zh-CN"/>
                    </w:rPr>
                    <w:t>无</w:t>
                  </w:r>
                  <w:r>
                    <w:rPr>
                      <w:rFonts w:hint="eastAsia" w:ascii="宋体" w:hAnsi="宋体" w:cs="宋体"/>
                      <w:color w:val="auto"/>
                      <w:sz w:val="21"/>
                      <w:szCs w:val="21"/>
                      <w:lang w:eastAsia="zh-CN"/>
                    </w:rPr>
                    <w:t>此</w:t>
                  </w:r>
                  <w:r>
                    <w:rPr>
                      <w:rFonts w:hint="eastAsia" w:ascii="宋体" w:hAnsi="宋体" w:cs="宋体"/>
                      <w:color w:val="auto"/>
                      <w:spacing w:val="-3"/>
                      <w:sz w:val="21"/>
                      <w:szCs w:val="21"/>
                      <w:lang w:eastAsia="zh-CN"/>
                    </w:rPr>
                    <w:t>监</w:t>
                  </w:r>
                  <w:r>
                    <w:rPr>
                      <w:rFonts w:hint="eastAsia" w:ascii="宋体" w:hAnsi="宋体" w:cs="宋体"/>
                      <w:color w:val="auto"/>
                      <w:sz w:val="21"/>
                      <w:szCs w:val="21"/>
                      <w:lang w:eastAsia="zh-CN"/>
                    </w:rPr>
                    <w:t>测</w:t>
                  </w:r>
                  <w:r>
                    <w:rPr>
                      <w:rFonts w:hint="eastAsia" w:ascii="宋体" w:hAnsi="宋体" w:cs="宋体"/>
                      <w:color w:val="auto"/>
                      <w:spacing w:val="-3"/>
                      <w:sz w:val="21"/>
                      <w:szCs w:val="21"/>
                      <w:lang w:eastAsia="zh-CN"/>
                    </w:rPr>
                    <w:t>项</w:t>
                  </w:r>
                  <w:r>
                    <w:rPr>
                      <w:rFonts w:hint="eastAsia" w:ascii="宋体" w:hAnsi="宋体" w:cs="宋体"/>
                      <w:color w:val="auto"/>
                      <w:sz w:val="21"/>
                      <w:szCs w:val="21"/>
                      <w:lang w:eastAsia="zh-CN"/>
                    </w:rPr>
                    <w:t>目</w:t>
                  </w:r>
                  <w:r>
                    <w:rPr>
                      <w:rFonts w:hint="eastAsia" w:ascii="宋体" w:hAnsi="宋体" w:cs="宋体"/>
                      <w:color w:val="auto"/>
                      <w:spacing w:val="-3"/>
                      <w:sz w:val="21"/>
                      <w:szCs w:val="21"/>
                      <w:lang w:eastAsia="zh-CN"/>
                    </w:rPr>
                    <w:t>的</w:t>
                  </w:r>
                  <w:r>
                    <w:rPr>
                      <w:rFonts w:hint="eastAsia" w:ascii="宋体" w:hAnsi="宋体" w:cs="宋体"/>
                      <w:color w:val="auto"/>
                      <w:sz w:val="21"/>
                      <w:szCs w:val="21"/>
                      <w:lang w:eastAsia="zh-CN"/>
                    </w:rPr>
                    <w:t>标准</w:t>
                  </w:r>
                  <w:r>
                    <w:rPr>
                      <w:rFonts w:hint="eastAsia" w:ascii="宋体" w:hAnsi="宋体" w:cs="宋体"/>
                      <w:color w:val="auto"/>
                      <w:spacing w:val="-3"/>
                      <w:sz w:val="21"/>
                      <w:szCs w:val="21"/>
                      <w:lang w:eastAsia="zh-CN"/>
                    </w:rPr>
                    <w:t>限</w:t>
                  </w:r>
                  <w:r>
                    <w:rPr>
                      <w:rFonts w:hint="eastAsia" w:ascii="宋体" w:hAnsi="宋体" w:cs="宋体"/>
                      <w:color w:val="auto"/>
                      <w:sz w:val="21"/>
                      <w:szCs w:val="21"/>
                      <w:lang w:eastAsia="zh-CN"/>
                    </w:rPr>
                    <w:t>值；</w:t>
                  </w:r>
                  <w:r>
                    <w:rPr>
                      <w:rFonts w:hint="eastAsia" w:ascii="Times New Roman" w:hAnsi="Times New Roman" w:eastAsia="Times New Roman"/>
                      <w:color w:val="auto"/>
                      <w:sz w:val="21"/>
                      <w:szCs w:val="21"/>
                      <w:lang w:eastAsia="zh-CN"/>
                    </w:rPr>
                    <w:t>2.“</w:t>
                  </w:r>
                  <w:r>
                    <w:rPr>
                      <w:rFonts w:hint="eastAsia" w:ascii="Times New Roman" w:hAnsi="Times New Roman" w:eastAsia="Times New Roman"/>
                      <w:color w:val="auto"/>
                      <w:spacing w:val="-2"/>
                      <w:sz w:val="21"/>
                      <w:szCs w:val="21"/>
                      <w:lang w:eastAsia="zh-CN"/>
                    </w:rPr>
                    <w:t>N</w:t>
                  </w:r>
                  <w:r>
                    <w:rPr>
                      <w:rFonts w:hint="eastAsia" w:ascii="Times New Roman" w:hAnsi="Times New Roman" w:eastAsia="Times New Roman"/>
                      <w:color w:val="auto"/>
                      <w:sz w:val="21"/>
                      <w:szCs w:val="21"/>
                      <w:lang w:eastAsia="zh-CN"/>
                    </w:rPr>
                    <w:t>D</w:t>
                  </w:r>
                  <w:r>
                    <w:rPr>
                      <w:rFonts w:hint="eastAsia" w:ascii="Times New Roman" w:hAnsi="Times New Roman" w:eastAsia="Times New Roman"/>
                      <w:color w:val="auto"/>
                      <w:spacing w:val="-2"/>
                      <w:sz w:val="21"/>
                      <w:szCs w:val="21"/>
                      <w:lang w:eastAsia="zh-CN"/>
                    </w:rPr>
                    <w:t>”</w:t>
                  </w:r>
                  <w:r>
                    <w:rPr>
                      <w:rFonts w:hint="eastAsia" w:ascii="宋体" w:hAnsi="宋体" w:cs="宋体"/>
                      <w:color w:val="auto"/>
                      <w:sz w:val="21"/>
                      <w:szCs w:val="21"/>
                      <w:lang w:eastAsia="zh-CN"/>
                    </w:rPr>
                    <w:t>表</w:t>
                  </w:r>
                  <w:r>
                    <w:rPr>
                      <w:rFonts w:hint="eastAsia" w:ascii="宋体" w:hAnsi="宋体" w:cs="宋体"/>
                      <w:color w:val="auto"/>
                      <w:spacing w:val="-3"/>
                      <w:sz w:val="21"/>
                      <w:szCs w:val="21"/>
                      <w:lang w:eastAsia="zh-CN"/>
                    </w:rPr>
                    <w:t>示</w:t>
                  </w:r>
                  <w:r>
                    <w:rPr>
                      <w:rFonts w:hint="eastAsia" w:ascii="宋体" w:hAnsi="宋体" w:cs="宋体"/>
                      <w:color w:val="auto"/>
                      <w:sz w:val="21"/>
                      <w:szCs w:val="21"/>
                      <w:lang w:eastAsia="zh-CN"/>
                    </w:rPr>
                    <w:t>检</w:t>
                  </w:r>
                  <w:r>
                    <w:rPr>
                      <w:rFonts w:hint="eastAsia" w:ascii="宋体" w:hAnsi="宋体" w:cs="宋体"/>
                      <w:color w:val="auto"/>
                      <w:spacing w:val="-3"/>
                      <w:sz w:val="21"/>
                      <w:szCs w:val="21"/>
                      <w:lang w:eastAsia="zh-CN"/>
                    </w:rPr>
                    <w:t>测</w:t>
                  </w:r>
                  <w:r>
                    <w:rPr>
                      <w:rFonts w:hint="eastAsia" w:ascii="宋体" w:hAnsi="宋体" w:cs="宋体"/>
                      <w:color w:val="auto"/>
                      <w:sz w:val="21"/>
                      <w:szCs w:val="21"/>
                      <w:lang w:eastAsia="zh-CN"/>
                    </w:rPr>
                    <w:t>结</w:t>
                  </w:r>
                  <w:r>
                    <w:rPr>
                      <w:rFonts w:hint="eastAsia" w:ascii="宋体" w:hAnsi="宋体" w:cs="宋体"/>
                      <w:color w:val="auto"/>
                      <w:spacing w:val="-3"/>
                      <w:sz w:val="21"/>
                      <w:szCs w:val="21"/>
                      <w:lang w:eastAsia="zh-CN"/>
                    </w:rPr>
                    <w:t>果</w:t>
                  </w:r>
                  <w:r>
                    <w:rPr>
                      <w:rFonts w:hint="eastAsia" w:ascii="宋体" w:hAnsi="宋体" w:cs="宋体"/>
                      <w:color w:val="auto"/>
                      <w:sz w:val="21"/>
                      <w:szCs w:val="21"/>
                      <w:lang w:eastAsia="zh-CN"/>
                    </w:rPr>
                    <w:t>低</w:t>
                  </w:r>
                  <w:r>
                    <w:rPr>
                      <w:rFonts w:hint="eastAsia" w:ascii="宋体" w:hAnsi="宋体" w:cs="宋体"/>
                      <w:color w:val="auto"/>
                      <w:spacing w:val="-3"/>
                      <w:sz w:val="21"/>
                      <w:szCs w:val="21"/>
                      <w:lang w:eastAsia="zh-CN"/>
                    </w:rPr>
                    <w:t>于</w:t>
                  </w:r>
                  <w:r>
                    <w:rPr>
                      <w:rFonts w:hint="eastAsia" w:ascii="宋体" w:hAnsi="宋体" w:cs="宋体"/>
                      <w:color w:val="auto"/>
                      <w:sz w:val="21"/>
                      <w:szCs w:val="21"/>
                      <w:lang w:eastAsia="zh-CN"/>
                    </w:rPr>
                    <w:t>检出</w:t>
                  </w:r>
                  <w:r>
                    <w:rPr>
                      <w:rFonts w:hint="eastAsia" w:ascii="宋体" w:hAnsi="宋体" w:cs="宋体"/>
                      <w:color w:val="auto"/>
                      <w:spacing w:val="-3"/>
                      <w:sz w:val="21"/>
                      <w:szCs w:val="21"/>
                      <w:lang w:eastAsia="zh-CN"/>
                    </w:rPr>
                    <w:t>限</w:t>
                  </w:r>
                  <w:r>
                    <w:rPr>
                      <w:rFonts w:hint="eastAsia" w:ascii="宋体" w:hAnsi="宋体" w:cs="宋体"/>
                      <w:color w:val="auto"/>
                      <w:sz w:val="21"/>
                      <w:szCs w:val="21"/>
                      <w:lang w:eastAsia="zh-CN"/>
                    </w:rPr>
                    <w:t>；</w:t>
                  </w:r>
                  <w:r>
                    <w:rPr>
                      <w:rFonts w:hint="eastAsia" w:ascii="Times New Roman" w:hAnsi="Times New Roman" w:eastAsia="Times New Roman"/>
                      <w:color w:val="auto"/>
                      <w:sz w:val="21"/>
                      <w:szCs w:val="21"/>
                      <w:lang w:eastAsia="zh-CN"/>
                    </w:rPr>
                    <w:t>3.</w:t>
                  </w:r>
                  <w:r>
                    <w:rPr>
                      <w:rFonts w:hint="eastAsia" w:ascii="宋体" w:hAnsi="宋体" w:cs="宋体"/>
                      <w:color w:val="auto"/>
                      <w:sz w:val="21"/>
                      <w:szCs w:val="21"/>
                      <w:lang w:eastAsia="zh-CN"/>
                    </w:rPr>
                    <w:t>评</w:t>
                  </w:r>
                  <w:r>
                    <w:rPr>
                      <w:rFonts w:hint="eastAsia" w:ascii="宋体" w:hAnsi="宋体" w:cs="宋体"/>
                      <w:color w:val="auto"/>
                      <w:spacing w:val="-3"/>
                      <w:sz w:val="21"/>
                      <w:szCs w:val="21"/>
                      <w:lang w:eastAsia="zh-CN"/>
                    </w:rPr>
                    <w:t>价</w:t>
                  </w:r>
                  <w:r>
                    <w:rPr>
                      <w:rFonts w:hint="eastAsia" w:ascii="宋体" w:hAnsi="宋体" w:cs="宋体"/>
                      <w:color w:val="auto"/>
                      <w:sz w:val="21"/>
                      <w:szCs w:val="21"/>
                      <w:lang w:eastAsia="zh-CN"/>
                    </w:rPr>
                    <w:t>标</w:t>
                  </w:r>
                  <w:r>
                    <w:rPr>
                      <w:rFonts w:hint="eastAsia" w:ascii="宋体" w:hAnsi="宋体" w:cs="宋体"/>
                      <w:color w:val="auto"/>
                      <w:spacing w:val="-3"/>
                      <w:sz w:val="21"/>
                      <w:szCs w:val="21"/>
                      <w:lang w:eastAsia="zh-CN"/>
                    </w:rPr>
                    <w:t>准</w:t>
                  </w:r>
                  <w:r>
                    <w:rPr>
                      <w:rFonts w:hint="eastAsia" w:ascii="宋体" w:hAnsi="宋体" w:cs="宋体"/>
                      <w:color w:val="auto"/>
                      <w:sz w:val="21"/>
                      <w:szCs w:val="21"/>
                      <w:lang w:eastAsia="zh-CN"/>
                    </w:rPr>
                    <w:t>参</w:t>
                  </w:r>
                  <w:r>
                    <w:rPr>
                      <w:rFonts w:hint="eastAsia" w:ascii="宋体" w:hAnsi="宋体" w:cs="宋体"/>
                      <w:color w:val="auto"/>
                      <w:spacing w:val="-3"/>
                      <w:sz w:val="21"/>
                      <w:szCs w:val="21"/>
                      <w:lang w:eastAsia="zh-CN"/>
                    </w:rPr>
                    <w:t>照</w:t>
                  </w:r>
                  <w:r>
                    <w:rPr>
                      <w:rFonts w:hint="eastAsia" w:ascii="宋体" w:hAnsi="宋体" w:cs="宋体"/>
                      <w:color w:val="auto"/>
                      <w:sz w:val="21"/>
                      <w:szCs w:val="21"/>
                      <w:lang w:eastAsia="zh-CN"/>
                    </w:rPr>
                    <w:t>《</w:t>
                  </w:r>
                  <w:r>
                    <w:rPr>
                      <w:rFonts w:hint="eastAsia" w:ascii="宋体" w:hAnsi="宋体" w:cs="宋体"/>
                      <w:color w:val="auto"/>
                      <w:spacing w:val="-3"/>
                      <w:sz w:val="21"/>
                      <w:szCs w:val="21"/>
                      <w:lang w:eastAsia="zh-CN"/>
                    </w:rPr>
                    <w:t>地</w:t>
                  </w:r>
                  <w:r>
                    <w:rPr>
                      <w:rFonts w:hint="eastAsia" w:ascii="宋体" w:hAnsi="宋体" w:cs="宋体"/>
                      <w:color w:val="auto"/>
                      <w:sz w:val="21"/>
                      <w:szCs w:val="21"/>
                      <w:lang w:eastAsia="zh-CN"/>
                    </w:rPr>
                    <w:t>表</w:t>
                  </w:r>
                  <w:r>
                    <w:rPr>
                      <w:rFonts w:hint="eastAsia" w:ascii="宋体" w:hAnsi="宋体" w:cs="宋体"/>
                      <w:color w:val="auto"/>
                      <w:spacing w:val="-3"/>
                      <w:sz w:val="21"/>
                      <w:szCs w:val="21"/>
                      <w:lang w:eastAsia="zh-CN"/>
                    </w:rPr>
                    <w:t>水</w:t>
                  </w:r>
                  <w:r>
                    <w:rPr>
                      <w:rFonts w:hint="eastAsia" w:ascii="宋体" w:hAnsi="宋体" w:cs="宋体"/>
                      <w:color w:val="auto"/>
                      <w:sz w:val="21"/>
                      <w:szCs w:val="21"/>
                      <w:lang w:eastAsia="zh-CN"/>
                    </w:rPr>
                    <w:t>环境</w:t>
                  </w:r>
                  <w:r>
                    <w:rPr>
                      <w:rFonts w:hint="eastAsia" w:ascii="宋体" w:hAnsi="宋体" w:cs="宋体"/>
                      <w:color w:val="auto"/>
                      <w:spacing w:val="-3"/>
                      <w:sz w:val="21"/>
                      <w:szCs w:val="21"/>
                      <w:lang w:eastAsia="zh-CN"/>
                    </w:rPr>
                    <w:t>质</w:t>
                  </w:r>
                  <w:r>
                    <w:rPr>
                      <w:rFonts w:hint="eastAsia" w:ascii="宋体" w:hAnsi="宋体" w:cs="宋体"/>
                      <w:color w:val="auto"/>
                      <w:sz w:val="21"/>
                      <w:szCs w:val="21"/>
                      <w:lang w:eastAsia="zh-CN"/>
                    </w:rPr>
                    <w:t>量</w:t>
                  </w:r>
                  <w:r>
                    <w:rPr>
                      <w:rFonts w:hint="eastAsia" w:ascii="宋体" w:hAnsi="宋体" w:cs="宋体"/>
                      <w:color w:val="auto"/>
                      <w:spacing w:val="-3"/>
                      <w:sz w:val="21"/>
                      <w:szCs w:val="21"/>
                      <w:lang w:eastAsia="zh-CN"/>
                    </w:rPr>
                    <w:t>标</w:t>
                  </w:r>
                  <w:r>
                    <w:rPr>
                      <w:rFonts w:hint="eastAsia" w:ascii="宋体" w:hAnsi="宋体" w:cs="宋体"/>
                      <w:color w:val="auto"/>
                      <w:sz w:val="21"/>
                      <w:szCs w:val="21"/>
                      <w:lang w:eastAsia="zh-CN"/>
                    </w:rPr>
                    <w:t>准</w:t>
                  </w:r>
                  <w:r>
                    <w:rPr>
                      <w:rFonts w:hint="eastAsia" w:ascii="宋体" w:hAnsi="宋体" w:cs="宋体"/>
                      <w:color w:val="auto"/>
                      <w:spacing w:val="-3"/>
                      <w:sz w:val="21"/>
                      <w:szCs w:val="21"/>
                      <w:lang w:eastAsia="zh-CN"/>
                    </w:rPr>
                    <w:t>》</w:t>
                  </w:r>
                  <w:r>
                    <w:rPr>
                      <w:rFonts w:hint="eastAsia" w:ascii="宋体" w:hAnsi="宋体" w:cs="宋体"/>
                      <w:color w:val="auto"/>
                      <w:spacing w:val="-2"/>
                      <w:sz w:val="21"/>
                      <w:szCs w:val="21"/>
                      <w:lang w:eastAsia="zh-CN"/>
                    </w:rPr>
                    <w:t>（</w:t>
                  </w:r>
                  <w:r>
                    <w:rPr>
                      <w:rFonts w:hint="eastAsia" w:ascii="Times New Roman" w:hAnsi="Times New Roman" w:eastAsia="Times New Roman"/>
                      <w:color w:val="auto"/>
                      <w:sz w:val="21"/>
                      <w:szCs w:val="21"/>
                      <w:lang w:eastAsia="zh-CN"/>
                    </w:rPr>
                    <w:t>G</w:t>
                  </w:r>
                  <w:r>
                    <w:rPr>
                      <w:rFonts w:hint="eastAsia" w:ascii="Times New Roman" w:hAnsi="Times New Roman" w:eastAsia="Times New Roman"/>
                      <w:color w:val="auto"/>
                      <w:spacing w:val="-2"/>
                      <w:sz w:val="21"/>
                      <w:szCs w:val="21"/>
                      <w:lang w:eastAsia="zh-CN"/>
                    </w:rPr>
                    <w:t>B</w:t>
                  </w:r>
                  <w:r>
                    <w:rPr>
                      <w:rFonts w:hint="eastAsia" w:ascii="Times New Roman" w:hAnsi="Times New Roman" w:eastAsia="Times New Roman"/>
                      <w:color w:val="auto"/>
                      <w:sz w:val="21"/>
                      <w:szCs w:val="21"/>
                      <w:lang w:eastAsia="zh-CN"/>
                    </w:rPr>
                    <w:t>383</w:t>
                  </w:r>
                  <w:r>
                    <w:rPr>
                      <w:rFonts w:hint="eastAsia" w:ascii="Times New Roman" w:hAnsi="Times New Roman" w:eastAsia="Times New Roman"/>
                      <w:color w:val="auto"/>
                      <w:spacing w:val="-3"/>
                      <w:sz w:val="21"/>
                      <w:szCs w:val="21"/>
                      <w:lang w:eastAsia="zh-CN"/>
                    </w:rPr>
                    <w:t>8</w:t>
                  </w:r>
                  <w:r>
                    <w:rPr>
                      <w:rFonts w:hint="eastAsia" w:ascii="Times New Roman" w:hAnsi="Times New Roman" w:eastAsia="Times New Roman"/>
                      <w:color w:val="auto"/>
                      <w:spacing w:val="-4"/>
                      <w:sz w:val="21"/>
                      <w:szCs w:val="21"/>
                      <w:lang w:eastAsia="zh-CN"/>
                    </w:rPr>
                    <w:t>-</w:t>
                  </w:r>
                  <w:r>
                    <w:rPr>
                      <w:rFonts w:hint="eastAsia" w:ascii="Times New Roman" w:hAnsi="Times New Roman" w:eastAsia="Times New Roman"/>
                      <w:color w:val="auto"/>
                      <w:sz w:val="21"/>
                      <w:szCs w:val="21"/>
                      <w:lang w:eastAsia="zh-CN"/>
                    </w:rPr>
                    <w:t>2002</w:t>
                  </w:r>
                  <w:r>
                    <w:rPr>
                      <w:rFonts w:hint="eastAsia" w:ascii="宋体" w:hAnsi="宋体" w:cs="宋体"/>
                      <w:color w:val="auto"/>
                      <w:sz w:val="21"/>
                      <w:szCs w:val="21"/>
                      <w:lang w:eastAsia="zh-CN"/>
                    </w:rPr>
                    <w:t>）表</w:t>
                  </w:r>
                  <w:r>
                    <w:rPr>
                      <w:rFonts w:hint="eastAsia" w:ascii="Times New Roman" w:hAnsi="Times New Roman" w:eastAsia="Times New Roman"/>
                      <w:color w:val="auto"/>
                      <w:sz w:val="21"/>
                      <w:szCs w:val="21"/>
                      <w:lang w:eastAsia="zh-CN"/>
                    </w:rPr>
                    <w:t>1</w:t>
                  </w:r>
                  <w:r>
                    <w:rPr>
                      <w:rFonts w:hint="eastAsia" w:ascii="宋体" w:hAnsi="宋体" w:cs="宋体"/>
                      <w:color w:val="auto"/>
                      <w:sz w:val="21"/>
                      <w:szCs w:val="21"/>
                      <w:lang w:eastAsia="zh-CN"/>
                    </w:rPr>
                    <w:t>中</w:t>
                  </w:r>
                  <w:r>
                    <w:rPr>
                      <w:rFonts w:hint="eastAsia" w:ascii="宋体" w:hAnsi="宋体" w:cs="宋体"/>
                      <w:color w:val="auto"/>
                      <w:spacing w:val="-3"/>
                      <w:sz w:val="21"/>
                      <w:szCs w:val="21"/>
                      <w:lang w:eastAsia="zh-CN"/>
                    </w:rPr>
                    <w:t>的</w:t>
                  </w:r>
                  <w:r>
                    <w:rPr>
                      <w:rFonts w:hint="eastAsia" w:ascii="宋体" w:hAnsi="宋体" w:cs="宋体"/>
                      <w:color w:val="auto"/>
                      <w:sz w:val="21"/>
                      <w:szCs w:val="21"/>
                      <w:lang w:eastAsia="zh-CN"/>
                    </w:rPr>
                    <w:t>Ⅲ</w:t>
                  </w:r>
                  <w:r>
                    <w:rPr>
                      <w:rFonts w:hint="eastAsia" w:ascii="宋体" w:hAnsi="宋体" w:cs="宋体"/>
                      <w:color w:val="auto"/>
                      <w:spacing w:val="-3"/>
                      <w:sz w:val="21"/>
                      <w:szCs w:val="21"/>
                      <w:lang w:eastAsia="zh-CN"/>
                    </w:rPr>
                    <w:t>类</w:t>
                  </w:r>
                  <w:r>
                    <w:rPr>
                      <w:rFonts w:hint="eastAsia" w:ascii="宋体" w:hAnsi="宋体" w:cs="宋体"/>
                      <w:color w:val="auto"/>
                      <w:sz w:val="21"/>
                      <w:szCs w:val="21"/>
                      <w:lang w:eastAsia="zh-CN"/>
                    </w:rPr>
                    <w:t>标</w:t>
                  </w:r>
                  <w:r>
                    <w:rPr>
                      <w:rFonts w:hint="eastAsia" w:ascii="宋体" w:hAnsi="宋体" w:cs="宋体"/>
                      <w:color w:val="auto"/>
                      <w:spacing w:val="-3"/>
                      <w:sz w:val="21"/>
                      <w:szCs w:val="21"/>
                      <w:lang w:eastAsia="zh-CN"/>
                    </w:rPr>
                    <w:t>准</w:t>
                  </w:r>
                  <w:r>
                    <w:rPr>
                      <w:rFonts w:hint="eastAsia" w:ascii="宋体" w:hAnsi="宋体" w:cs="宋体"/>
                      <w:color w:val="auto"/>
                      <w:sz w:val="21"/>
                      <w:szCs w:val="21"/>
                      <w:lang w:eastAsia="zh-CN"/>
                    </w:rPr>
                    <w:t>限值。</w:t>
                  </w:r>
                </w:p>
              </w:tc>
            </w:tr>
          </w:tbl>
          <w:p>
            <w:pPr>
              <w:rPr>
                <w:color w:val="auto"/>
              </w:rPr>
            </w:pPr>
          </w:p>
          <w:p>
            <w:pPr>
              <w:adjustRightInd w:val="0"/>
              <w:snapToGrid w:val="0"/>
              <w:spacing w:line="360" w:lineRule="auto"/>
              <w:ind w:firstLine="480" w:firstLineChars="200"/>
              <w:rPr>
                <w:bCs/>
                <w:color w:val="auto"/>
                <w:sz w:val="24"/>
              </w:rPr>
            </w:pPr>
            <w:r>
              <w:rPr>
                <w:bCs/>
                <w:color w:val="auto"/>
                <w:sz w:val="24"/>
              </w:rPr>
              <w:t>监测结果表明，</w:t>
            </w:r>
            <w:r>
              <w:rPr>
                <w:rFonts w:hint="eastAsia"/>
                <w:bCs/>
                <w:color w:val="auto"/>
                <w:sz w:val="24"/>
              </w:rPr>
              <w:t>项目监测断面</w:t>
            </w:r>
            <w:r>
              <w:rPr>
                <w:bCs/>
                <w:color w:val="auto"/>
                <w:sz w:val="24"/>
              </w:rPr>
              <w:t>各水质监测因子均符合《地表水环境质量标准》（GB3838-2002）</w:t>
            </w:r>
            <w:r>
              <w:rPr>
                <w:rFonts w:hint="eastAsia" w:ascii="宋体" w:hAnsi="宋体" w:cs="宋体"/>
                <w:bCs/>
                <w:color w:val="auto"/>
                <w:sz w:val="24"/>
              </w:rPr>
              <w:t>Ⅲ类</w:t>
            </w:r>
            <w:r>
              <w:rPr>
                <w:bCs/>
                <w:color w:val="auto"/>
                <w:sz w:val="24"/>
              </w:rPr>
              <w:t>标准。</w:t>
            </w:r>
          </w:p>
          <w:p>
            <w:pPr>
              <w:adjustRightInd w:val="0"/>
              <w:snapToGrid w:val="0"/>
              <w:spacing w:line="360" w:lineRule="auto"/>
              <w:ind w:firstLine="482" w:firstLineChars="200"/>
              <w:rPr>
                <w:b/>
                <w:bCs/>
                <w:color w:val="auto"/>
                <w:sz w:val="24"/>
              </w:rPr>
            </w:pPr>
            <w:r>
              <w:rPr>
                <w:rFonts w:hint="eastAsia"/>
                <w:b/>
                <w:bCs/>
                <w:color w:val="auto"/>
                <w:sz w:val="24"/>
              </w:rPr>
              <w:t>3、</w:t>
            </w:r>
            <w:r>
              <w:rPr>
                <w:b/>
                <w:bCs/>
                <w:color w:val="auto"/>
                <w:sz w:val="24"/>
              </w:rPr>
              <w:t>环境空气质量现状</w:t>
            </w:r>
          </w:p>
          <w:p>
            <w:pPr>
              <w:adjustRightInd w:val="0"/>
              <w:snapToGrid w:val="0"/>
              <w:spacing w:line="360" w:lineRule="auto"/>
              <w:ind w:firstLine="480" w:firstLineChars="200"/>
              <w:rPr>
                <w:bCs/>
                <w:color w:val="auto"/>
                <w:sz w:val="24"/>
              </w:rPr>
            </w:pPr>
            <w:r>
              <w:rPr>
                <w:bCs/>
                <w:color w:val="auto"/>
                <w:sz w:val="24"/>
              </w:rPr>
              <w:t>本项目大气环境质量评价区域属二类区，故大气环境质量现状评价采用《环境空气质量标准》（GB 3095-</w:t>
            </w:r>
            <w:r>
              <w:rPr>
                <w:rFonts w:hint="eastAsia"/>
                <w:bCs/>
                <w:color w:val="auto"/>
                <w:sz w:val="24"/>
              </w:rPr>
              <w:t>2012</w:t>
            </w:r>
            <w:r>
              <w:rPr>
                <w:bCs/>
                <w:color w:val="auto"/>
                <w:sz w:val="24"/>
              </w:rPr>
              <w:t>）二级标准。</w:t>
            </w:r>
            <w:r>
              <w:rPr>
                <w:rFonts w:hint="eastAsia"/>
                <w:bCs/>
                <w:color w:val="auto"/>
                <w:sz w:val="24"/>
              </w:rPr>
              <w:t>为了解项目所在地大气环境质量现状，引用《2018年梅州市生态环境状况公报》的监测数据。</w:t>
            </w:r>
          </w:p>
          <w:p>
            <w:pPr>
              <w:adjustRightInd w:val="0"/>
              <w:snapToGrid w:val="0"/>
              <w:spacing w:line="360" w:lineRule="auto"/>
              <w:ind w:firstLine="480" w:firstLineChars="200"/>
              <w:rPr>
                <w:bCs/>
                <w:color w:val="auto"/>
                <w:sz w:val="24"/>
              </w:rPr>
            </w:pPr>
            <w:r>
              <w:rPr>
                <w:bCs/>
                <w:color w:val="auto"/>
                <w:sz w:val="24"/>
              </w:rPr>
              <w:t>2018年梅州市城区环境空气质量有效监测天数365天，AQI范围为20~292，达到二级标准的天数为361天，同比减少1天，达标率为98.9%，同比下降0.3个百分点，其中，空气质量为优的天数160天，良201天，轻度污染3天，中度污染1天。城市环境空气质量综合指数为3.45，全省排第9名。PM</w:t>
            </w:r>
            <w:r>
              <w:rPr>
                <w:bCs/>
                <w:color w:val="auto"/>
                <w:sz w:val="24"/>
                <w:vertAlign w:val="subscript"/>
              </w:rPr>
              <w:t>2.5</w:t>
            </w:r>
            <w:r>
              <w:rPr>
                <w:bCs/>
                <w:color w:val="auto"/>
                <w:sz w:val="24"/>
              </w:rPr>
              <w:t>年均浓度为30μg/m</w:t>
            </w:r>
            <w:r>
              <w:rPr>
                <w:bCs/>
                <w:color w:val="auto"/>
                <w:sz w:val="24"/>
                <w:vertAlign w:val="superscript"/>
              </w:rPr>
              <w:t>3</w:t>
            </w:r>
            <w:r>
              <w:rPr>
                <w:bCs/>
                <w:color w:val="auto"/>
                <w:sz w:val="24"/>
              </w:rPr>
              <w:t>，与上年持平；PM10年均浓度为49μg/m</w:t>
            </w:r>
            <w:r>
              <w:rPr>
                <w:bCs/>
                <w:color w:val="auto"/>
                <w:sz w:val="24"/>
                <w:vertAlign w:val="superscript"/>
              </w:rPr>
              <w:t>3</w:t>
            </w:r>
            <w:r>
              <w:rPr>
                <w:bCs/>
                <w:color w:val="auto"/>
                <w:sz w:val="24"/>
              </w:rPr>
              <w:t>，比上年下降1μg/m</w:t>
            </w:r>
            <w:r>
              <w:rPr>
                <w:bCs/>
                <w:color w:val="auto"/>
                <w:sz w:val="24"/>
                <w:vertAlign w:val="superscript"/>
              </w:rPr>
              <w:t>3</w:t>
            </w:r>
            <w:r>
              <w:rPr>
                <w:bCs/>
                <w:color w:val="auto"/>
                <w:sz w:val="24"/>
              </w:rPr>
              <w:t>；NO</w:t>
            </w:r>
            <w:r>
              <w:rPr>
                <w:bCs/>
                <w:color w:val="auto"/>
                <w:sz w:val="24"/>
                <w:vertAlign w:val="subscript"/>
              </w:rPr>
              <w:t>2</w:t>
            </w:r>
            <w:r>
              <w:rPr>
                <w:bCs/>
                <w:color w:val="auto"/>
                <w:sz w:val="24"/>
              </w:rPr>
              <w:t>年均浓度为28μg/m</w:t>
            </w:r>
            <w:r>
              <w:rPr>
                <w:bCs/>
                <w:color w:val="auto"/>
                <w:sz w:val="24"/>
                <w:vertAlign w:val="superscript"/>
              </w:rPr>
              <w:t>3</w:t>
            </w:r>
            <w:r>
              <w:rPr>
                <w:bCs/>
                <w:color w:val="auto"/>
                <w:sz w:val="24"/>
              </w:rPr>
              <w:t>，与上年持平；SO</w:t>
            </w:r>
            <w:r>
              <w:rPr>
                <w:bCs/>
                <w:color w:val="auto"/>
                <w:sz w:val="24"/>
                <w:vertAlign w:val="subscript"/>
              </w:rPr>
              <w:t>2</w:t>
            </w:r>
            <w:r>
              <w:rPr>
                <w:bCs/>
                <w:color w:val="auto"/>
                <w:sz w:val="24"/>
              </w:rPr>
              <w:t>年均浓度为7μg/m</w:t>
            </w:r>
            <w:r>
              <w:rPr>
                <w:bCs/>
                <w:color w:val="auto"/>
                <w:sz w:val="24"/>
                <w:vertAlign w:val="superscript"/>
              </w:rPr>
              <w:t>3</w:t>
            </w:r>
            <w:r>
              <w:rPr>
                <w:bCs/>
                <w:color w:val="auto"/>
                <w:sz w:val="24"/>
              </w:rPr>
              <w:t>，比上年下降1μg/m</w:t>
            </w:r>
            <w:r>
              <w:rPr>
                <w:bCs/>
                <w:color w:val="auto"/>
                <w:sz w:val="24"/>
                <w:vertAlign w:val="superscript"/>
              </w:rPr>
              <w:t>3</w:t>
            </w:r>
            <w:r>
              <w:rPr>
                <w:bCs/>
                <w:color w:val="auto"/>
                <w:sz w:val="24"/>
              </w:rPr>
              <w:t>；CO第95百分位浓度为1.2mg/m</w:t>
            </w:r>
            <w:r>
              <w:rPr>
                <w:bCs/>
                <w:color w:val="auto"/>
                <w:sz w:val="24"/>
                <w:vertAlign w:val="superscript"/>
              </w:rPr>
              <w:t>3</w:t>
            </w:r>
            <w:r>
              <w:rPr>
                <w:bCs/>
                <w:color w:val="auto"/>
                <w:sz w:val="24"/>
              </w:rPr>
              <w:t>，比上年下降0.1mg/m</w:t>
            </w:r>
            <w:r>
              <w:rPr>
                <w:bCs/>
                <w:color w:val="auto"/>
                <w:sz w:val="24"/>
                <w:vertAlign w:val="superscript"/>
              </w:rPr>
              <w:t>3</w:t>
            </w:r>
            <w:r>
              <w:rPr>
                <w:bCs/>
                <w:color w:val="auto"/>
                <w:sz w:val="24"/>
              </w:rPr>
              <w:t>；O</w:t>
            </w:r>
            <w:r>
              <w:rPr>
                <w:bCs/>
                <w:color w:val="auto"/>
                <w:sz w:val="24"/>
                <w:vertAlign w:val="subscript"/>
              </w:rPr>
              <w:t>3</w:t>
            </w:r>
            <w:r>
              <w:rPr>
                <w:bCs/>
                <w:color w:val="auto"/>
                <w:sz w:val="24"/>
              </w:rPr>
              <w:t>日最大8小时平均值第90百分位浓度为123μg/m</w:t>
            </w:r>
            <w:r>
              <w:rPr>
                <w:bCs/>
                <w:color w:val="auto"/>
                <w:sz w:val="24"/>
                <w:vertAlign w:val="superscript"/>
              </w:rPr>
              <w:t>3</w:t>
            </w:r>
            <w:r>
              <w:rPr>
                <w:bCs/>
                <w:color w:val="auto"/>
                <w:sz w:val="24"/>
              </w:rPr>
              <w:t>，比上年上升3μg/m</w:t>
            </w:r>
            <w:r>
              <w:rPr>
                <w:bCs/>
                <w:color w:val="auto"/>
                <w:sz w:val="24"/>
                <w:vertAlign w:val="superscript"/>
              </w:rPr>
              <w:t>3</w:t>
            </w:r>
            <w:r>
              <w:rPr>
                <w:bCs/>
                <w:color w:val="auto"/>
                <w:sz w:val="24"/>
              </w:rPr>
              <w:t>。</w:t>
            </w:r>
          </w:p>
          <w:p>
            <w:pPr>
              <w:adjustRightInd w:val="0"/>
              <w:snapToGrid w:val="0"/>
              <w:spacing w:line="360" w:lineRule="auto"/>
              <w:ind w:firstLine="480" w:firstLineChars="200"/>
              <w:rPr>
                <w:bCs/>
                <w:color w:val="auto"/>
                <w:sz w:val="24"/>
              </w:rPr>
            </w:pPr>
            <w:r>
              <w:rPr>
                <w:bCs/>
                <w:color w:val="auto"/>
                <w:sz w:val="24"/>
              </w:rPr>
              <w:t>2018年梅州市城区环境空气质量各项监测指标年均值均达到国家《环境空气质量标准》(GB3095-2012)及2018年修改单二级标准</w:t>
            </w:r>
            <w:r>
              <w:rPr>
                <w:rFonts w:hint="eastAsia"/>
                <w:bCs/>
                <w:color w:val="auto"/>
                <w:sz w:val="24"/>
              </w:rPr>
              <w:t>，本项目所在区域为达标区。</w:t>
            </w:r>
          </w:p>
          <w:p>
            <w:pPr>
              <w:adjustRightInd w:val="0"/>
              <w:snapToGrid w:val="0"/>
              <w:spacing w:line="360" w:lineRule="auto"/>
              <w:ind w:firstLine="482" w:firstLineChars="200"/>
              <w:rPr>
                <w:b/>
                <w:bCs/>
                <w:color w:val="auto"/>
                <w:sz w:val="24"/>
              </w:rPr>
            </w:pPr>
            <w:r>
              <w:rPr>
                <w:rFonts w:hint="eastAsia"/>
                <w:b/>
                <w:bCs/>
                <w:color w:val="auto"/>
                <w:sz w:val="24"/>
              </w:rPr>
              <w:t>4、</w:t>
            </w:r>
            <w:r>
              <w:rPr>
                <w:b/>
                <w:bCs/>
                <w:color w:val="auto"/>
                <w:sz w:val="24"/>
              </w:rPr>
              <w:t>声环境质量现状</w:t>
            </w:r>
          </w:p>
          <w:p>
            <w:pPr>
              <w:adjustRightInd w:val="0"/>
              <w:snapToGrid w:val="0"/>
              <w:spacing w:line="360" w:lineRule="auto"/>
              <w:ind w:firstLine="480" w:firstLineChars="200"/>
              <w:rPr>
                <w:bCs/>
                <w:color w:val="auto"/>
                <w:sz w:val="24"/>
              </w:rPr>
            </w:pPr>
            <w:r>
              <w:rPr>
                <w:bCs/>
                <w:color w:val="auto"/>
                <w:sz w:val="24"/>
              </w:rPr>
              <w:t>本项目</w:t>
            </w:r>
            <w:r>
              <w:rPr>
                <w:rFonts w:hint="eastAsia"/>
                <w:bCs/>
                <w:color w:val="auto"/>
                <w:sz w:val="24"/>
              </w:rPr>
              <w:t>加压泵站</w:t>
            </w:r>
            <w:r>
              <w:rPr>
                <w:bCs/>
                <w:color w:val="auto"/>
                <w:sz w:val="24"/>
              </w:rPr>
              <w:t>位于</w:t>
            </w:r>
            <w:r>
              <w:rPr>
                <w:rFonts w:hint="eastAsia"/>
                <w:color w:val="auto"/>
                <w:sz w:val="24"/>
              </w:rPr>
              <w:t>梅江区金山街道碧桂路旁</w:t>
            </w:r>
            <w:r>
              <w:rPr>
                <w:bCs/>
                <w:color w:val="auto"/>
                <w:sz w:val="24"/>
              </w:rPr>
              <w:t>，</w:t>
            </w:r>
            <w:bookmarkStart w:id="0" w:name="OLE_LINK18"/>
            <w:bookmarkStart w:id="1" w:name="OLE_LINK19"/>
            <w:bookmarkStart w:id="2" w:name="OLE_LINK20"/>
            <w:r>
              <w:rPr>
                <w:rFonts w:hint="eastAsia"/>
                <w:bCs/>
                <w:color w:val="auto"/>
                <w:sz w:val="24"/>
              </w:rPr>
              <w:t>根据</w:t>
            </w:r>
            <w:r>
              <w:rPr>
                <w:bCs/>
                <w:color w:val="auto"/>
                <w:sz w:val="24"/>
              </w:rPr>
              <w:t>《声环境质量标准》（GB3096-2008）</w:t>
            </w:r>
            <w:r>
              <w:rPr>
                <w:rFonts w:hint="eastAsia"/>
                <w:bCs/>
                <w:color w:val="auto"/>
                <w:sz w:val="24"/>
              </w:rPr>
              <w:t>的功能定位，项目东、西、北面边界执行</w:t>
            </w:r>
            <w:r>
              <w:rPr>
                <w:bCs/>
                <w:color w:val="auto"/>
                <w:sz w:val="24"/>
              </w:rPr>
              <w:t>《声环境质量标准》（GB3096-2008）</w:t>
            </w:r>
            <w:r>
              <w:rPr>
                <w:rFonts w:hint="eastAsia"/>
                <w:bCs/>
                <w:color w:val="auto"/>
                <w:sz w:val="24"/>
              </w:rPr>
              <w:t>2类</w:t>
            </w:r>
            <w:r>
              <w:rPr>
                <w:bCs/>
                <w:color w:val="auto"/>
                <w:sz w:val="24"/>
              </w:rPr>
              <w:t>标准</w:t>
            </w:r>
            <w:r>
              <w:rPr>
                <w:rFonts w:hint="eastAsia"/>
                <w:bCs/>
                <w:color w:val="auto"/>
                <w:sz w:val="24"/>
              </w:rPr>
              <w:t>，</w:t>
            </w:r>
            <w:r>
              <w:rPr>
                <w:bCs/>
                <w:color w:val="auto"/>
                <w:sz w:val="24"/>
              </w:rPr>
              <w:t>即昼间≤60dB(A)、夜间≤50dB(A)</w:t>
            </w:r>
            <w:r>
              <w:rPr>
                <w:rFonts w:hint="eastAsia"/>
                <w:bCs/>
                <w:color w:val="auto"/>
                <w:sz w:val="24"/>
              </w:rPr>
              <w:t>；项目南面为碧桂路，执行</w:t>
            </w:r>
            <w:r>
              <w:rPr>
                <w:bCs/>
                <w:color w:val="auto"/>
                <w:sz w:val="24"/>
              </w:rPr>
              <w:t>《声环境质量标准》（GB3096-2008）4</w:t>
            </w:r>
            <w:r>
              <w:rPr>
                <w:rFonts w:hint="eastAsia"/>
                <w:bCs/>
                <w:color w:val="auto"/>
                <w:sz w:val="24"/>
              </w:rPr>
              <w:t>a类标准（昼间≤70dB(A)、夜间≤55dB(A)）。</w:t>
            </w:r>
          </w:p>
          <w:p>
            <w:pPr>
              <w:adjustRightInd w:val="0"/>
              <w:snapToGrid w:val="0"/>
              <w:spacing w:line="360" w:lineRule="auto"/>
              <w:ind w:firstLine="480" w:firstLineChars="200"/>
              <w:rPr>
                <w:bCs/>
                <w:color w:val="auto"/>
                <w:sz w:val="24"/>
              </w:rPr>
            </w:pPr>
            <w:r>
              <w:rPr>
                <w:bCs/>
                <w:color w:val="auto"/>
                <w:sz w:val="24"/>
              </w:rPr>
              <w:t>为了解项目周围声环境现状，</w:t>
            </w:r>
            <w:r>
              <w:rPr>
                <w:rFonts w:hint="eastAsia"/>
                <w:bCs/>
                <w:color w:val="auto"/>
                <w:sz w:val="24"/>
              </w:rPr>
              <w:t>本项目委托广东精科环境科技有限公司</w:t>
            </w:r>
            <w:r>
              <w:rPr>
                <w:bCs/>
                <w:color w:val="auto"/>
                <w:sz w:val="24"/>
              </w:rPr>
              <w:t>于</w:t>
            </w:r>
            <w:r>
              <w:rPr>
                <w:rFonts w:hint="eastAsia"/>
                <w:bCs/>
                <w:color w:val="auto"/>
                <w:sz w:val="24"/>
              </w:rPr>
              <w:t>2020年5月5日在项目厂界东、西、南、北1米处各布设了1个环境噪声监测点，监测时段为昼间和夜间</w:t>
            </w:r>
            <w:r>
              <w:rPr>
                <w:bCs/>
                <w:color w:val="auto"/>
                <w:sz w:val="24"/>
              </w:rPr>
              <w:t>，</w:t>
            </w:r>
            <w:r>
              <w:rPr>
                <w:rFonts w:hint="eastAsia"/>
                <w:bCs/>
                <w:color w:val="auto"/>
                <w:sz w:val="24"/>
              </w:rPr>
              <w:t>监测点位置见附件2，监测</w:t>
            </w:r>
            <w:r>
              <w:rPr>
                <w:bCs/>
                <w:color w:val="auto"/>
                <w:sz w:val="24"/>
              </w:rPr>
              <w:t>点结果见</w:t>
            </w:r>
            <w:r>
              <w:rPr>
                <w:rFonts w:hint="eastAsia"/>
                <w:bCs/>
                <w:color w:val="auto"/>
                <w:sz w:val="24"/>
              </w:rPr>
              <w:t>表4</w:t>
            </w:r>
            <w:r>
              <w:rPr>
                <w:bCs/>
                <w:color w:val="auto"/>
                <w:sz w:val="24"/>
              </w:rPr>
              <w:t>。</w:t>
            </w:r>
          </w:p>
          <w:p>
            <w:pPr>
              <w:pStyle w:val="14"/>
              <w:ind w:firstLine="470"/>
              <w:rPr>
                <w:rFonts w:cs="Arial"/>
                <w:color w:val="auto"/>
                <w:sz w:val="21"/>
                <w:szCs w:val="21"/>
              </w:rPr>
            </w:pPr>
            <w:r>
              <w:rPr>
                <w:rFonts w:hint="eastAsia" w:cs="Arial"/>
                <w:color w:val="auto"/>
                <w:sz w:val="21"/>
                <w:szCs w:val="21"/>
              </w:rPr>
              <w:t>表</w:t>
            </w:r>
            <w:r>
              <w:rPr>
                <w:b w:val="0"/>
                <w:color w:val="auto"/>
                <w:sz w:val="21"/>
                <w:szCs w:val="21"/>
              </w:rPr>
              <w:fldChar w:fldCharType="begin"/>
            </w:r>
            <w:r>
              <w:rPr>
                <w:b w:val="0"/>
                <w:color w:val="auto"/>
                <w:sz w:val="21"/>
                <w:szCs w:val="21"/>
              </w:rPr>
              <w:instrText xml:space="preserve"> </w:instrText>
            </w:r>
            <w:r>
              <w:rPr>
                <w:rFonts w:hint="eastAsia"/>
                <w:b w:val="0"/>
                <w:color w:val="auto"/>
                <w:sz w:val="21"/>
                <w:szCs w:val="21"/>
              </w:rPr>
              <w:instrText xml:space="preserve">SEQ 表 \* ARABIC</w:instrText>
            </w:r>
            <w:r>
              <w:rPr>
                <w:b w:val="0"/>
                <w:color w:val="auto"/>
                <w:sz w:val="21"/>
                <w:szCs w:val="21"/>
              </w:rPr>
              <w:instrText xml:space="preserve"> </w:instrText>
            </w:r>
            <w:r>
              <w:rPr>
                <w:b w:val="0"/>
                <w:color w:val="auto"/>
                <w:sz w:val="21"/>
                <w:szCs w:val="21"/>
              </w:rPr>
              <w:fldChar w:fldCharType="separate"/>
            </w:r>
            <w:r>
              <w:rPr>
                <w:b w:val="0"/>
                <w:color w:val="auto"/>
                <w:sz w:val="21"/>
                <w:szCs w:val="21"/>
              </w:rPr>
              <w:t>4</w:t>
            </w:r>
            <w:r>
              <w:rPr>
                <w:b w:val="0"/>
                <w:color w:val="auto"/>
                <w:sz w:val="21"/>
                <w:szCs w:val="21"/>
              </w:rPr>
              <w:fldChar w:fldCharType="end"/>
            </w:r>
            <w:r>
              <w:rPr>
                <w:rFonts w:cs="Arial"/>
                <w:color w:val="auto"/>
                <w:sz w:val="21"/>
                <w:szCs w:val="21"/>
              </w:rPr>
              <w:t xml:space="preserve"> </w:t>
            </w:r>
            <w:r>
              <w:rPr>
                <w:rFonts w:hint="eastAsia" w:cs="Arial"/>
                <w:color w:val="auto"/>
                <w:sz w:val="21"/>
                <w:szCs w:val="21"/>
              </w:rPr>
              <w:t xml:space="preserve">  建设项目环境噪声现状监测结果（单位:dB(A)）</w:t>
            </w:r>
          </w:p>
          <w:tbl>
            <w:tblPr>
              <w:tblStyle w:val="33"/>
              <w:tblW w:w="6473"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850"/>
              <w:gridCol w:w="1154"/>
              <w:gridCol w:w="1156"/>
              <w:gridCol w:w="1153"/>
              <w:gridCol w:w="1160"/>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1" w:hRule="atLeast"/>
                <w:jc w:val="center"/>
              </w:trPr>
              <w:tc>
                <w:tcPr>
                  <w:tcW w:w="1428" w:type="pct"/>
                  <w:vMerge w:val="restart"/>
                  <w:shd w:val="clear" w:color="auto" w:fill="auto"/>
                  <w:vAlign w:val="center"/>
                </w:tcPr>
                <w:p>
                  <w:pPr>
                    <w:tabs>
                      <w:tab w:val="left" w:pos="5160"/>
                    </w:tabs>
                    <w:adjustRightInd w:val="0"/>
                    <w:snapToGrid w:val="0"/>
                    <w:jc w:val="center"/>
                    <w:rPr>
                      <w:b/>
                      <w:bCs/>
                      <w:color w:val="auto"/>
                      <w:szCs w:val="21"/>
                    </w:rPr>
                  </w:pPr>
                  <w:r>
                    <w:rPr>
                      <w:b/>
                      <w:bCs/>
                      <w:color w:val="auto"/>
                      <w:szCs w:val="21"/>
                    </w:rPr>
                    <w:t>测</w:t>
                  </w:r>
                  <w:r>
                    <w:rPr>
                      <w:rFonts w:hint="eastAsia"/>
                      <w:b/>
                      <w:bCs/>
                      <w:color w:val="auto"/>
                      <w:szCs w:val="21"/>
                    </w:rPr>
                    <w:t xml:space="preserve"> </w:t>
                  </w:r>
                  <w:r>
                    <w:rPr>
                      <w:b/>
                      <w:bCs/>
                      <w:color w:val="auto"/>
                      <w:szCs w:val="21"/>
                    </w:rPr>
                    <w:t>点</w:t>
                  </w:r>
                </w:p>
              </w:tc>
              <w:tc>
                <w:tcPr>
                  <w:tcW w:w="1784" w:type="pct"/>
                  <w:gridSpan w:val="2"/>
                  <w:shd w:val="clear" w:color="auto" w:fill="auto"/>
                  <w:vAlign w:val="center"/>
                </w:tcPr>
                <w:p>
                  <w:pPr>
                    <w:tabs>
                      <w:tab w:val="left" w:pos="5160"/>
                    </w:tabs>
                    <w:adjustRightInd w:val="0"/>
                    <w:snapToGrid w:val="0"/>
                    <w:jc w:val="center"/>
                    <w:rPr>
                      <w:b/>
                      <w:bCs/>
                      <w:color w:val="auto"/>
                      <w:szCs w:val="21"/>
                      <w:vertAlign w:val="subscript"/>
                    </w:rPr>
                  </w:pPr>
                  <w:r>
                    <w:rPr>
                      <w:b/>
                      <w:bCs/>
                      <w:color w:val="auto"/>
                      <w:szCs w:val="21"/>
                    </w:rPr>
                    <w:t>昼间Leq</w:t>
                  </w:r>
                </w:p>
              </w:tc>
              <w:tc>
                <w:tcPr>
                  <w:tcW w:w="1787" w:type="pct"/>
                  <w:gridSpan w:val="2"/>
                  <w:shd w:val="clear" w:color="auto" w:fill="auto"/>
                  <w:vAlign w:val="center"/>
                </w:tcPr>
                <w:p>
                  <w:pPr>
                    <w:tabs>
                      <w:tab w:val="left" w:pos="5160"/>
                    </w:tabs>
                    <w:adjustRightInd w:val="0"/>
                    <w:snapToGrid w:val="0"/>
                    <w:jc w:val="center"/>
                    <w:rPr>
                      <w:b/>
                      <w:bCs/>
                      <w:color w:val="auto"/>
                      <w:szCs w:val="21"/>
                      <w:vertAlign w:val="subscript"/>
                    </w:rPr>
                  </w:pPr>
                  <w:r>
                    <w:rPr>
                      <w:b/>
                      <w:bCs/>
                      <w:color w:val="auto"/>
                      <w:szCs w:val="21"/>
                    </w:rPr>
                    <w:t>夜间Leq</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1" w:hRule="atLeast"/>
                <w:jc w:val="center"/>
              </w:trPr>
              <w:tc>
                <w:tcPr>
                  <w:tcW w:w="1428" w:type="pct"/>
                  <w:vMerge w:val="continue"/>
                  <w:shd w:val="clear" w:color="auto" w:fill="auto"/>
                  <w:vAlign w:val="center"/>
                </w:tcPr>
                <w:p>
                  <w:pPr>
                    <w:tabs>
                      <w:tab w:val="left" w:pos="5160"/>
                    </w:tabs>
                    <w:adjustRightInd w:val="0"/>
                    <w:snapToGrid w:val="0"/>
                    <w:jc w:val="center"/>
                    <w:rPr>
                      <w:b/>
                      <w:bCs/>
                      <w:color w:val="auto"/>
                      <w:szCs w:val="21"/>
                    </w:rPr>
                  </w:pPr>
                </w:p>
              </w:tc>
              <w:tc>
                <w:tcPr>
                  <w:tcW w:w="891" w:type="pct"/>
                  <w:shd w:val="clear" w:color="auto" w:fill="auto"/>
                  <w:vAlign w:val="center"/>
                </w:tcPr>
                <w:p>
                  <w:pPr>
                    <w:tabs>
                      <w:tab w:val="left" w:pos="5160"/>
                    </w:tabs>
                    <w:adjustRightInd w:val="0"/>
                    <w:snapToGrid w:val="0"/>
                    <w:jc w:val="center"/>
                    <w:rPr>
                      <w:b/>
                      <w:bCs/>
                      <w:color w:val="auto"/>
                      <w:szCs w:val="21"/>
                    </w:rPr>
                  </w:pPr>
                  <w:r>
                    <w:rPr>
                      <w:b/>
                      <w:bCs/>
                      <w:color w:val="auto"/>
                      <w:szCs w:val="21"/>
                    </w:rPr>
                    <w:t>实测值</w:t>
                  </w:r>
                </w:p>
              </w:tc>
              <w:tc>
                <w:tcPr>
                  <w:tcW w:w="893" w:type="pct"/>
                  <w:shd w:val="clear" w:color="auto" w:fill="auto"/>
                  <w:vAlign w:val="center"/>
                </w:tcPr>
                <w:p>
                  <w:pPr>
                    <w:tabs>
                      <w:tab w:val="left" w:pos="5160"/>
                    </w:tabs>
                    <w:adjustRightInd w:val="0"/>
                    <w:snapToGrid w:val="0"/>
                    <w:jc w:val="center"/>
                    <w:rPr>
                      <w:b/>
                      <w:bCs/>
                      <w:color w:val="auto"/>
                      <w:szCs w:val="21"/>
                    </w:rPr>
                  </w:pPr>
                  <w:r>
                    <w:rPr>
                      <w:b/>
                      <w:bCs/>
                      <w:color w:val="auto"/>
                      <w:szCs w:val="21"/>
                    </w:rPr>
                    <w:t>标准值</w:t>
                  </w:r>
                </w:p>
              </w:tc>
              <w:tc>
                <w:tcPr>
                  <w:tcW w:w="891" w:type="pct"/>
                  <w:shd w:val="clear" w:color="auto" w:fill="auto"/>
                  <w:vAlign w:val="center"/>
                </w:tcPr>
                <w:p>
                  <w:pPr>
                    <w:tabs>
                      <w:tab w:val="left" w:pos="5160"/>
                    </w:tabs>
                    <w:adjustRightInd w:val="0"/>
                    <w:snapToGrid w:val="0"/>
                    <w:jc w:val="center"/>
                    <w:rPr>
                      <w:b/>
                      <w:bCs/>
                      <w:color w:val="auto"/>
                      <w:szCs w:val="21"/>
                    </w:rPr>
                  </w:pPr>
                  <w:r>
                    <w:rPr>
                      <w:b/>
                      <w:bCs/>
                      <w:color w:val="auto"/>
                      <w:szCs w:val="21"/>
                    </w:rPr>
                    <w:t>实测值</w:t>
                  </w:r>
                </w:p>
              </w:tc>
              <w:tc>
                <w:tcPr>
                  <w:tcW w:w="896" w:type="pct"/>
                  <w:shd w:val="clear" w:color="auto" w:fill="auto"/>
                  <w:vAlign w:val="center"/>
                </w:tcPr>
                <w:p>
                  <w:pPr>
                    <w:tabs>
                      <w:tab w:val="left" w:pos="5160"/>
                    </w:tabs>
                    <w:adjustRightInd w:val="0"/>
                    <w:snapToGrid w:val="0"/>
                    <w:jc w:val="center"/>
                    <w:rPr>
                      <w:b/>
                      <w:bCs/>
                      <w:color w:val="auto"/>
                      <w:szCs w:val="21"/>
                    </w:rPr>
                  </w:pPr>
                  <w:r>
                    <w:rPr>
                      <w:b/>
                      <w:bCs/>
                      <w:color w:val="auto"/>
                      <w:szCs w:val="21"/>
                    </w:rPr>
                    <w:t>标准值</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1" w:hRule="atLeast"/>
                <w:jc w:val="center"/>
              </w:trPr>
              <w:tc>
                <w:tcPr>
                  <w:tcW w:w="1428" w:type="pct"/>
                  <w:shd w:val="clear" w:color="auto" w:fill="auto"/>
                  <w:vAlign w:val="center"/>
                </w:tcPr>
                <w:p>
                  <w:pPr>
                    <w:jc w:val="center"/>
                    <w:rPr>
                      <w:color w:val="auto"/>
                      <w:szCs w:val="21"/>
                    </w:rPr>
                  </w:pPr>
                  <w:r>
                    <w:rPr>
                      <w:rFonts w:hint="eastAsia"/>
                      <w:color w:val="auto"/>
                      <w:szCs w:val="21"/>
                    </w:rPr>
                    <w:t>N</w:t>
                  </w:r>
                  <w:r>
                    <w:rPr>
                      <w:color w:val="auto"/>
                      <w:szCs w:val="21"/>
                    </w:rPr>
                    <w:t>1</w:t>
                  </w:r>
                  <w:r>
                    <w:rPr>
                      <w:rFonts w:hint="eastAsia"/>
                      <w:color w:val="auto"/>
                      <w:szCs w:val="21"/>
                    </w:rPr>
                    <w:t>厂界东</w:t>
                  </w:r>
                  <w:r>
                    <w:rPr>
                      <w:color w:val="auto"/>
                      <w:szCs w:val="21"/>
                    </w:rPr>
                    <w:t>侧厂界外1m</w:t>
                  </w:r>
                </w:p>
              </w:tc>
              <w:tc>
                <w:tcPr>
                  <w:tcW w:w="891" w:type="pct"/>
                  <w:shd w:val="clear" w:color="auto" w:fill="auto"/>
                  <w:vAlign w:val="center"/>
                </w:tcPr>
                <w:p>
                  <w:pPr>
                    <w:jc w:val="center"/>
                    <w:rPr>
                      <w:color w:val="auto"/>
                      <w:szCs w:val="21"/>
                    </w:rPr>
                  </w:pPr>
                  <w:r>
                    <w:rPr>
                      <w:color w:val="auto"/>
                      <w:szCs w:val="21"/>
                    </w:rPr>
                    <w:t>56.1</w:t>
                  </w:r>
                </w:p>
              </w:tc>
              <w:tc>
                <w:tcPr>
                  <w:tcW w:w="893" w:type="pct"/>
                  <w:shd w:val="clear" w:color="auto" w:fill="auto"/>
                  <w:vAlign w:val="center"/>
                </w:tcPr>
                <w:p>
                  <w:pPr>
                    <w:jc w:val="center"/>
                    <w:rPr>
                      <w:bCs/>
                      <w:color w:val="auto"/>
                      <w:szCs w:val="21"/>
                    </w:rPr>
                  </w:pPr>
                  <w:r>
                    <w:rPr>
                      <w:rFonts w:hint="eastAsia"/>
                      <w:bCs/>
                      <w:color w:val="auto"/>
                      <w:szCs w:val="21"/>
                    </w:rPr>
                    <w:t>60</w:t>
                  </w:r>
                </w:p>
              </w:tc>
              <w:tc>
                <w:tcPr>
                  <w:tcW w:w="891" w:type="pct"/>
                  <w:shd w:val="clear" w:color="auto" w:fill="auto"/>
                  <w:vAlign w:val="center"/>
                </w:tcPr>
                <w:p>
                  <w:pPr>
                    <w:jc w:val="center"/>
                    <w:rPr>
                      <w:color w:val="auto"/>
                      <w:szCs w:val="21"/>
                    </w:rPr>
                  </w:pPr>
                  <w:r>
                    <w:rPr>
                      <w:color w:val="auto"/>
                      <w:szCs w:val="21"/>
                    </w:rPr>
                    <w:t>47.0</w:t>
                  </w:r>
                </w:p>
              </w:tc>
              <w:tc>
                <w:tcPr>
                  <w:tcW w:w="896" w:type="pct"/>
                  <w:shd w:val="clear" w:color="auto" w:fill="auto"/>
                  <w:vAlign w:val="center"/>
                </w:tcPr>
                <w:p>
                  <w:pPr>
                    <w:jc w:val="center"/>
                    <w:rPr>
                      <w:bCs/>
                      <w:color w:val="auto"/>
                      <w:szCs w:val="21"/>
                    </w:rPr>
                  </w:pPr>
                  <w:r>
                    <w:rPr>
                      <w:bCs/>
                      <w:color w:val="auto"/>
                      <w:szCs w:val="21"/>
                    </w:rPr>
                    <w:t>5</w:t>
                  </w:r>
                  <w:r>
                    <w:rPr>
                      <w:rFonts w:hint="eastAsia"/>
                      <w:bCs/>
                      <w:color w:val="auto"/>
                      <w:szCs w:val="21"/>
                    </w:rPr>
                    <w:t>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1" w:hRule="atLeast"/>
                <w:jc w:val="center"/>
              </w:trPr>
              <w:tc>
                <w:tcPr>
                  <w:tcW w:w="1428" w:type="pct"/>
                  <w:shd w:val="clear" w:color="auto" w:fill="auto"/>
                  <w:vAlign w:val="center"/>
                </w:tcPr>
                <w:p>
                  <w:pPr>
                    <w:jc w:val="center"/>
                    <w:rPr>
                      <w:color w:val="auto"/>
                      <w:szCs w:val="21"/>
                    </w:rPr>
                  </w:pPr>
                  <w:r>
                    <w:rPr>
                      <w:rFonts w:hint="eastAsia"/>
                      <w:color w:val="auto"/>
                      <w:szCs w:val="21"/>
                    </w:rPr>
                    <w:t>N</w:t>
                  </w:r>
                  <w:r>
                    <w:rPr>
                      <w:color w:val="auto"/>
                      <w:szCs w:val="21"/>
                    </w:rPr>
                    <w:t>2</w:t>
                  </w:r>
                  <w:r>
                    <w:rPr>
                      <w:rFonts w:hint="eastAsia"/>
                      <w:color w:val="auto"/>
                      <w:szCs w:val="21"/>
                    </w:rPr>
                    <w:t>厂界南</w:t>
                  </w:r>
                  <w:r>
                    <w:rPr>
                      <w:color w:val="auto"/>
                      <w:szCs w:val="21"/>
                    </w:rPr>
                    <w:t>侧厂界外1m</w:t>
                  </w:r>
                </w:p>
              </w:tc>
              <w:tc>
                <w:tcPr>
                  <w:tcW w:w="891" w:type="pct"/>
                  <w:shd w:val="clear" w:color="auto" w:fill="auto"/>
                  <w:vAlign w:val="center"/>
                </w:tcPr>
                <w:p>
                  <w:pPr>
                    <w:jc w:val="center"/>
                    <w:rPr>
                      <w:color w:val="auto"/>
                      <w:szCs w:val="21"/>
                    </w:rPr>
                  </w:pPr>
                  <w:r>
                    <w:rPr>
                      <w:color w:val="auto"/>
                      <w:szCs w:val="21"/>
                    </w:rPr>
                    <w:t>65.0</w:t>
                  </w:r>
                </w:p>
              </w:tc>
              <w:tc>
                <w:tcPr>
                  <w:tcW w:w="893" w:type="pct"/>
                  <w:shd w:val="clear" w:color="auto" w:fill="auto"/>
                  <w:vAlign w:val="center"/>
                </w:tcPr>
                <w:p>
                  <w:pPr>
                    <w:jc w:val="center"/>
                    <w:rPr>
                      <w:bCs/>
                      <w:color w:val="auto"/>
                      <w:szCs w:val="21"/>
                    </w:rPr>
                  </w:pPr>
                  <w:r>
                    <w:rPr>
                      <w:bCs/>
                      <w:color w:val="auto"/>
                      <w:szCs w:val="21"/>
                    </w:rPr>
                    <w:t>70</w:t>
                  </w:r>
                </w:p>
              </w:tc>
              <w:tc>
                <w:tcPr>
                  <w:tcW w:w="891" w:type="pct"/>
                  <w:shd w:val="clear" w:color="auto" w:fill="auto"/>
                  <w:vAlign w:val="center"/>
                </w:tcPr>
                <w:p>
                  <w:pPr>
                    <w:jc w:val="center"/>
                    <w:rPr>
                      <w:color w:val="auto"/>
                      <w:szCs w:val="21"/>
                    </w:rPr>
                  </w:pPr>
                  <w:r>
                    <w:rPr>
                      <w:color w:val="auto"/>
                      <w:szCs w:val="21"/>
                    </w:rPr>
                    <w:t>53.2</w:t>
                  </w:r>
                </w:p>
              </w:tc>
              <w:tc>
                <w:tcPr>
                  <w:tcW w:w="896" w:type="pct"/>
                  <w:shd w:val="clear" w:color="auto" w:fill="auto"/>
                  <w:vAlign w:val="center"/>
                </w:tcPr>
                <w:p>
                  <w:pPr>
                    <w:jc w:val="center"/>
                    <w:rPr>
                      <w:bCs/>
                      <w:color w:val="auto"/>
                      <w:szCs w:val="21"/>
                    </w:rPr>
                  </w:pPr>
                  <w:r>
                    <w:rPr>
                      <w:bCs/>
                      <w:color w:val="auto"/>
                      <w:szCs w:val="21"/>
                    </w:rPr>
                    <w:t>55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1" w:hRule="atLeast"/>
                <w:jc w:val="center"/>
              </w:trPr>
              <w:tc>
                <w:tcPr>
                  <w:tcW w:w="1428" w:type="pct"/>
                  <w:shd w:val="clear" w:color="auto" w:fill="auto"/>
                  <w:vAlign w:val="center"/>
                </w:tcPr>
                <w:p>
                  <w:pPr>
                    <w:jc w:val="center"/>
                    <w:rPr>
                      <w:color w:val="auto"/>
                      <w:szCs w:val="21"/>
                    </w:rPr>
                  </w:pPr>
                  <w:r>
                    <w:rPr>
                      <w:rFonts w:hint="eastAsia"/>
                      <w:color w:val="auto"/>
                      <w:szCs w:val="21"/>
                    </w:rPr>
                    <w:t>N</w:t>
                  </w:r>
                  <w:r>
                    <w:rPr>
                      <w:color w:val="auto"/>
                      <w:szCs w:val="21"/>
                    </w:rPr>
                    <w:t>3</w:t>
                  </w:r>
                  <w:r>
                    <w:rPr>
                      <w:rFonts w:hint="eastAsia"/>
                      <w:color w:val="auto"/>
                      <w:szCs w:val="21"/>
                    </w:rPr>
                    <w:t>厂界西</w:t>
                  </w:r>
                  <w:r>
                    <w:rPr>
                      <w:color w:val="auto"/>
                      <w:szCs w:val="21"/>
                    </w:rPr>
                    <w:t>侧厂界外1m</w:t>
                  </w:r>
                </w:p>
              </w:tc>
              <w:tc>
                <w:tcPr>
                  <w:tcW w:w="891" w:type="pct"/>
                  <w:shd w:val="clear" w:color="auto" w:fill="auto"/>
                  <w:vAlign w:val="center"/>
                </w:tcPr>
                <w:p>
                  <w:pPr>
                    <w:jc w:val="center"/>
                    <w:rPr>
                      <w:color w:val="auto"/>
                      <w:szCs w:val="21"/>
                    </w:rPr>
                  </w:pPr>
                  <w:r>
                    <w:rPr>
                      <w:color w:val="auto"/>
                      <w:szCs w:val="21"/>
                    </w:rPr>
                    <w:t>58.1</w:t>
                  </w:r>
                </w:p>
              </w:tc>
              <w:tc>
                <w:tcPr>
                  <w:tcW w:w="893" w:type="pct"/>
                  <w:shd w:val="clear" w:color="auto" w:fill="auto"/>
                  <w:vAlign w:val="center"/>
                </w:tcPr>
                <w:p>
                  <w:pPr>
                    <w:jc w:val="center"/>
                    <w:rPr>
                      <w:bCs/>
                      <w:color w:val="auto"/>
                      <w:szCs w:val="21"/>
                    </w:rPr>
                  </w:pPr>
                  <w:r>
                    <w:rPr>
                      <w:rFonts w:hint="eastAsia"/>
                      <w:bCs/>
                      <w:color w:val="auto"/>
                      <w:szCs w:val="21"/>
                    </w:rPr>
                    <w:t>6</w:t>
                  </w:r>
                  <w:r>
                    <w:rPr>
                      <w:bCs/>
                      <w:color w:val="auto"/>
                      <w:szCs w:val="21"/>
                    </w:rPr>
                    <w:t>0</w:t>
                  </w:r>
                </w:p>
              </w:tc>
              <w:tc>
                <w:tcPr>
                  <w:tcW w:w="891" w:type="pct"/>
                  <w:shd w:val="clear" w:color="auto" w:fill="auto"/>
                  <w:vAlign w:val="center"/>
                </w:tcPr>
                <w:p>
                  <w:pPr>
                    <w:jc w:val="center"/>
                    <w:rPr>
                      <w:color w:val="auto"/>
                      <w:szCs w:val="21"/>
                    </w:rPr>
                  </w:pPr>
                  <w:r>
                    <w:rPr>
                      <w:color w:val="auto"/>
                      <w:szCs w:val="21"/>
                    </w:rPr>
                    <w:t>46.8</w:t>
                  </w:r>
                </w:p>
              </w:tc>
              <w:tc>
                <w:tcPr>
                  <w:tcW w:w="896" w:type="pct"/>
                  <w:shd w:val="clear" w:color="auto" w:fill="auto"/>
                  <w:vAlign w:val="center"/>
                </w:tcPr>
                <w:p>
                  <w:pPr>
                    <w:jc w:val="center"/>
                    <w:rPr>
                      <w:bCs/>
                      <w:color w:val="auto"/>
                      <w:szCs w:val="21"/>
                    </w:rPr>
                  </w:pPr>
                  <w:r>
                    <w:rPr>
                      <w:rFonts w:hint="eastAsia"/>
                      <w:bCs/>
                      <w:color w:val="auto"/>
                      <w:szCs w:val="21"/>
                    </w:rPr>
                    <w:t>5</w:t>
                  </w:r>
                  <w:r>
                    <w:rPr>
                      <w:bCs/>
                      <w:color w:val="auto"/>
                      <w:szCs w:val="21"/>
                    </w:rPr>
                    <w:t>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1" w:hRule="atLeast"/>
                <w:jc w:val="center"/>
              </w:trPr>
              <w:tc>
                <w:tcPr>
                  <w:tcW w:w="1428" w:type="pct"/>
                  <w:shd w:val="clear" w:color="auto" w:fill="auto"/>
                  <w:vAlign w:val="center"/>
                </w:tcPr>
                <w:p>
                  <w:pPr>
                    <w:jc w:val="center"/>
                    <w:rPr>
                      <w:color w:val="auto"/>
                      <w:szCs w:val="21"/>
                    </w:rPr>
                  </w:pPr>
                  <w:r>
                    <w:rPr>
                      <w:rFonts w:hint="eastAsia"/>
                      <w:color w:val="auto"/>
                      <w:szCs w:val="21"/>
                    </w:rPr>
                    <w:t>N</w:t>
                  </w:r>
                  <w:r>
                    <w:rPr>
                      <w:color w:val="auto"/>
                      <w:szCs w:val="21"/>
                    </w:rPr>
                    <w:t>4</w:t>
                  </w:r>
                  <w:r>
                    <w:rPr>
                      <w:rFonts w:hint="eastAsia"/>
                      <w:color w:val="auto"/>
                      <w:szCs w:val="21"/>
                    </w:rPr>
                    <w:t>厂界北</w:t>
                  </w:r>
                  <w:r>
                    <w:rPr>
                      <w:color w:val="auto"/>
                      <w:szCs w:val="21"/>
                    </w:rPr>
                    <w:t>侧厂界外1m</w:t>
                  </w:r>
                </w:p>
              </w:tc>
              <w:tc>
                <w:tcPr>
                  <w:tcW w:w="891" w:type="pct"/>
                  <w:shd w:val="clear" w:color="auto" w:fill="auto"/>
                  <w:vAlign w:val="center"/>
                </w:tcPr>
                <w:p>
                  <w:pPr>
                    <w:jc w:val="center"/>
                    <w:rPr>
                      <w:color w:val="auto"/>
                      <w:szCs w:val="21"/>
                    </w:rPr>
                  </w:pPr>
                  <w:r>
                    <w:rPr>
                      <w:color w:val="auto"/>
                      <w:szCs w:val="21"/>
                    </w:rPr>
                    <w:t>57.4</w:t>
                  </w:r>
                </w:p>
              </w:tc>
              <w:tc>
                <w:tcPr>
                  <w:tcW w:w="893" w:type="pct"/>
                  <w:shd w:val="clear" w:color="auto" w:fill="auto"/>
                  <w:vAlign w:val="center"/>
                </w:tcPr>
                <w:p>
                  <w:pPr>
                    <w:jc w:val="center"/>
                    <w:rPr>
                      <w:bCs/>
                      <w:color w:val="auto"/>
                      <w:szCs w:val="21"/>
                    </w:rPr>
                  </w:pPr>
                  <w:r>
                    <w:rPr>
                      <w:bCs/>
                      <w:color w:val="auto"/>
                      <w:szCs w:val="21"/>
                    </w:rPr>
                    <w:t>60</w:t>
                  </w:r>
                </w:p>
              </w:tc>
              <w:tc>
                <w:tcPr>
                  <w:tcW w:w="891" w:type="pct"/>
                  <w:shd w:val="clear" w:color="auto" w:fill="auto"/>
                  <w:vAlign w:val="center"/>
                </w:tcPr>
                <w:p>
                  <w:pPr>
                    <w:jc w:val="center"/>
                    <w:rPr>
                      <w:color w:val="auto"/>
                      <w:szCs w:val="21"/>
                    </w:rPr>
                  </w:pPr>
                  <w:r>
                    <w:rPr>
                      <w:color w:val="auto"/>
                      <w:szCs w:val="21"/>
                    </w:rPr>
                    <w:t>45.4</w:t>
                  </w:r>
                </w:p>
              </w:tc>
              <w:tc>
                <w:tcPr>
                  <w:tcW w:w="896" w:type="pct"/>
                  <w:shd w:val="clear" w:color="auto" w:fill="auto"/>
                  <w:vAlign w:val="center"/>
                </w:tcPr>
                <w:p>
                  <w:pPr>
                    <w:jc w:val="center"/>
                    <w:rPr>
                      <w:bCs/>
                      <w:color w:val="auto"/>
                      <w:szCs w:val="21"/>
                    </w:rPr>
                  </w:pPr>
                  <w:r>
                    <w:rPr>
                      <w:bCs/>
                      <w:color w:val="auto"/>
                      <w:szCs w:val="21"/>
                    </w:rPr>
                    <w:t>50</w:t>
                  </w:r>
                </w:p>
              </w:tc>
            </w:tr>
          </w:tbl>
          <w:p>
            <w:pPr>
              <w:rPr>
                <w:color w:val="auto"/>
              </w:rPr>
            </w:pPr>
          </w:p>
          <w:p>
            <w:pPr>
              <w:adjustRightInd w:val="0"/>
              <w:snapToGrid w:val="0"/>
              <w:spacing w:line="360" w:lineRule="auto"/>
              <w:ind w:firstLine="480" w:firstLineChars="200"/>
              <w:rPr>
                <w:color w:val="auto"/>
              </w:rPr>
            </w:pPr>
            <w:r>
              <w:rPr>
                <w:rFonts w:hint="eastAsia"/>
                <w:bCs/>
                <w:color w:val="auto"/>
                <w:sz w:val="24"/>
              </w:rPr>
              <w:t>为进一步了解本项目管道铺设沿线敏感点的声环境质量现状，本项目委托广东精科环境科技有限公司</w:t>
            </w:r>
            <w:r>
              <w:rPr>
                <w:bCs/>
                <w:color w:val="auto"/>
                <w:sz w:val="24"/>
              </w:rPr>
              <w:t>于</w:t>
            </w:r>
            <w:r>
              <w:rPr>
                <w:rFonts w:hint="eastAsia"/>
                <w:bCs/>
                <w:color w:val="auto"/>
                <w:sz w:val="24"/>
              </w:rPr>
              <w:t>2020年5月25</w:t>
            </w:r>
            <w:r>
              <w:rPr>
                <w:bCs/>
                <w:color w:val="auto"/>
                <w:sz w:val="24"/>
              </w:rPr>
              <w:t>-26</w:t>
            </w:r>
            <w:r>
              <w:rPr>
                <w:rFonts w:hint="eastAsia"/>
                <w:bCs/>
                <w:color w:val="auto"/>
                <w:sz w:val="24"/>
              </w:rPr>
              <w:t>日在项目沿线设置了共9个噪声监测点位，其中，N1-N4为紧邻国道的居民敏感点，N5为梅州金盘医院（距G</w:t>
            </w:r>
            <w:r>
              <w:rPr>
                <w:bCs/>
                <w:color w:val="auto"/>
                <w:sz w:val="24"/>
              </w:rPr>
              <w:t>205</w:t>
            </w:r>
            <w:r>
              <w:rPr>
                <w:rFonts w:hint="eastAsia"/>
                <w:bCs/>
                <w:color w:val="auto"/>
                <w:sz w:val="24"/>
              </w:rPr>
              <w:t>国道约8米）、N8为城东镇政府（距G</w:t>
            </w:r>
            <w:r>
              <w:rPr>
                <w:bCs/>
                <w:color w:val="auto"/>
                <w:sz w:val="24"/>
              </w:rPr>
              <w:t>205</w:t>
            </w:r>
            <w:r>
              <w:rPr>
                <w:rFonts w:hint="eastAsia"/>
                <w:bCs/>
                <w:color w:val="auto"/>
                <w:sz w:val="24"/>
              </w:rPr>
              <w:t>国道约2</w:t>
            </w:r>
            <w:r>
              <w:rPr>
                <w:bCs/>
                <w:color w:val="auto"/>
                <w:sz w:val="24"/>
              </w:rPr>
              <w:t>0</w:t>
            </w:r>
            <w:r>
              <w:rPr>
                <w:rFonts w:hint="eastAsia"/>
                <w:bCs/>
                <w:color w:val="auto"/>
                <w:sz w:val="24"/>
              </w:rPr>
              <w:t>米）、N9为第三监狱（紧邻G</w:t>
            </w:r>
            <w:r>
              <w:rPr>
                <w:bCs/>
                <w:color w:val="auto"/>
                <w:sz w:val="24"/>
              </w:rPr>
              <w:t>205</w:t>
            </w:r>
            <w:r>
              <w:rPr>
                <w:rFonts w:hint="eastAsia"/>
                <w:bCs/>
                <w:color w:val="auto"/>
                <w:sz w:val="24"/>
              </w:rPr>
              <w:t>国道），均执行</w:t>
            </w:r>
            <w:r>
              <w:rPr>
                <w:bCs/>
                <w:color w:val="auto"/>
                <w:sz w:val="24"/>
              </w:rPr>
              <w:t>《声环境质量标准》（GB3096-2008）4</w:t>
            </w:r>
            <w:r>
              <w:rPr>
                <w:rFonts w:hint="eastAsia"/>
                <w:bCs/>
                <w:color w:val="auto"/>
                <w:sz w:val="24"/>
              </w:rPr>
              <w:t>a类标准；N6为梅州市工业学校（距G</w:t>
            </w:r>
            <w:r>
              <w:rPr>
                <w:bCs/>
                <w:color w:val="auto"/>
                <w:sz w:val="24"/>
              </w:rPr>
              <w:t>205</w:t>
            </w:r>
            <w:r>
              <w:rPr>
                <w:rFonts w:hint="eastAsia"/>
                <w:bCs/>
                <w:color w:val="auto"/>
                <w:sz w:val="24"/>
              </w:rPr>
              <w:t>国道约</w:t>
            </w:r>
            <w:r>
              <w:rPr>
                <w:bCs/>
                <w:color w:val="auto"/>
                <w:sz w:val="24"/>
              </w:rPr>
              <w:t>150</w:t>
            </w:r>
            <w:r>
              <w:rPr>
                <w:rFonts w:hint="eastAsia"/>
                <w:bCs/>
                <w:color w:val="auto"/>
                <w:sz w:val="24"/>
              </w:rPr>
              <w:t>米）、N7为谢田卫生站（距G</w:t>
            </w:r>
            <w:r>
              <w:rPr>
                <w:bCs/>
                <w:color w:val="auto"/>
                <w:sz w:val="24"/>
              </w:rPr>
              <w:t>205</w:t>
            </w:r>
            <w:r>
              <w:rPr>
                <w:rFonts w:hint="eastAsia"/>
                <w:bCs/>
                <w:color w:val="auto"/>
                <w:sz w:val="24"/>
              </w:rPr>
              <w:t>国道约</w:t>
            </w:r>
            <w:r>
              <w:rPr>
                <w:bCs/>
                <w:color w:val="auto"/>
                <w:sz w:val="24"/>
              </w:rPr>
              <w:t>52</w:t>
            </w:r>
            <w:r>
              <w:rPr>
                <w:rFonts w:hint="eastAsia"/>
                <w:bCs/>
                <w:color w:val="auto"/>
                <w:sz w:val="24"/>
              </w:rPr>
              <w:t>米），执行</w:t>
            </w:r>
            <w:r>
              <w:rPr>
                <w:bCs/>
                <w:color w:val="auto"/>
                <w:sz w:val="24"/>
              </w:rPr>
              <w:t>《声环境质量标准》（GB3096-2008）1</w:t>
            </w:r>
            <w:r>
              <w:rPr>
                <w:rFonts w:hint="eastAsia"/>
                <w:bCs/>
                <w:color w:val="auto"/>
                <w:sz w:val="24"/>
              </w:rPr>
              <w:t>类标准。监测时段为昼间和夜间，监测点位见附图4，监测结果见表</w:t>
            </w:r>
            <w:r>
              <w:rPr>
                <w:bCs/>
                <w:color w:val="auto"/>
                <w:sz w:val="24"/>
              </w:rPr>
              <w:t>5</w:t>
            </w:r>
            <w:r>
              <w:rPr>
                <w:rFonts w:hint="eastAsia"/>
                <w:bCs/>
                <w:color w:val="auto"/>
                <w:sz w:val="24"/>
              </w:rPr>
              <w:t>。</w:t>
            </w:r>
          </w:p>
          <w:p>
            <w:pPr>
              <w:pStyle w:val="14"/>
              <w:ind w:firstLine="470"/>
              <w:rPr>
                <w:rFonts w:cs="Arial"/>
                <w:color w:val="auto"/>
                <w:sz w:val="21"/>
                <w:szCs w:val="21"/>
              </w:rPr>
            </w:pPr>
            <w:r>
              <w:rPr>
                <w:rFonts w:hint="eastAsia" w:cs="Arial"/>
                <w:color w:val="auto"/>
                <w:sz w:val="21"/>
                <w:szCs w:val="21"/>
              </w:rPr>
              <w:t>表</w:t>
            </w:r>
            <w:r>
              <w:rPr>
                <w:b w:val="0"/>
                <w:color w:val="auto"/>
                <w:sz w:val="21"/>
                <w:szCs w:val="21"/>
              </w:rPr>
              <w:fldChar w:fldCharType="begin"/>
            </w:r>
            <w:r>
              <w:rPr>
                <w:b w:val="0"/>
                <w:color w:val="auto"/>
                <w:sz w:val="21"/>
                <w:szCs w:val="21"/>
              </w:rPr>
              <w:instrText xml:space="preserve"> </w:instrText>
            </w:r>
            <w:r>
              <w:rPr>
                <w:rFonts w:hint="eastAsia"/>
                <w:b w:val="0"/>
                <w:color w:val="auto"/>
                <w:sz w:val="21"/>
                <w:szCs w:val="21"/>
              </w:rPr>
              <w:instrText xml:space="preserve">SEQ 表 \* ARABIC</w:instrText>
            </w:r>
            <w:r>
              <w:rPr>
                <w:b w:val="0"/>
                <w:color w:val="auto"/>
                <w:sz w:val="21"/>
                <w:szCs w:val="21"/>
              </w:rPr>
              <w:instrText xml:space="preserve"> </w:instrText>
            </w:r>
            <w:r>
              <w:rPr>
                <w:b w:val="0"/>
                <w:color w:val="auto"/>
                <w:sz w:val="21"/>
                <w:szCs w:val="21"/>
              </w:rPr>
              <w:fldChar w:fldCharType="separate"/>
            </w:r>
            <w:r>
              <w:rPr>
                <w:b w:val="0"/>
                <w:color w:val="auto"/>
                <w:sz w:val="21"/>
                <w:szCs w:val="21"/>
              </w:rPr>
              <w:t>5</w:t>
            </w:r>
            <w:r>
              <w:rPr>
                <w:b w:val="0"/>
                <w:color w:val="auto"/>
                <w:sz w:val="21"/>
                <w:szCs w:val="21"/>
              </w:rPr>
              <w:fldChar w:fldCharType="end"/>
            </w:r>
            <w:r>
              <w:rPr>
                <w:rFonts w:cs="Arial"/>
                <w:color w:val="auto"/>
                <w:sz w:val="21"/>
                <w:szCs w:val="21"/>
              </w:rPr>
              <w:t xml:space="preserve"> </w:t>
            </w:r>
            <w:r>
              <w:rPr>
                <w:rFonts w:hint="eastAsia" w:cs="Arial"/>
                <w:color w:val="auto"/>
                <w:sz w:val="21"/>
                <w:szCs w:val="21"/>
              </w:rPr>
              <w:t xml:space="preserve">  建设项目环境噪声现状监测结果（单位:dB(A)）</w:t>
            </w:r>
          </w:p>
          <w:tbl>
            <w:tblPr>
              <w:tblStyle w:val="33"/>
              <w:tblW w:w="8961"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849"/>
              <w:gridCol w:w="1154"/>
              <w:gridCol w:w="1156"/>
              <w:gridCol w:w="1154"/>
              <w:gridCol w:w="1160"/>
              <w:gridCol w:w="1244"/>
              <w:gridCol w:w="1244"/>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1" w:hRule="atLeast"/>
                <w:jc w:val="center"/>
              </w:trPr>
              <w:tc>
                <w:tcPr>
                  <w:tcW w:w="1032" w:type="pct"/>
                  <w:vMerge w:val="restart"/>
                  <w:shd w:val="clear" w:color="auto" w:fill="auto"/>
                  <w:vAlign w:val="center"/>
                </w:tcPr>
                <w:p>
                  <w:pPr>
                    <w:tabs>
                      <w:tab w:val="left" w:pos="5160"/>
                    </w:tabs>
                    <w:adjustRightInd w:val="0"/>
                    <w:snapToGrid w:val="0"/>
                    <w:jc w:val="center"/>
                    <w:rPr>
                      <w:b/>
                      <w:bCs/>
                      <w:color w:val="auto"/>
                      <w:szCs w:val="21"/>
                    </w:rPr>
                  </w:pPr>
                  <w:r>
                    <w:rPr>
                      <w:b/>
                      <w:bCs/>
                      <w:color w:val="auto"/>
                      <w:szCs w:val="21"/>
                    </w:rPr>
                    <w:t>测点</w:t>
                  </w:r>
                </w:p>
              </w:tc>
              <w:tc>
                <w:tcPr>
                  <w:tcW w:w="1289" w:type="pct"/>
                  <w:gridSpan w:val="2"/>
                  <w:shd w:val="clear" w:color="auto" w:fill="auto"/>
                  <w:vAlign w:val="center"/>
                </w:tcPr>
                <w:p>
                  <w:pPr>
                    <w:tabs>
                      <w:tab w:val="left" w:pos="5160"/>
                    </w:tabs>
                    <w:adjustRightInd w:val="0"/>
                    <w:snapToGrid w:val="0"/>
                    <w:jc w:val="center"/>
                    <w:rPr>
                      <w:b/>
                      <w:bCs/>
                      <w:color w:val="auto"/>
                      <w:szCs w:val="21"/>
                      <w:vertAlign w:val="subscript"/>
                    </w:rPr>
                  </w:pPr>
                  <w:r>
                    <w:rPr>
                      <w:rFonts w:hint="eastAsia"/>
                      <w:b/>
                      <w:bCs/>
                      <w:color w:val="auto"/>
                      <w:szCs w:val="21"/>
                    </w:rPr>
                    <w:t>2</w:t>
                  </w:r>
                  <w:r>
                    <w:rPr>
                      <w:b/>
                      <w:bCs/>
                      <w:color w:val="auto"/>
                      <w:szCs w:val="21"/>
                    </w:rPr>
                    <w:t>020.5.25</w:t>
                  </w:r>
                </w:p>
              </w:tc>
              <w:tc>
                <w:tcPr>
                  <w:tcW w:w="1291" w:type="pct"/>
                  <w:gridSpan w:val="2"/>
                  <w:shd w:val="clear" w:color="auto" w:fill="auto"/>
                  <w:vAlign w:val="center"/>
                </w:tcPr>
                <w:p>
                  <w:pPr>
                    <w:tabs>
                      <w:tab w:val="left" w:pos="5160"/>
                    </w:tabs>
                    <w:adjustRightInd w:val="0"/>
                    <w:snapToGrid w:val="0"/>
                    <w:jc w:val="center"/>
                    <w:rPr>
                      <w:b/>
                      <w:bCs/>
                      <w:color w:val="auto"/>
                      <w:szCs w:val="21"/>
                      <w:vertAlign w:val="subscript"/>
                    </w:rPr>
                  </w:pPr>
                  <w:r>
                    <w:rPr>
                      <w:rFonts w:hint="eastAsia"/>
                      <w:b/>
                      <w:bCs/>
                      <w:color w:val="auto"/>
                      <w:szCs w:val="21"/>
                    </w:rPr>
                    <w:t>2</w:t>
                  </w:r>
                  <w:r>
                    <w:rPr>
                      <w:b/>
                      <w:bCs/>
                      <w:color w:val="auto"/>
                      <w:szCs w:val="21"/>
                    </w:rPr>
                    <w:t>020.5.26</w:t>
                  </w:r>
                </w:p>
              </w:tc>
              <w:tc>
                <w:tcPr>
                  <w:tcW w:w="1388" w:type="pct"/>
                  <w:gridSpan w:val="2"/>
                  <w:vMerge w:val="restart"/>
                  <w:vAlign w:val="center"/>
                </w:tcPr>
                <w:p>
                  <w:pPr>
                    <w:tabs>
                      <w:tab w:val="left" w:pos="5160"/>
                    </w:tabs>
                    <w:adjustRightInd w:val="0"/>
                    <w:snapToGrid w:val="0"/>
                    <w:jc w:val="center"/>
                    <w:rPr>
                      <w:b/>
                      <w:bCs/>
                      <w:color w:val="auto"/>
                      <w:szCs w:val="21"/>
                    </w:rPr>
                  </w:pPr>
                  <w:r>
                    <w:rPr>
                      <w:rFonts w:hint="eastAsia"/>
                      <w:b/>
                      <w:bCs/>
                      <w:color w:val="auto"/>
                      <w:szCs w:val="21"/>
                    </w:rPr>
                    <w:t>标准限值</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1" w:hRule="atLeast"/>
                <w:jc w:val="center"/>
              </w:trPr>
              <w:tc>
                <w:tcPr>
                  <w:tcW w:w="1032" w:type="pct"/>
                  <w:vMerge w:val="continue"/>
                  <w:shd w:val="clear" w:color="auto" w:fill="auto"/>
                  <w:vAlign w:val="center"/>
                </w:tcPr>
                <w:p>
                  <w:pPr>
                    <w:tabs>
                      <w:tab w:val="left" w:pos="5160"/>
                    </w:tabs>
                    <w:adjustRightInd w:val="0"/>
                    <w:snapToGrid w:val="0"/>
                    <w:jc w:val="center"/>
                    <w:rPr>
                      <w:b/>
                      <w:bCs/>
                      <w:color w:val="auto"/>
                      <w:szCs w:val="21"/>
                    </w:rPr>
                  </w:pPr>
                </w:p>
              </w:tc>
              <w:tc>
                <w:tcPr>
                  <w:tcW w:w="644" w:type="pct"/>
                  <w:shd w:val="clear" w:color="auto" w:fill="auto"/>
                  <w:vAlign w:val="center"/>
                </w:tcPr>
                <w:p>
                  <w:pPr>
                    <w:tabs>
                      <w:tab w:val="left" w:pos="5160"/>
                    </w:tabs>
                    <w:adjustRightInd w:val="0"/>
                    <w:snapToGrid w:val="0"/>
                    <w:jc w:val="center"/>
                    <w:rPr>
                      <w:b/>
                      <w:bCs/>
                      <w:color w:val="auto"/>
                      <w:szCs w:val="21"/>
                    </w:rPr>
                  </w:pPr>
                  <w:r>
                    <w:rPr>
                      <w:rFonts w:ascii="宋体" w:hAnsi="宋体" w:cs="宋体"/>
                      <w:b/>
                      <w:bCs/>
                      <w:color w:val="auto"/>
                      <w:szCs w:val="21"/>
                    </w:rPr>
                    <w:t>昼间</w:t>
                  </w:r>
                </w:p>
              </w:tc>
              <w:tc>
                <w:tcPr>
                  <w:tcW w:w="645" w:type="pct"/>
                  <w:shd w:val="clear" w:color="auto" w:fill="auto"/>
                  <w:vAlign w:val="center"/>
                </w:tcPr>
                <w:p>
                  <w:pPr>
                    <w:tabs>
                      <w:tab w:val="left" w:pos="5160"/>
                    </w:tabs>
                    <w:adjustRightInd w:val="0"/>
                    <w:snapToGrid w:val="0"/>
                    <w:jc w:val="center"/>
                    <w:rPr>
                      <w:b/>
                      <w:bCs/>
                      <w:color w:val="auto"/>
                      <w:szCs w:val="21"/>
                    </w:rPr>
                  </w:pPr>
                  <w:r>
                    <w:rPr>
                      <w:rFonts w:ascii="宋体" w:hAnsi="宋体" w:cs="宋体"/>
                      <w:b/>
                      <w:bCs/>
                      <w:color w:val="auto"/>
                      <w:szCs w:val="21"/>
                    </w:rPr>
                    <w:t>夜间</w:t>
                  </w:r>
                </w:p>
              </w:tc>
              <w:tc>
                <w:tcPr>
                  <w:tcW w:w="644" w:type="pct"/>
                  <w:shd w:val="clear" w:color="auto" w:fill="auto"/>
                  <w:vAlign w:val="center"/>
                </w:tcPr>
                <w:p>
                  <w:pPr>
                    <w:tabs>
                      <w:tab w:val="left" w:pos="5160"/>
                    </w:tabs>
                    <w:adjustRightInd w:val="0"/>
                    <w:snapToGrid w:val="0"/>
                    <w:jc w:val="center"/>
                    <w:rPr>
                      <w:b/>
                      <w:bCs/>
                      <w:color w:val="auto"/>
                      <w:szCs w:val="21"/>
                    </w:rPr>
                  </w:pPr>
                  <w:r>
                    <w:rPr>
                      <w:rFonts w:ascii="宋体" w:hAnsi="宋体" w:cs="宋体"/>
                      <w:b/>
                      <w:bCs/>
                      <w:color w:val="auto"/>
                      <w:szCs w:val="21"/>
                    </w:rPr>
                    <w:t>昼间</w:t>
                  </w:r>
                </w:p>
              </w:tc>
              <w:tc>
                <w:tcPr>
                  <w:tcW w:w="647" w:type="pct"/>
                  <w:shd w:val="clear" w:color="auto" w:fill="auto"/>
                  <w:vAlign w:val="center"/>
                </w:tcPr>
                <w:p>
                  <w:pPr>
                    <w:tabs>
                      <w:tab w:val="left" w:pos="5160"/>
                    </w:tabs>
                    <w:adjustRightInd w:val="0"/>
                    <w:snapToGrid w:val="0"/>
                    <w:jc w:val="center"/>
                    <w:rPr>
                      <w:b/>
                      <w:bCs/>
                      <w:color w:val="auto"/>
                      <w:szCs w:val="21"/>
                    </w:rPr>
                  </w:pPr>
                  <w:r>
                    <w:rPr>
                      <w:rFonts w:ascii="宋体" w:hAnsi="宋体" w:cs="宋体"/>
                      <w:b/>
                      <w:bCs/>
                      <w:color w:val="auto"/>
                      <w:szCs w:val="21"/>
                    </w:rPr>
                    <w:t>夜间</w:t>
                  </w:r>
                </w:p>
              </w:tc>
              <w:tc>
                <w:tcPr>
                  <w:tcW w:w="1388" w:type="pct"/>
                  <w:gridSpan w:val="2"/>
                  <w:vMerge w:val="continue"/>
                  <w:vAlign w:val="center"/>
                </w:tcPr>
                <w:p>
                  <w:pPr>
                    <w:tabs>
                      <w:tab w:val="left" w:pos="5160"/>
                    </w:tabs>
                    <w:adjustRightInd w:val="0"/>
                    <w:snapToGrid w:val="0"/>
                    <w:jc w:val="center"/>
                    <w:rPr>
                      <w:b/>
                      <w:bCs/>
                      <w:color w:val="auto"/>
                      <w:szCs w:val="21"/>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1" w:hRule="atLeast"/>
                <w:jc w:val="center"/>
              </w:trPr>
              <w:tc>
                <w:tcPr>
                  <w:tcW w:w="1032" w:type="pct"/>
                  <w:shd w:val="clear" w:color="auto" w:fill="auto"/>
                  <w:vAlign w:val="center"/>
                </w:tcPr>
                <w:p>
                  <w:pPr>
                    <w:jc w:val="center"/>
                    <w:rPr>
                      <w:color w:val="auto"/>
                      <w:szCs w:val="21"/>
                    </w:rPr>
                  </w:pPr>
                  <w:r>
                    <w:rPr>
                      <w:rFonts w:hint="eastAsia"/>
                      <w:color w:val="auto"/>
                      <w:szCs w:val="21"/>
                    </w:rPr>
                    <w:t>N</w:t>
                  </w:r>
                  <w:r>
                    <w:rPr>
                      <w:color w:val="auto"/>
                      <w:szCs w:val="21"/>
                    </w:rPr>
                    <w:t>1</w:t>
                  </w:r>
                  <w:r>
                    <w:rPr>
                      <w:rFonts w:hint="eastAsia"/>
                      <w:color w:val="auto"/>
                      <w:szCs w:val="21"/>
                    </w:rPr>
                    <w:t>居民点</w:t>
                  </w:r>
                </w:p>
              </w:tc>
              <w:tc>
                <w:tcPr>
                  <w:tcW w:w="644" w:type="pct"/>
                  <w:shd w:val="clear" w:color="auto" w:fill="auto"/>
                  <w:vAlign w:val="center"/>
                </w:tcPr>
                <w:p>
                  <w:pPr>
                    <w:jc w:val="center"/>
                    <w:rPr>
                      <w:color w:val="auto"/>
                      <w:szCs w:val="21"/>
                    </w:rPr>
                  </w:pPr>
                  <w:r>
                    <w:rPr>
                      <w:color w:val="auto"/>
                    </w:rPr>
                    <w:t>61.3</w:t>
                  </w:r>
                </w:p>
              </w:tc>
              <w:tc>
                <w:tcPr>
                  <w:tcW w:w="645" w:type="pct"/>
                  <w:shd w:val="clear" w:color="auto" w:fill="auto"/>
                  <w:vAlign w:val="center"/>
                </w:tcPr>
                <w:p>
                  <w:pPr>
                    <w:jc w:val="center"/>
                    <w:rPr>
                      <w:bCs/>
                      <w:color w:val="auto"/>
                      <w:szCs w:val="21"/>
                    </w:rPr>
                  </w:pPr>
                  <w:r>
                    <w:rPr>
                      <w:color w:val="auto"/>
                    </w:rPr>
                    <w:t>57.6</w:t>
                  </w:r>
                </w:p>
              </w:tc>
              <w:tc>
                <w:tcPr>
                  <w:tcW w:w="644" w:type="pct"/>
                  <w:shd w:val="clear" w:color="auto" w:fill="auto"/>
                  <w:vAlign w:val="center"/>
                </w:tcPr>
                <w:p>
                  <w:pPr>
                    <w:jc w:val="center"/>
                    <w:rPr>
                      <w:color w:val="auto"/>
                      <w:szCs w:val="21"/>
                    </w:rPr>
                  </w:pPr>
                  <w:r>
                    <w:rPr>
                      <w:color w:val="auto"/>
                    </w:rPr>
                    <w:t>63.7</w:t>
                  </w:r>
                </w:p>
              </w:tc>
              <w:tc>
                <w:tcPr>
                  <w:tcW w:w="647" w:type="pct"/>
                  <w:shd w:val="clear" w:color="auto" w:fill="auto"/>
                  <w:vAlign w:val="center"/>
                </w:tcPr>
                <w:p>
                  <w:pPr>
                    <w:jc w:val="center"/>
                    <w:rPr>
                      <w:bCs/>
                      <w:color w:val="auto"/>
                      <w:szCs w:val="21"/>
                    </w:rPr>
                  </w:pPr>
                  <w:r>
                    <w:rPr>
                      <w:color w:val="auto"/>
                    </w:rPr>
                    <w:t>57.5</w:t>
                  </w:r>
                </w:p>
              </w:tc>
              <w:tc>
                <w:tcPr>
                  <w:tcW w:w="694" w:type="pct"/>
                  <w:vAlign w:val="center"/>
                </w:tcPr>
                <w:p>
                  <w:pPr>
                    <w:jc w:val="center"/>
                    <w:rPr>
                      <w:bCs/>
                      <w:color w:val="auto"/>
                      <w:szCs w:val="21"/>
                    </w:rPr>
                  </w:pPr>
                  <w:r>
                    <w:rPr>
                      <w:color w:val="auto"/>
                    </w:rPr>
                    <w:t>70</w:t>
                  </w:r>
                </w:p>
              </w:tc>
              <w:tc>
                <w:tcPr>
                  <w:tcW w:w="694" w:type="pct"/>
                  <w:vAlign w:val="center"/>
                </w:tcPr>
                <w:p>
                  <w:pPr>
                    <w:jc w:val="center"/>
                    <w:rPr>
                      <w:bCs/>
                      <w:color w:val="auto"/>
                      <w:szCs w:val="21"/>
                    </w:rPr>
                  </w:pPr>
                  <w:r>
                    <w:rPr>
                      <w:color w:val="auto"/>
                    </w:rPr>
                    <w:t>55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1" w:hRule="atLeast"/>
                <w:jc w:val="center"/>
              </w:trPr>
              <w:tc>
                <w:tcPr>
                  <w:tcW w:w="1032" w:type="pct"/>
                  <w:shd w:val="clear" w:color="auto" w:fill="auto"/>
                  <w:vAlign w:val="center"/>
                </w:tcPr>
                <w:p>
                  <w:pPr>
                    <w:jc w:val="center"/>
                    <w:rPr>
                      <w:color w:val="auto"/>
                      <w:szCs w:val="21"/>
                    </w:rPr>
                  </w:pPr>
                  <w:r>
                    <w:rPr>
                      <w:rFonts w:hint="eastAsia"/>
                      <w:color w:val="auto"/>
                      <w:szCs w:val="21"/>
                    </w:rPr>
                    <w:t>N</w:t>
                  </w:r>
                  <w:r>
                    <w:rPr>
                      <w:color w:val="auto"/>
                      <w:szCs w:val="21"/>
                    </w:rPr>
                    <w:t>2</w:t>
                  </w:r>
                  <w:r>
                    <w:rPr>
                      <w:rFonts w:hint="eastAsia"/>
                      <w:color w:val="auto"/>
                      <w:szCs w:val="21"/>
                    </w:rPr>
                    <w:t>居民点</w:t>
                  </w:r>
                </w:p>
              </w:tc>
              <w:tc>
                <w:tcPr>
                  <w:tcW w:w="644" w:type="pct"/>
                  <w:shd w:val="clear" w:color="auto" w:fill="auto"/>
                  <w:vAlign w:val="center"/>
                </w:tcPr>
                <w:p>
                  <w:pPr>
                    <w:jc w:val="center"/>
                    <w:rPr>
                      <w:color w:val="auto"/>
                      <w:szCs w:val="21"/>
                    </w:rPr>
                  </w:pPr>
                  <w:r>
                    <w:rPr>
                      <w:color w:val="auto"/>
                    </w:rPr>
                    <w:t>63.1</w:t>
                  </w:r>
                </w:p>
              </w:tc>
              <w:tc>
                <w:tcPr>
                  <w:tcW w:w="645" w:type="pct"/>
                  <w:shd w:val="clear" w:color="auto" w:fill="auto"/>
                  <w:vAlign w:val="center"/>
                </w:tcPr>
                <w:p>
                  <w:pPr>
                    <w:jc w:val="center"/>
                    <w:rPr>
                      <w:bCs/>
                      <w:color w:val="auto"/>
                      <w:szCs w:val="21"/>
                    </w:rPr>
                  </w:pPr>
                  <w:r>
                    <w:rPr>
                      <w:color w:val="auto"/>
                    </w:rPr>
                    <w:t>58.7</w:t>
                  </w:r>
                </w:p>
              </w:tc>
              <w:tc>
                <w:tcPr>
                  <w:tcW w:w="644" w:type="pct"/>
                  <w:shd w:val="clear" w:color="auto" w:fill="auto"/>
                  <w:vAlign w:val="center"/>
                </w:tcPr>
                <w:p>
                  <w:pPr>
                    <w:jc w:val="center"/>
                    <w:rPr>
                      <w:color w:val="auto"/>
                      <w:szCs w:val="21"/>
                    </w:rPr>
                  </w:pPr>
                  <w:r>
                    <w:rPr>
                      <w:color w:val="auto"/>
                    </w:rPr>
                    <w:t>64.5</w:t>
                  </w:r>
                </w:p>
              </w:tc>
              <w:tc>
                <w:tcPr>
                  <w:tcW w:w="647" w:type="pct"/>
                  <w:shd w:val="clear" w:color="auto" w:fill="auto"/>
                  <w:vAlign w:val="center"/>
                </w:tcPr>
                <w:p>
                  <w:pPr>
                    <w:jc w:val="center"/>
                    <w:rPr>
                      <w:bCs/>
                      <w:color w:val="auto"/>
                      <w:szCs w:val="21"/>
                    </w:rPr>
                  </w:pPr>
                  <w:r>
                    <w:rPr>
                      <w:color w:val="auto"/>
                    </w:rPr>
                    <w:t>58.0</w:t>
                  </w:r>
                </w:p>
              </w:tc>
              <w:tc>
                <w:tcPr>
                  <w:tcW w:w="694" w:type="pct"/>
                  <w:vAlign w:val="center"/>
                </w:tcPr>
                <w:p>
                  <w:pPr>
                    <w:jc w:val="center"/>
                    <w:rPr>
                      <w:bCs/>
                      <w:color w:val="auto"/>
                      <w:szCs w:val="21"/>
                    </w:rPr>
                  </w:pPr>
                  <w:r>
                    <w:rPr>
                      <w:color w:val="auto"/>
                    </w:rPr>
                    <w:t>70</w:t>
                  </w:r>
                </w:p>
              </w:tc>
              <w:tc>
                <w:tcPr>
                  <w:tcW w:w="694" w:type="pct"/>
                  <w:vAlign w:val="center"/>
                </w:tcPr>
                <w:p>
                  <w:pPr>
                    <w:jc w:val="center"/>
                    <w:rPr>
                      <w:bCs/>
                      <w:color w:val="auto"/>
                      <w:szCs w:val="21"/>
                    </w:rPr>
                  </w:pPr>
                  <w:r>
                    <w:rPr>
                      <w:color w:val="auto"/>
                    </w:rPr>
                    <w:t>55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1" w:hRule="atLeast"/>
                <w:jc w:val="center"/>
              </w:trPr>
              <w:tc>
                <w:tcPr>
                  <w:tcW w:w="1032" w:type="pct"/>
                  <w:shd w:val="clear" w:color="auto" w:fill="auto"/>
                  <w:vAlign w:val="center"/>
                </w:tcPr>
                <w:p>
                  <w:pPr>
                    <w:jc w:val="center"/>
                    <w:rPr>
                      <w:color w:val="auto"/>
                      <w:szCs w:val="21"/>
                    </w:rPr>
                  </w:pPr>
                  <w:r>
                    <w:rPr>
                      <w:rFonts w:hint="eastAsia"/>
                      <w:color w:val="auto"/>
                      <w:szCs w:val="21"/>
                    </w:rPr>
                    <w:t>N</w:t>
                  </w:r>
                  <w:r>
                    <w:rPr>
                      <w:color w:val="auto"/>
                      <w:szCs w:val="21"/>
                    </w:rPr>
                    <w:t>3</w:t>
                  </w:r>
                  <w:r>
                    <w:rPr>
                      <w:rFonts w:hint="eastAsia"/>
                      <w:color w:val="auto"/>
                      <w:szCs w:val="21"/>
                    </w:rPr>
                    <w:t>居民点</w:t>
                  </w:r>
                </w:p>
              </w:tc>
              <w:tc>
                <w:tcPr>
                  <w:tcW w:w="644" w:type="pct"/>
                  <w:shd w:val="clear" w:color="auto" w:fill="auto"/>
                  <w:vAlign w:val="center"/>
                </w:tcPr>
                <w:p>
                  <w:pPr>
                    <w:jc w:val="center"/>
                    <w:rPr>
                      <w:color w:val="auto"/>
                      <w:szCs w:val="21"/>
                    </w:rPr>
                  </w:pPr>
                  <w:r>
                    <w:rPr>
                      <w:color w:val="auto"/>
                    </w:rPr>
                    <w:t>62.1</w:t>
                  </w:r>
                </w:p>
              </w:tc>
              <w:tc>
                <w:tcPr>
                  <w:tcW w:w="645" w:type="pct"/>
                  <w:shd w:val="clear" w:color="auto" w:fill="auto"/>
                  <w:vAlign w:val="center"/>
                </w:tcPr>
                <w:p>
                  <w:pPr>
                    <w:jc w:val="center"/>
                    <w:rPr>
                      <w:bCs/>
                      <w:color w:val="auto"/>
                      <w:szCs w:val="21"/>
                    </w:rPr>
                  </w:pPr>
                  <w:r>
                    <w:rPr>
                      <w:color w:val="auto"/>
                    </w:rPr>
                    <w:t>58.7</w:t>
                  </w:r>
                </w:p>
              </w:tc>
              <w:tc>
                <w:tcPr>
                  <w:tcW w:w="644" w:type="pct"/>
                  <w:shd w:val="clear" w:color="auto" w:fill="auto"/>
                  <w:vAlign w:val="center"/>
                </w:tcPr>
                <w:p>
                  <w:pPr>
                    <w:jc w:val="center"/>
                    <w:rPr>
                      <w:color w:val="auto"/>
                      <w:szCs w:val="21"/>
                    </w:rPr>
                  </w:pPr>
                  <w:r>
                    <w:rPr>
                      <w:color w:val="auto"/>
                    </w:rPr>
                    <w:t>63.1</w:t>
                  </w:r>
                </w:p>
              </w:tc>
              <w:tc>
                <w:tcPr>
                  <w:tcW w:w="647" w:type="pct"/>
                  <w:shd w:val="clear" w:color="auto" w:fill="auto"/>
                  <w:vAlign w:val="center"/>
                </w:tcPr>
                <w:p>
                  <w:pPr>
                    <w:jc w:val="center"/>
                    <w:rPr>
                      <w:bCs/>
                      <w:color w:val="auto"/>
                      <w:szCs w:val="21"/>
                    </w:rPr>
                  </w:pPr>
                  <w:r>
                    <w:rPr>
                      <w:color w:val="auto"/>
                    </w:rPr>
                    <w:t>58.1</w:t>
                  </w:r>
                </w:p>
              </w:tc>
              <w:tc>
                <w:tcPr>
                  <w:tcW w:w="694" w:type="pct"/>
                  <w:vAlign w:val="center"/>
                </w:tcPr>
                <w:p>
                  <w:pPr>
                    <w:jc w:val="center"/>
                    <w:rPr>
                      <w:bCs/>
                      <w:color w:val="auto"/>
                      <w:szCs w:val="21"/>
                    </w:rPr>
                  </w:pPr>
                  <w:r>
                    <w:rPr>
                      <w:color w:val="auto"/>
                    </w:rPr>
                    <w:t>70</w:t>
                  </w:r>
                </w:p>
              </w:tc>
              <w:tc>
                <w:tcPr>
                  <w:tcW w:w="694" w:type="pct"/>
                  <w:vAlign w:val="center"/>
                </w:tcPr>
                <w:p>
                  <w:pPr>
                    <w:jc w:val="center"/>
                    <w:rPr>
                      <w:bCs/>
                      <w:color w:val="auto"/>
                      <w:szCs w:val="21"/>
                    </w:rPr>
                  </w:pPr>
                  <w:r>
                    <w:rPr>
                      <w:color w:val="auto"/>
                    </w:rPr>
                    <w:t>55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1" w:hRule="atLeast"/>
                <w:jc w:val="center"/>
              </w:trPr>
              <w:tc>
                <w:tcPr>
                  <w:tcW w:w="1032" w:type="pct"/>
                  <w:shd w:val="clear" w:color="auto" w:fill="auto"/>
                  <w:vAlign w:val="center"/>
                </w:tcPr>
                <w:p>
                  <w:pPr>
                    <w:jc w:val="center"/>
                    <w:rPr>
                      <w:color w:val="auto"/>
                      <w:szCs w:val="21"/>
                    </w:rPr>
                  </w:pPr>
                  <w:r>
                    <w:rPr>
                      <w:rFonts w:hint="eastAsia"/>
                      <w:color w:val="auto"/>
                      <w:szCs w:val="21"/>
                    </w:rPr>
                    <w:t>N</w:t>
                  </w:r>
                  <w:r>
                    <w:rPr>
                      <w:color w:val="auto"/>
                      <w:szCs w:val="21"/>
                    </w:rPr>
                    <w:t>4</w:t>
                  </w:r>
                  <w:r>
                    <w:rPr>
                      <w:rFonts w:hint="eastAsia"/>
                      <w:color w:val="auto"/>
                      <w:szCs w:val="21"/>
                    </w:rPr>
                    <w:t>居民点</w:t>
                  </w:r>
                </w:p>
              </w:tc>
              <w:tc>
                <w:tcPr>
                  <w:tcW w:w="644" w:type="pct"/>
                  <w:shd w:val="clear" w:color="auto" w:fill="auto"/>
                  <w:vAlign w:val="center"/>
                </w:tcPr>
                <w:p>
                  <w:pPr>
                    <w:jc w:val="center"/>
                    <w:rPr>
                      <w:color w:val="auto"/>
                      <w:szCs w:val="21"/>
                    </w:rPr>
                  </w:pPr>
                  <w:r>
                    <w:rPr>
                      <w:color w:val="auto"/>
                    </w:rPr>
                    <w:t>65.4</w:t>
                  </w:r>
                </w:p>
              </w:tc>
              <w:tc>
                <w:tcPr>
                  <w:tcW w:w="645" w:type="pct"/>
                  <w:shd w:val="clear" w:color="auto" w:fill="auto"/>
                  <w:vAlign w:val="center"/>
                </w:tcPr>
                <w:p>
                  <w:pPr>
                    <w:jc w:val="center"/>
                    <w:rPr>
                      <w:bCs/>
                      <w:color w:val="auto"/>
                      <w:szCs w:val="21"/>
                    </w:rPr>
                  </w:pPr>
                  <w:r>
                    <w:rPr>
                      <w:color w:val="auto"/>
                    </w:rPr>
                    <w:t>59.5</w:t>
                  </w:r>
                </w:p>
              </w:tc>
              <w:tc>
                <w:tcPr>
                  <w:tcW w:w="644" w:type="pct"/>
                  <w:shd w:val="clear" w:color="auto" w:fill="auto"/>
                  <w:vAlign w:val="center"/>
                </w:tcPr>
                <w:p>
                  <w:pPr>
                    <w:jc w:val="center"/>
                    <w:rPr>
                      <w:color w:val="auto"/>
                      <w:szCs w:val="21"/>
                    </w:rPr>
                  </w:pPr>
                  <w:r>
                    <w:rPr>
                      <w:color w:val="auto"/>
                    </w:rPr>
                    <w:t>64.2</w:t>
                  </w:r>
                </w:p>
              </w:tc>
              <w:tc>
                <w:tcPr>
                  <w:tcW w:w="647" w:type="pct"/>
                  <w:shd w:val="clear" w:color="auto" w:fill="auto"/>
                  <w:vAlign w:val="center"/>
                </w:tcPr>
                <w:p>
                  <w:pPr>
                    <w:jc w:val="center"/>
                    <w:rPr>
                      <w:bCs/>
                      <w:color w:val="auto"/>
                      <w:szCs w:val="21"/>
                    </w:rPr>
                  </w:pPr>
                  <w:r>
                    <w:rPr>
                      <w:color w:val="auto"/>
                    </w:rPr>
                    <w:t>59.8</w:t>
                  </w:r>
                </w:p>
              </w:tc>
              <w:tc>
                <w:tcPr>
                  <w:tcW w:w="694" w:type="pct"/>
                  <w:vAlign w:val="center"/>
                </w:tcPr>
                <w:p>
                  <w:pPr>
                    <w:jc w:val="center"/>
                    <w:rPr>
                      <w:bCs/>
                      <w:color w:val="auto"/>
                      <w:szCs w:val="21"/>
                    </w:rPr>
                  </w:pPr>
                  <w:r>
                    <w:rPr>
                      <w:color w:val="auto"/>
                    </w:rPr>
                    <w:t>70</w:t>
                  </w:r>
                </w:p>
              </w:tc>
              <w:tc>
                <w:tcPr>
                  <w:tcW w:w="694" w:type="pct"/>
                  <w:vAlign w:val="center"/>
                </w:tcPr>
                <w:p>
                  <w:pPr>
                    <w:jc w:val="center"/>
                    <w:rPr>
                      <w:bCs/>
                      <w:color w:val="auto"/>
                      <w:szCs w:val="21"/>
                    </w:rPr>
                  </w:pPr>
                  <w:r>
                    <w:rPr>
                      <w:color w:val="auto"/>
                    </w:rPr>
                    <w:t>55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1" w:hRule="atLeast"/>
                <w:jc w:val="center"/>
              </w:trPr>
              <w:tc>
                <w:tcPr>
                  <w:tcW w:w="1032" w:type="pct"/>
                  <w:shd w:val="clear" w:color="auto" w:fill="auto"/>
                  <w:vAlign w:val="center"/>
                </w:tcPr>
                <w:p>
                  <w:pPr>
                    <w:jc w:val="center"/>
                    <w:rPr>
                      <w:color w:val="auto"/>
                      <w:szCs w:val="21"/>
                    </w:rPr>
                  </w:pPr>
                  <w:r>
                    <w:rPr>
                      <w:rFonts w:hint="eastAsia"/>
                      <w:color w:val="auto"/>
                      <w:szCs w:val="21"/>
                    </w:rPr>
                    <w:t>N</w:t>
                  </w:r>
                  <w:r>
                    <w:rPr>
                      <w:color w:val="auto"/>
                      <w:szCs w:val="21"/>
                    </w:rPr>
                    <w:t>5</w:t>
                  </w:r>
                  <w:r>
                    <w:rPr>
                      <w:rFonts w:hint="eastAsia"/>
                      <w:color w:val="auto"/>
                      <w:szCs w:val="21"/>
                    </w:rPr>
                    <w:t>梅州金盘医院</w:t>
                  </w:r>
                </w:p>
              </w:tc>
              <w:tc>
                <w:tcPr>
                  <w:tcW w:w="644" w:type="pct"/>
                  <w:shd w:val="clear" w:color="auto" w:fill="auto"/>
                  <w:vAlign w:val="center"/>
                </w:tcPr>
                <w:p>
                  <w:pPr>
                    <w:jc w:val="center"/>
                    <w:rPr>
                      <w:color w:val="auto"/>
                      <w:szCs w:val="21"/>
                    </w:rPr>
                  </w:pPr>
                  <w:r>
                    <w:rPr>
                      <w:color w:val="auto"/>
                    </w:rPr>
                    <w:t>65.0</w:t>
                  </w:r>
                </w:p>
              </w:tc>
              <w:tc>
                <w:tcPr>
                  <w:tcW w:w="645" w:type="pct"/>
                  <w:shd w:val="clear" w:color="auto" w:fill="auto"/>
                  <w:vAlign w:val="center"/>
                </w:tcPr>
                <w:p>
                  <w:pPr>
                    <w:jc w:val="center"/>
                    <w:rPr>
                      <w:bCs/>
                      <w:color w:val="auto"/>
                      <w:szCs w:val="21"/>
                    </w:rPr>
                  </w:pPr>
                  <w:r>
                    <w:rPr>
                      <w:color w:val="auto"/>
                    </w:rPr>
                    <w:t>59.6</w:t>
                  </w:r>
                </w:p>
              </w:tc>
              <w:tc>
                <w:tcPr>
                  <w:tcW w:w="644" w:type="pct"/>
                  <w:shd w:val="clear" w:color="auto" w:fill="auto"/>
                  <w:vAlign w:val="center"/>
                </w:tcPr>
                <w:p>
                  <w:pPr>
                    <w:jc w:val="center"/>
                    <w:rPr>
                      <w:color w:val="auto"/>
                      <w:szCs w:val="21"/>
                    </w:rPr>
                  </w:pPr>
                  <w:r>
                    <w:rPr>
                      <w:color w:val="auto"/>
                    </w:rPr>
                    <w:t>65.2</w:t>
                  </w:r>
                </w:p>
              </w:tc>
              <w:tc>
                <w:tcPr>
                  <w:tcW w:w="647" w:type="pct"/>
                  <w:shd w:val="clear" w:color="auto" w:fill="auto"/>
                  <w:vAlign w:val="center"/>
                </w:tcPr>
                <w:p>
                  <w:pPr>
                    <w:jc w:val="center"/>
                    <w:rPr>
                      <w:bCs/>
                      <w:color w:val="auto"/>
                      <w:szCs w:val="21"/>
                    </w:rPr>
                  </w:pPr>
                  <w:r>
                    <w:rPr>
                      <w:color w:val="auto"/>
                    </w:rPr>
                    <w:t>58.5</w:t>
                  </w:r>
                </w:p>
              </w:tc>
              <w:tc>
                <w:tcPr>
                  <w:tcW w:w="694" w:type="pct"/>
                  <w:vAlign w:val="center"/>
                </w:tcPr>
                <w:p>
                  <w:pPr>
                    <w:jc w:val="center"/>
                    <w:rPr>
                      <w:bCs/>
                      <w:color w:val="auto"/>
                      <w:szCs w:val="21"/>
                    </w:rPr>
                  </w:pPr>
                  <w:r>
                    <w:rPr>
                      <w:color w:val="auto"/>
                    </w:rPr>
                    <w:t>70</w:t>
                  </w:r>
                </w:p>
              </w:tc>
              <w:tc>
                <w:tcPr>
                  <w:tcW w:w="694" w:type="pct"/>
                  <w:vAlign w:val="center"/>
                </w:tcPr>
                <w:p>
                  <w:pPr>
                    <w:jc w:val="center"/>
                    <w:rPr>
                      <w:bCs/>
                      <w:color w:val="auto"/>
                      <w:szCs w:val="21"/>
                    </w:rPr>
                  </w:pPr>
                  <w:r>
                    <w:rPr>
                      <w:color w:val="auto"/>
                    </w:rPr>
                    <w:t>55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1" w:hRule="atLeast"/>
                <w:jc w:val="center"/>
              </w:trPr>
              <w:tc>
                <w:tcPr>
                  <w:tcW w:w="1032" w:type="pct"/>
                  <w:shd w:val="clear" w:color="auto" w:fill="auto"/>
                  <w:vAlign w:val="center"/>
                </w:tcPr>
                <w:p>
                  <w:pPr>
                    <w:jc w:val="center"/>
                    <w:rPr>
                      <w:color w:val="auto"/>
                      <w:szCs w:val="21"/>
                    </w:rPr>
                  </w:pPr>
                  <w:r>
                    <w:rPr>
                      <w:rFonts w:hint="eastAsia"/>
                      <w:color w:val="auto"/>
                      <w:szCs w:val="21"/>
                    </w:rPr>
                    <w:t>N</w:t>
                  </w:r>
                  <w:r>
                    <w:rPr>
                      <w:color w:val="auto"/>
                      <w:szCs w:val="21"/>
                    </w:rPr>
                    <w:t>6</w:t>
                  </w:r>
                  <w:r>
                    <w:rPr>
                      <w:rFonts w:hint="eastAsia"/>
                      <w:color w:val="auto"/>
                      <w:szCs w:val="21"/>
                    </w:rPr>
                    <w:t>梅州市工业学校</w:t>
                  </w:r>
                </w:p>
              </w:tc>
              <w:tc>
                <w:tcPr>
                  <w:tcW w:w="644" w:type="pct"/>
                  <w:shd w:val="clear" w:color="auto" w:fill="auto"/>
                  <w:vAlign w:val="center"/>
                </w:tcPr>
                <w:p>
                  <w:pPr>
                    <w:jc w:val="center"/>
                    <w:rPr>
                      <w:color w:val="auto"/>
                      <w:szCs w:val="21"/>
                    </w:rPr>
                  </w:pPr>
                  <w:r>
                    <w:rPr>
                      <w:color w:val="auto"/>
                    </w:rPr>
                    <w:t>63.9</w:t>
                  </w:r>
                </w:p>
              </w:tc>
              <w:tc>
                <w:tcPr>
                  <w:tcW w:w="645" w:type="pct"/>
                  <w:shd w:val="clear" w:color="auto" w:fill="auto"/>
                  <w:vAlign w:val="center"/>
                </w:tcPr>
                <w:p>
                  <w:pPr>
                    <w:jc w:val="center"/>
                    <w:rPr>
                      <w:bCs/>
                      <w:color w:val="auto"/>
                      <w:szCs w:val="21"/>
                    </w:rPr>
                  </w:pPr>
                  <w:r>
                    <w:rPr>
                      <w:color w:val="auto"/>
                    </w:rPr>
                    <w:t>58.4</w:t>
                  </w:r>
                </w:p>
              </w:tc>
              <w:tc>
                <w:tcPr>
                  <w:tcW w:w="644" w:type="pct"/>
                  <w:shd w:val="clear" w:color="auto" w:fill="auto"/>
                  <w:vAlign w:val="center"/>
                </w:tcPr>
                <w:p>
                  <w:pPr>
                    <w:jc w:val="center"/>
                    <w:rPr>
                      <w:color w:val="auto"/>
                      <w:szCs w:val="21"/>
                    </w:rPr>
                  </w:pPr>
                  <w:r>
                    <w:rPr>
                      <w:color w:val="auto"/>
                    </w:rPr>
                    <w:t>65.0</w:t>
                  </w:r>
                </w:p>
              </w:tc>
              <w:tc>
                <w:tcPr>
                  <w:tcW w:w="647" w:type="pct"/>
                  <w:shd w:val="clear" w:color="auto" w:fill="auto"/>
                  <w:vAlign w:val="center"/>
                </w:tcPr>
                <w:p>
                  <w:pPr>
                    <w:jc w:val="center"/>
                    <w:rPr>
                      <w:bCs/>
                      <w:color w:val="auto"/>
                      <w:szCs w:val="21"/>
                    </w:rPr>
                  </w:pPr>
                  <w:r>
                    <w:rPr>
                      <w:color w:val="auto"/>
                    </w:rPr>
                    <w:t>57.4</w:t>
                  </w:r>
                </w:p>
              </w:tc>
              <w:tc>
                <w:tcPr>
                  <w:tcW w:w="694" w:type="pct"/>
                  <w:vAlign w:val="center"/>
                </w:tcPr>
                <w:p>
                  <w:pPr>
                    <w:jc w:val="center"/>
                    <w:rPr>
                      <w:bCs/>
                      <w:color w:val="auto"/>
                      <w:szCs w:val="21"/>
                    </w:rPr>
                  </w:pPr>
                  <w:r>
                    <w:rPr>
                      <w:color w:val="auto"/>
                    </w:rPr>
                    <w:t>55</w:t>
                  </w:r>
                </w:p>
              </w:tc>
              <w:tc>
                <w:tcPr>
                  <w:tcW w:w="694" w:type="pct"/>
                  <w:vAlign w:val="center"/>
                </w:tcPr>
                <w:p>
                  <w:pPr>
                    <w:jc w:val="center"/>
                    <w:rPr>
                      <w:bCs/>
                      <w:color w:val="auto"/>
                      <w:szCs w:val="21"/>
                    </w:rPr>
                  </w:pPr>
                  <w:r>
                    <w:rPr>
                      <w:color w:val="auto"/>
                    </w:rPr>
                    <w:t>45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1" w:hRule="atLeast"/>
                <w:jc w:val="center"/>
              </w:trPr>
              <w:tc>
                <w:tcPr>
                  <w:tcW w:w="1032" w:type="pct"/>
                  <w:shd w:val="clear" w:color="auto" w:fill="auto"/>
                  <w:vAlign w:val="center"/>
                </w:tcPr>
                <w:p>
                  <w:pPr>
                    <w:jc w:val="center"/>
                    <w:rPr>
                      <w:color w:val="auto"/>
                      <w:szCs w:val="21"/>
                    </w:rPr>
                  </w:pPr>
                  <w:r>
                    <w:rPr>
                      <w:rFonts w:hint="eastAsia"/>
                      <w:color w:val="auto"/>
                      <w:szCs w:val="21"/>
                    </w:rPr>
                    <w:t>N</w:t>
                  </w:r>
                  <w:r>
                    <w:rPr>
                      <w:color w:val="auto"/>
                      <w:szCs w:val="21"/>
                    </w:rPr>
                    <w:t>7</w:t>
                  </w:r>
                  <w:r>
                    <w:rPr>
                      <w:rFonts w:hint="eastAsia"/>
                      <w:color w:val="auto"/>
                      <w:szCs w:val="21"/>
                    </w:rPr>
                    <w:t>谢田卫生站</w:t>
                  </w:r>
                </w:p>
              </w:tc>
              <w:tc>
                <w:tcPr>
                  <w:tcW w:w="644" w:type="pct"/>
                  <w:shd w:val="clear" w:color="auto" w:fill="auto"/>
                  <w:vAlign w:val="center"/>
                </w:tcPr>
                <w:p>
                  <w:pPr>
                    <w:jc w:val="center"/>
                    <w:rPr>
                      <w:color w:val="auto"/>
                      <w:szCs w:val="21"/>
                    </w:rPr>
                  </w:pPr>
                  <w:r>
                    <w:rPr>
                      <w:color w:val="auto"/>
                    </w:rPr>
                    <w:t>65.1</w:t>
                  </w:r>
                </w:p>
              </w:tc>
              <w:tc>
                <w:tcPr>
                  <w:tcW w:w="645" w:type="pct"/>
                  <w:shd w:val="clear" w:color="auto" w:fill="auto"/>
                  <w:vAlign w:val="center"/>
                </w:tcPr>
                <w:p>
                  <w:pPr>
                    <w:jc w:val="center"/>
                    <w:rPr>
                      <w:bCs/>
                      <w:color w:val="auto"/>
                      <w:szCs w:val="21"/>
                    </w:rPr>
                  </w:pPr>
                  <w:r>
                    <w:rPr>
                      <w:color w:val="auto"/>
                    </w:rPr>
                    <w:t>57.4</w:t>
                  </w:r>
                </w:p>
              </w:tc>
              <w:tc>
                <w:tcPr>
                  <w:tcW w:w="644" w:type="pct"/>
                  <w:shd w:val="clear" w:color="auto" w:fill="auto"/>
                  <w:vAlign w:val="center"/>
                </w:tcPr>
                <w:p>
                  <w:pPr>
                    <w:jc w:val="center"/>
                    <w:rPr>
                      <w:color w:val="auto"/>
                      <w:szCs w:val="21"/>
                    </w:rPr>
                  </w:pPr>
                  <w:r>
                    <w:rPr>
                      <w:color w:val="auto"/>
                    </w:rPr>
                    <w:t>64.3</w:t>
                  </w:r>
                </w:p>
              </w:tc>
              <w:tc>
                <w:tcPr>
                  <w:tcW w:w="647" w:type="pct"/>
                  <w:shd w:val="clear" w:color="auto" w:fill="auto"/>
                  <w:vAlign w:val="center"/>
                </w:tcPr>
                <w:p>
                  <w:pPr>
                    <w:jc w:val="center"/>
                    <w:rPr>
                      <w:bCs/>
                      <w:color w:val="auto"/>
                      <w:szCs w:val="21"/>
                    </w:rPr>
                  </w:pPr>
                  <w:r>
                    <w:rPr>
                      <w:color w:val="auto"/>
                    </w:rPr>
                    <w:t>59.0</w:t>
                  </w:r>
                </w:p>
              </w:tc>
              <w:tc>
                <w:tcPr>
                  <w:tcW w:w="694" w:type="pct"/>
                  <w:vAlign w:val="center"/>
                </w:tcPr>
                <w:p>
                  <w:pPr>
                    <w:jc w:val="center"/>
                    <w:rPr>
                      <w:bCs/>
                      <w:color w:val="auto"/>
                      <w:szCs w:val="21"/>
                    </w:rPr>
                  </w:pPr>
                  <w:r>
                    <w:rPr>
                      <w:color w:val="auto"/>
                    </w:rPr>
                    <w:t>55</w:t>
                  </w:r>
                </w:p>
              </w:tc>
              <w:tc>
                <w:tcPr>
                  <w:tcW w:w="694" w:type="pct"/>
                  <w:vAlign w:val="center"/>
                </w:tcPr>
                <w:p>
                  <w:pPr>
                    <w:jc w:val="center"/>
                    <w:rPr>
                      <w:bCs/>
                      <w:color w:val="auto"/>
                      <w:szCs w:val="21"/>
                    </w:rPr>
                  </w:pPr>
                  <w:r>
                    <w:rPr>
                      <w:color w:val="auto"/>
                    </w:rPr>
                    <w:t>45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1" w:hRule="atLeast"/>
                <w:jc w:val="center"/>
              </w:trPr>
              <w:tc>
                <w:tcPr>
                  <w:tcW w:w="1032" w:type="pct"/>
                  <w:shd w:val="clear" w:color="auto" w:fill="auto"/>
                  <w:vAlign w:val="center"/>
                </w:tcPr>
                <w:p>
                  <w:pPr>
                    <w:jc w:val="center"/>
                    <w:rPr>
                      <w:color w:val="auto"/>
                      <w:szCs w:val="21"/>
                    </w:rPr>
                  </w:pPr>
                  <w:r>
                    <w:rPr>
                      <w:rFonts w:hint="eastAsia"/>
                      <w:color w:val="auto"/>
                      <w:szCs w:val="21"/>
                    </w:rPr>
                    <w:t>N</w:t>
                  </w:r>
                  <w:r>
                    <w:rPr>
                      <w:color w:val="auto"/>
                      <w:szCs w:val="21"/>
                    </w:rPr>
                    <w:t>8</w:t>
                  </w:r>
                  <w:r>
                    <w:rPr>
                      <w:rFonts w:hint="eastAsia"/>
                      <w:color w:val="auto"/>
                      <w:szCs w:val="21"/>
                    </w:rPr>
                    <w:t>城东镇政府</w:t>
                  </w:r>
                </w:p>
              </w:tc>
              <w:tc>
                <w:tcPr>
                  <w:tcW w:w="644" w:type="pct"/>
                  <w:shd w:val="clear" w:color="auto" w:fill="auto"/>
                  <w:vAlign w:val="center"/>
                </w:tcPr>
                <w:p>
                  <w:pPr>
                    <w:jc w:val="center"/>
                    <w:rPr>
                      <w:color w:val="auto"/>
                      <w:szCs w:val="21"/>
                    </w:rPr>
                  </w:pPr>
                  <w:r>
                    <w:rPr>
                      <w:color w:val="auto"/>
                    </w:rPr>
                    <w:t>65.6</w:t>
                  </w:r>
                </w:p>
              </w:tc>
              <w:tc>
                <w:tcPr>
                  <w:tcW w:w="645" w:type="pct"/>
                  <w:shd w:val="clear" w:color="auto" w:fill="auto"/>
                  <w:vAlign w:val="center"/>
                </w:tcPr>
                <w:p>
                  <w:pPr>
                    <w:jc w:val="center"/>
                    <w:rPr>
                      <w:bCs/>
                      <w:color w:val="auto"/>
                      <w:szCs w:val="21"/>
                    </w:rPr>
                  </w:pPr>
                  <w:r>
                    <w:rPr>
                      <w:color w:val="auto"/>
                    </w:rPr>
                    <w:t>56.5</w:t>
                  </w:r>
                </w:p>
              </w:tc>
              <w:tc>
                <w:tcPr>
                  <w:tcW w:w="644" w:type="pct"/>
                  <w:shd w:val="clear" w:color="auto" w:fill="auto"/>
                  <w:vAlign w:val="center"/>
                </w:tcPr>
                <w:p>
                  <w:pPr>
                    <w:jc w:val="center"/>
                    <w:rPr>
                      <w:color w:val="auto"/>
                      <w:szCs w:val="21"/>
                    </w:rPr>
                  </w:pPr>
                  <w:r>
                    <w:rPr>
                      <w:color w:val="auto"/>
                    </w:rPr>
                    <w:t>64.2</w:t>
                  </w:r>
                </w:p>
              </w:tc>
              <w:tc>
                <w:tcPr>
                  <w:tcW w:w="647" w:type="pct"/>
                  <w:shd w:val="clear" w:color="auto" w:fill="auto"/>
                  <w:vAlign w:val="center"/>
                </w:tcPr>
                <w:p>
                  <w:pPr>
                    <w:jc w:val="center"/>
                    <w:rPr>
                      <w:bCs/>
                      <w:color w:val="auto"/>
                      <w:szCs w:val="21"/>
                    </w:rPr>
                  </w:pPr>
                  <w:r>
                    <w:rPr>
                      <w:color w:val="auto"/>
                    </w:rPr>
                    <w:t>56.6</w:t>
                  </w:r>
                </w:p>
              </w:tc>
              <w:tc>
                <w:tcPr>
                  <w:tcW w:w="694" w:type="pct"/>
                  <w:vAlign w:val="center"/>
                </w:tcPr>
                <w:p>
                  <w:pPr>
                    <w:jc w:val="center"/>
                    <w:rPr>
                      <w:bCs/>
                      <w:color w:val="auto"/>
                      <w:szCs w:val="21"/>
                    </w:rPr>
                  </w:pPr>
                  <w:r>
                    <w:rPr>
                      <w:color w:val="auto"/>
                    </w:rPr>
                    <w:t>70</w:t>
                  </w:r>
                </w:p>
              </w:tc>
              <w:tc>
                <w:tcPr>
                  <w:tcW w:w="694" w:type="pct"/>
                  <w:vAlign w:val="center"/>
                </w:tcPr>
                <w:p>
                  <w:pPr>
                    <w:jc w:val="center"/>
                    <w:rPr>
                      <w:bCs/>
                      <w:color w:val="auto"/>
                      <w:szCs w:val="21"/>
                    </w:rPr>
                  </w:pPr>
                  <w:r>
                    <w:rPr>
                      <w:color w:val="auto"/>
                    </w:rPr>
                    <w:t>55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1" w:hRule="atLeast"/>
                <w:jc w:val="center"/>
              </w:trPr>
              <w:tc>
                <w:tcPr>
                  <w:tcW w:w="1032" w:type="pct"/>
                  <w:shd w:val="clear" w:color="auto" w:fill="auto"/>
                  <w:vAlign w:val="center"/>
                </w:tcPr>
                <w:p>
                  <w:pPr>
                    <w:jc w:val="center"/>
                    <w:rPr>
                      <w:color w:val="auto"/>
                      <w:szCs w:val="21"/>
                    </w:rPr>
                  </w:pPr>
                  <w:r>
                    <w:rPr>
                      <w:rFonts w:hint="eastAsia"/>
                      <w:color w:val="auto"/>
                      <w:szCs w:val="21"/>
                    </w:rPr>
                    <w:t>N</w:t>
                  </w:r>
                  <w:r>
                    <w:rPr>
                      <w:color w:val="auto"/>
                      <w:szCs w:val="21"/>
                    </w:rPr>
                    <w:t>9</w:t>
                  </w:r>
                  <w:r>
                    <w:rPr>
                      <w:rFonts w:hint="eastAsia"/>
                      <w:color w:val="auto"/>
                      <w:szCs w:val="21"/>
                    </w:rPr>
                    <w:t>第三监狱</w:t>
                  </w:r>
                </w:p>
              </w:tc>
              <w:tc>
                <w:tcPr>
                  <w:tcW w:w="644" w:type="pct"/>
                  <w:shd w:val="clear" w:color="auto" w:fill="auto"/>
                  <w:vAlign w:val="center"/>
                </w:tcPr>
                <w:p>
                  <w:pPr>
                    <w:jc w:val="center"/>
                    <w:rPr>
                      <w:color w:val="auto"/>
                      <w:szCs w:val="21"/>
                    </w:rPr>
                  </w:pPr>
                  <w:r>
                    <w:rPr>
                      <w:color w:val="auto"/>
                    </w:rPr>
                    <w:t>70.7</w:t>
                  </w:r>
                </w:p>
              </w:tc>
              <w:tc>
                <w:tcPr>
                  <w:tcW w:w="645" w:type="pct"/>
                  <w:shd w:val="clear" w:color="auto" w:fill="auto"/>
                  <w:vAlign w:val="center"/>
                </w:tcPr>
                <w:p>
                  <w:pPr>
                    <w:jc w:val="center"/>
                    <w:rPr>
                      <w:bCs/>
                      <w:color w:val="auto"/>
                      <w:szCs w:val="21"/>
                    </w:rPr>
                  </w:pPr>
                  <w:r>
                    <w:rPr>
                      <w:color w:val="auto"/>
                    </w:rPr>
                    <w:t>56.6</w:t>
                  </w:r>
                </w:p>
              </w:tc>
              <w:tc>
                <w:tcPr>
                  <w:tcW w:w="644" w:type="pct"/>
                  <w:shd w:val="clear" w:color="auto" w:fill="auto"/>
                  <w:vAlign w:val="center"/>
                </w:tcPr>
                <w:p>
                  <w:pPr>
                    <w:jc w:val="center"/>
                    <w:rPr>
                      <w:color w:val="auto"/>
                      <w:szCs w:val="21"/>
                    </w:rPr>
                  </w:pPr>
                  <w:r>
                    <w:rPr>
                      <w:color w:val="auto"/>
                    </w:rPr>
                    <w:t>70.1</w:t>
                  </w:r>
                </w:p>
              </w:tc>
              <w:tc>
                <w:tcPr>
                  <w:tcW w:w="647" w:type="pct"/>
                  <w:shd w:val="clear" w:color="auto" w:fill="auto"/>
                  <w:vAlign w:val="center"/>
                </w:tcPr>
                <w:p>
                  <w:pPr>
                    <w:jc w:val="center"/>
                    <w:rPr>
                      <w:bCs/>
                      <w:color w:val="auto"/>
                      <w:szCs w:val="21"/>
                    </w:rPr>
                  </w:pPr>
                  <w:r>
                    <w:rPr>
                      <w:color w:val="auto"/>
                    </w:rPr>
                    <w:t>55.4</w:t>
                  </w:r>
                </w:p>
              </w:tc>
              <w:tc>
                <w:tcPr>
                  <w:tcW w:w="694" w:type="pct"/>
                  <w:vAlign w:val="center"/>
                </w:tcPr>
                <w:p>
                  <w:pPr>
                    <w:jc w:val="center"/>
                    <w:rPr>
                      <w:bCs/>
                      <w:color w:val="auto"/>
                      <w:szCs w:val="21"/>
                    </w:rPr>
                  </w:pPr>
                  <w:r>
                    <w:rPr>
                      <w:color w:val="auto"/>
                    </w:rPr>
                    <w:t>70</w:t>
                  </w:r>
                </w:p>
              </w:tc>
              <w:tc>
                <w:tcPr>
                  <w:tcW w:w="694" w:type="pct"/>
                  <w:vAlign w:val="center"/>
                </w:tcPr>
                <w:p>
                  <w:pPr>
                    <w:jc w:val="center"/>
                    <w:rPr>
                      <w:bCs/>
                      <w:color w:val="auto"/>
                      <w:szCs w:val="21"/>
                    </w:rPr>
                  </w:pPr>
                  <w:r>
                    <w:rPr>
                      <w:color w:val="auto"/>
                    </w:rPr>
                    <w:t>55</w:t>
                  </w:r>
                </w:p>
              </w:tc>
            </w:tr>
          </w:tbl>
          <w:p>
            <w:pPr>
              <w:adjustRightInd w:val="0"/>
              <w:snapToGrid w:val="0"/>
              <w:spacing w:line="360" w:lineRule="auto"/>
              <w:ind w:firstLine="480" w:firstLineChars="200"/>
              <w:rPr>
                <w:bCs/>
                <w:color w:val="auto"/>
                <w:sz w:val="24"/>
              </w:rPr>
            </w:pPr>
          </w:p>
          <w:p>
            <w:pPr>
              <w:adjustRightInd w:val="0"/>
              <w:snapToGrid w:val="0"/>
              <w:spacing w:line="360" w:lineRule="auto"/>
              <w:ind w:firstLine="480" w:firstLineChars="200"/>
              <w:rPr>
                <w:bCs/>
                <w:color w:val="auto"/>
                <w:sz w:val="24"/>
              </w:rPr>
            </w:pPr>
            <w:r>
              <w:rPr>
                <w:bCs/>
                <w:color w:val="auto"/>
                <w:sz w:val="24"/>
              </w:rPr>
              <w:t>从上表的监测结果可知，</w:t>
            </w:r>
            <w:r>
              <w:rPr>
                <w:rFonts w:hint="eastAsia"/>
                <w:bCs/>
                <w:color w:val="auto"/>
                <w:sz w:val="24"/>
              </w:rPr>
              <w:t>项目沿线居民点、金盘医院、城东镇政府</w:t>
            </w:r>
            <w:r>
              <w:rPr>
                <w:bCs/>
                <w:color w:val="auto"/>
                <w:sz w:val="24"/>
              </w:rPr>
              <w:t>监测点</w:t>
            </w:r>
            <w:r>
              <w:rPr>
                <w:rFonts w:hint="eastAsia"/>
                <w:bCs/>
                <w:color w:val="auto"/>
                <w:sz w:val="24"/>
              </w:rPr>
              <w:t>的</w:t>
            </w:r>
            <w:r>
              <w:rPr>
                <w:bCs/>
                <w:color w:val="auto"/>
                <w:sz w:val="24"/>
              </w:rPr>
              <w:t>昼</w:t>
            </w:r>
            <w:r>
              <w:rPr>
                <w:rFonts w:hint="eastAsia"/>
                <w:bCs/>
                <w:color w:val="auto"/>
                <w:sz w:val="24"/>
              </w:rPr>
              <w:t>间环境噪声均</w:t>
            </w:r>
            <w:r>
              <w:rPr>
                <w:bCs/>
                <w:color w:val="auto"/>
                <w:sz w:val="24"/>
              </w:rPr>
              <w:t>符合《声环境质量标准》（GB 3096-2008）</w:t>
            </w:r>
            <w:r>
              <w:rPr>
                <w:rFonts w:hint="eastAsia"/>
                <w:bCs/>
                <w:color w:val="auto"/>
                <w:sz w:val="24"/>
              </w:rPr>
              <w:t>4a类</w:t>
            </w:r>
            <w:r>
              <w:rPr>
                <w:bCs/>
                <w:color w:val="auto"/>
                <w:sz w:val="24"/>
              </w:rPr>
              <w:t>标准</w:t>
            </w:r>
            <w:r>
              <w:rPr>
                <w:rFonts w:hint="eastAsia"/>
                <w:bCs/>
                <w:color w:val="auto"/>
                <w:sz w:val="24"/>
              </w:rPr>
              <w:t>要求，但夜间有一定的超标；梅州市工业学校和谢田卫生站的昼、夜间环境噪声均出现超标</w:t>
            </w:r>
            <w:r>
              <w:rPr>
                <w:bCs/>
                <w:color w:val="auto"/>
                <w:sz w:val="24"/>
              </w:rPr>
              <w:t>。</w:t>
            </w:r>
            <w:r>
              <w:rPr>
                <w:rFonts w:hint="eastAsia"/>
                <w:bCs/>
                <w:color w:val="auto"/>
                <w:sz w:val="24"/>
              </w:rPr>
              <w:t>分析超标原因可能是由于G</w:t>
            </w:r>
            <w:r>
              <w:rPr>
                <w:bCs/>
                <w:color w:val="auto"/>
                <w:sz w:val="24"/>
              </w:rPr>
              <w:t>205</w:t>
            </w:r>
            <w:r>
              <w:rPr>
                <w:rFonts w:hint="eastAsia"/>
                <w:bCs/>
                <w:color w:val="auto"/>
                <w:sz w:val="24"/>
              </w:rPr>
              <w:t>国道为连接梅州城区和城东镇及城东高速出口的主要干道，车流量较大，且夜间较多大型运输车辆经过，故容易出现敏感点噪声超标。</w:t>
            </w:r>
          </w:p>
          <w:bookmarkEnd w:id="0"/>
          <w:bookmarkEnd w:id="1"/>
          <w:bookmarkEnd w:id="2"/>
          <w:p>
            <w:pPr>
              <w:adjustRightInd w:val="0"/>
              <w:snapToGrid w:val="0"/>
              <w:spacing w:line="360" w:lineRule="auto"/>
              <w:ind w:firstLine="482" w:firstLineChars="200"/>
              <w:rPr>
                <w:b/>
                <w:bCs/>
                <w:color w:val="auto"/>
                <w:sz w:val="24"/>
              </w:rPr>
            </w:pPr>
            <w:r>
              <w:rPr>
                <w:rFonts w:hint="eastAsia"/>
                <w:b/>
                <w:bCs/>
                <w:color w:val="auto"/>
                <w:sz w:val="24"/>
              </w:rPr>
              <w:t>5</w:t>
            </w:r>
            <w:r>
              <w:rPr>
                <w:b/>
                <w:bCs/>
                <w:color w:val="auto"/>
                <w:sz w:val="24"/>
              </w:rPr>
              <w:t>、</w:t>
            </w:r>
            <w:r>
              <w:rPr>
                <w:rFonts w:hint="eastAsia"/>
                <w:b/>
                <w:bCs/>
                <w:color w:val="auto"/>
                <w:sz w:val="24"/>
              </w:rPr>
              <w:t>生态</w:t>
            </w:r>
            <w:r>
              <w:rPr>
                <w:b/>
                <w:bCs/>
                <w:color w:val="auto"/>
                <w:sz w:val="24"/>
              </w:rPr>
              <w:t>环境</w:t>
            </w:r>
          </w:p>
          <w:p>
            <w:pPr>
              <w:adjustRightInd w:val="0"/>
              <w:snapToGrid w:val="0"/>
              <w:spacing w:line="360" w:lineRule="auto"/>
              <w:ind w:firstLine="480" w:firstLineChars="200"/>
              <w:rPr>
                <w:bCs/>
                <w:color w:val="auto"/>
                <w:sz w:val="24"/>
              </w:rPr>
            </w:pPr>
            <w:r>
              <w:rPr>
                <w:rFonts w:hint="eastAsia"/>
                <w:bCs/>
                <w:color w:val="auto"/>
                <w:sz w:val="24"/>
              </w:rPr>
              <w:t>本</w:t>
            </w:r>
            <w:r>
              <w:rPr>
                <w:bCs/>
                <w:color w:val="auto"/>
                <w:sz w:val="24"/>
              </w:rPr>
              <w:t>项目</w:t>
            </w:r>
            <w:r>
              <w:rPr>
                <w:rFonts w:hint="eastAsia"/>
                <w:bCs/>
                <w:color w:val="auto"/>
                <w:sz w:val="24"/>
              </w:rPr>
              <w:t>加压泵站位于</w:t>
            </w:r>
            <w:r>
              <w:rPr>
                <w:rFonts w:hint="eastAsia"/>
                <w:color w:val="auto"/>
                <w:sz w:val="24"/>
              </w:rPr>
              <w:t>梅江区金山街道碧桂路旁</w:t>
            </w:r>
            <w:r>
              <w:rPr>
                <w:bCs/>
                <w:color w:val="auto"/>
                <w:sz w:val="24"/>
              </w:rPr>
              <w:t>，</w:t>
            </w:r>
            <w:r>
              <w:rPr>
                <w:rFonts w:hint="eastAsia"/>
                <w:bCs/>
                <w:color w:val="auto"/>
                <w:sz w:val="24"/>
              </w:rPr>
              <w:t>管道沿G</w:t>
            </w:r>
            <w:r>
              <w:rPr>
                <w:bCs/>
                <w:color w:val="auto"/>
                <w:sz w:val="24"/>
              </w:rPr>
              <w:t>205</w:t>
            </w:r>
            <w:r>
              <w:rPr>
                <w:rFonts w:hint="eastAsia"/>
                <w:bCs/>
                <w:color w:val="auto"/>
                <w:sz w:val="24"/>
              </w:rPr>
              <w:t>国道铺设，所在用地均为已完全开发的建设用地，</w:t>
            </w:r>
            <w:r>
              <w:rPr>
                <w:bCs/>
                <w:color w:val="auto"/>
                <w:sz w:val="24"/>
              </w:rPr>
              <w:t>生态环境一般</w:t>
            </w:r>
            <w:r>
              <w:rPr>
                <w:rFonts w:hint="eastAsia"/>
                <w:bCs/>
                <w:color w:val="auto"/>
                <w:sz w:val="24"/>
              </w:rPr>
              <w:t>。</w:t>
            </w:r>
          </w:p>
          <w:p>
            <w:pPr>
              <w:adjustRightInd w:val="0"/>
              <w:snapToGrid w:val="0"/>
              <w:spacing w:line="360" w:lineRule="auto"/>
              <w:ind w:firstLine="480" w:firstLineChars="200"/>
              <w:rPr>
                <w:bCs/>
                <w:color w:val="auto"/>
                <w:sz w:val="24"/>
              </w:rPr>
            </w:pPr>
          </w:p>
          <w:p>
            <w:pPr>
              <w:adjustRightInd w:val="0"/>
              <w:snapToGrid w:val="0"/>
              <w:spacing w:line="360" w:lineRule="auto"/>
              <w:ind w:firstLine="480" w:firstLineChars="200"/>
              <w:rPr>
                <w:bCs/>
                <w:color w:val="auto"/>
                <w:sz w:val="24"/>
              </w:rPr>
            </w:pPr>
          </w:p>
          <w:p>
            <w:pPr>
              <w:adjustRightInd w:val="0"/>
              <w:snapToGrid w:val="0"/>
              <w:spacing w:line="360" w:lineRule="auto"/>
              <w:ind w:firstLine="480" w:firstLineChars="200"/>
              <w:rPr>
                <w:bCs/>
                <w:color w:val="auto"/>
                <w:sz w:val="24"/>
              </w:rPr>
            </w:pPr>
          </w:p>
          <w:p>
            <w:pPr>
              <w:adjustRightInd w:val="0"/>
              <w:snapToGrid w:val="0"/>
              <w:spacing w:line="360" w:lineRule="auto"/>
              <w:ind w:firstLine="480" w:firstLineChars="200"/>
              <w:rPr>
                <w:bCs/>
                <w:color w:val="auto"/>
                <w:sz w:val="24"/>
              </w:rPr>
            </w:pPr>
          </w:p>
          <w:p>
            <w:pPr>
              <w:adjustRightInd w:val="0"/>
              <w:snapToGrid w:val="0"/>
              <w:spacing w:line="360" w:lineRule="auto"/>
              <w:ind w:firstLine="480" w:firstLineChars="200"/>
              <w:rPr>
                <w:bCs/>
                <w:color w:val="auto"/>
                <w:sz w:val="24"/>
              </w:rPr>
            </w:pPr>
          </w:p>
          <w:p>
            <w:pPr>
              <w:adjustRightInd w:val="0"/>
              <w:snapToGrid w:val="0"/>
              <w:spacing w:line="360" w:lineRule="auto"/>
              <w:ind w:firstLine="480" w:firstLineChars="200"/>
              <w:rPr>
                <w:bCs/>
                <w:color w:val="auto"/>
                <w:sz w:val="24"/>
              </w:rPr>
            </w:pPr>
          </w:p>
          <w:p>
            <w:pPr>
              <w:adjustRightInd w:val="0"/>
              <w:snapToGrid w:val="0"/>
              <w:spacing w:line="360" w:lineRule="auto"/>
              <w:ind w:firstLine="480" w:firstLineChars="200"/>
              <w:rPr>
                <w:bCs/>
                <w:color w:val="auto"/>
                <w:sz w:val="24"/>
              </w:rPr>
            </w:pPr>
          </w:p>
          <w:p>
            <w:pPr>
              <w:adjustRightInd w:val="0"/>
              <w:snapToGrid w:val="0"/>
              <w:spacing w:line="360" w:lineRule="auto"/>
              <w:ind w:firstLine="480" w:firstLineChars="200"/>
              <w:rPr>
                <w:bCs/>
                <w:color w:val="auto"/>
                <w:sz w:val="24"/>
              </w:rPr>
            </w:pPr>
          </w:p>
          <w:p>
            <w:pPr>
              <w:adjustRightInd w:val="0"/>
              <w:snapToGrid w:val="0"/>
              <w:spacing w:line="360" w:lineRule="auto"/>
              <w:ind w:firstLine="480" w:firstLineChars="200"/>
              <w:rPr>
                <w:bCs/>
                <w:color w:val="auto"/>
                <w:sz w:val="24"/>
              </w:rPr>
            </w:pPr>
          </w:p>
          <w:p>
            <w:pPr>
              <w:adjustRightInd w:val="0"/>
              <w:snapToGrid w:val="0"/>
              <w:spacing w:line="360" w:lineRule="auto"/>
              <w:ind w:firstLine="480" w:firstLineChars="200"/>
              <w:rPr>
                <w:bCs/>
                <w:color w:val="auto"/>
                <w:sz w:val="24"/>
              </w:rPr>
            </w:pPr>
          </w:p>
          <w:p>
            <w:pPr>
              <w:adjustRightInd w:val="0"/>
              <w:snapToGrid w:val="0"/>
              <w:spacing w:line="360" w:lineRule="auto"/>
              <w:ind w:firstLine="480" w:firstLineChars="200"/>
              <w:rPr>
                <w:bCs/>
                <w:color w:val="auto"/>
                <w:sz w:val="24"/>
              </w:rPr>
            </w:pPr>
          </w:p>
          <w:p>
            <w:pPr>
              <w:adjustRightInd w:val="0"/>
              <w:snapToGrid w:val="0"/>
              <w:spacing w:line="360" w:lineRule="auto"/>
              <w:ind w:firstLine="480" w:firstLineChars="200"/>
              <w:rPr>
                <w:bCs/>
                <w:color w:val="auto"/>
                <w:sz w:val="24"/>
              </w:rPr>
            </w:pPr>
          </w:p>
          <w:p>
            <w:pPr>
              <w:adjustRightInd w:val="0"/>
              <w:snapToGrid w:val="0"/>
              <w:spacing w:line="360" w:lineRule="auto"/>
              <w:ind w:firstLine="480" w:firstLineChars="200"/>
              <w:rPr>
                <w:bCs/>
                <w:color w:val="auto"/>
                <w:sz w:val="24"/>
              </w:rPr>
            </w:pPr>
          </w:p>
          <w:p>
            <w:pPr>
              <w:adjustRightInd w:val="0"/>
              <w:snapToGrid w:val="0"/>
              <w:spacing w:line="360" w:lineRule="auto"/>
              <w:ind w:firstLine="480" w:firstLineChars="200"/>
              <w:rPr>
                <w:bCs/>
                <w:color w:val="auto"/>
                <w:sz w:val="24"/>
              </w:rPr>
            </w:pPr>
          </w:p>
          <w:p>
            <w:pPr>
              <w:adjustRightInd w:val="0"/>
              <w:snapToGrid w:val="0"/>
              <w:spacing w:line="360" w:lineRule="auto"/>
              <w:ind w:firstLine="480" w:firstLineChars="200"/>
              <w:rPr>
                <w:bCs/>
                <w:color w:val="auto"/>
                <w:sz w:val="24"/>
              </w:rPr>
            </w:pPr>
          </w:p>
          <w:p>
            <w:pPr>
              <w:adjustRightInd w:val="0"/>
              <w:snapToGrid w:val="0"/>
              <w:spacing w:line="360" w:lineRule="auto"/>
              <w:ind w:firstLine="480" w:firstLineChars="200"/>
              <w:rPr>
                <w:bCs/>
                <w:color w:val="auto"/>
                <w:sz w:val="24"/>
              </w:rPr>
            </w:pPr>
          </w:p>
          <w:p>
            <w:pPr>
              <w:adjustRightInd w:val="0"/>
              <w:snapToGrid w:val="0"/>
              <w:spacing w:line="360" w:lineRule="auto"/>
              <w:ind w:firstLine="480" w:firstLineChars="200"/>
              <w:rPr>
                <w:bCs/>
                <w:color w:val="auto"/>
                <w:sz w:val="24"/>
              </w:rPr>
            </w:pPr>
          </w:p>
          <w:p>
            <w:pPr>
              <w:adjustRightInd w:val="0"/>
              <w:snapToGrid w:val="0"/>
              <w:spacing w:line="360" w:lineRule="auto"/>
              <w:ind w:firstLine="480" w:firstLineChars="200"/>
              <w:rPr>
                <w:bCs/>
                <w:color w:val="auto"/>
                <w:sz w:val="24"/>
              </w:rPr>
            </w:pPr>
          </w:p>
          <w:p>
            <w:pPr>
              <w:spacing w:line="360" w:lineRule="auto"/>
              <w:rPr>
                <w:b/>
                <w:bCs/>
                <w:color w:val="auto"/>
                <w:sz w:val="28"/>
                <w:szCs w:val="28"/>
              </w:rPr>
            </w:pPr>
            <w:r>
              <w:rPr>
                <w:b/>
                <w:bCs/>
                <w:color w:val="auto"/>
                <w:sz w:val="28"/>
                <w:szCs w:val="28"/>
              </w:rPr>
              <w:t>主要环境保护目标(列出名单及保护级别)：</w:t>
            </w:r>
          </w:p>
          <w:p>
            <w:pPr>
              <w:pStyle w:val="120"/>
              <w:rPr>
                <w:rFonts w:cs="宋体"/>
                <w:color w:val="auto"/>
              </w:rPr>
            </w:pPr>
            <w:r>
              <w:rPr>
                <w:rFonts w:hint="eastAsia" w:cs="宋体"/>
                <w:color w:val="auto"/>
              </w:rPr>
              <w:t>(</w:t>
            </w:r>
            <w:r>
              <w:rPr>
                <w:rFonts w:cs="宋体"/>
                <w:color w:val="auto"/>
              </w:rPr>
              <w:t>1</w:t>
            </w:r>
            <w:r>
              <w:rPr>
                <w:rFonts w:hint="eastAsia" w:cs="宋体"/>
                <w:color w:val="auto"/>
              </w:rPr>
              <w:t>)</w:t>
            </w:r>
            <w:r>
              <w:rPr>
                <w:rFonts w:cs="宋体"/>
                <w:color w:val="auto"/>
              </w:rPr>
              <w:t>水环境保护目标</w:t>
            </w:r>
          </w:p>
          <w:p>
            <w:pPr>
              <w:pStyle w:val="120"/>
              <w:rPr>
                <w:rFonts w:cs="宋体"/>
                <w:color w:val="auto"/>
              </w:rPr>
            </w:pPr>
            <w:r>
              <w:rPr>
                <w:rFonts w:hint="eastAsia" w:cs="宋体"/>
                <w:color w:val="auto"/>
              </w:rPr>
              <w:t>保护项目附近周溪河水质达到</w:t>
            </w:r>
            <w:r>
              <w:rPr>
                <w:rFonts w:cs="宋体"/>
                <w:color w:val="auto"/>
              </w:rPr>
              <w:t>《地表水环境质量标准》（GB 3838-2002）</w:t>
            </w:r>
            <w:r>
              <w:rPr>
                <w:rFonts w:hint="eastAsia" w:cs="宋体"/>
                <w:color w:val="auto"/>
              </w:rPr>
              <w:t>Ⅲ类</w:t>
            </w:r>
            <w:r>
              <w:rPr>
                <w:rFonts w:cs="宋体"/>
                <w:color w:val="auto"/>
              </w:rPr>
              <w:t>水质的标准要求</w:t>
            </w:r>
            <w:r>
              <w:rPr>
                <w:rFonts w:hint="eastAsia" w:cs="宋体"/>
                <w:color w:val="auto"/>
              </w:rPr>
              <w:t>。</w:t>
            </w:r>
          </w:p>
          <w:p>
            <w:pPr>
              <w:pStyle w:val="120"/>
              <w:rPr>
                <w:rFonts w:cs="宋体"/>
                <w:color w:val="auto"/>
              </w:rPr>
            </w:pPr>
            <w:r>
              <w:rPr>
                <w:rFonts w:hint="eastAsia" w:cs="宋体"/>
                <w:color w:val="auto"/>
              </w:rPr>
              <w:t>(</w:t>
            </w:r>
            <w:r>
              <w:rPr>
                <w:rFonts w:cs="宋体"/>
                <w:color w:val="auto"/>
              </w:rPr>
              <w:t>2</w:t>
            </w:r>
            <w:r>
              <w:rPr>
                <w:rFonts w:hint="eastAsia" w:cs="宋体"/>
                <w:color w:val="auto"/>
              </w:rPr>
              <w:t>)</w:t>
            </w:r>
            <w:r>
              <w:rPr>
                <w:rFonts w:cs="宋体"/>
                <w:color w:val="auto"/>
              </w:rPr>
              <w:t>环境空气保护目标</w:t>
            </w:r>
          </w:p>
          <w:p>
            <w:pPr>
              <w:pStyle w:val="120"/>
              <w:rPr>
                <w:rFonts w:cs="宋体"/>
                <w:color w:val="auto"/>
              </w:rPr>
            </w:pPr>
            <w:r>
              <w:rPr>
                <w:rFonts w:cs="宋体"/>
                <w:color w:val="auto"/>
              </w:rPr>
              <w:t>大气污染物能做到达标排放，并有效控制大气污染物的排放，使建设项目所在地区环境空气质量达到</w:t>
            </w:r>
            <w:r>
              <w:rPr>
                <w:rFonts w:hint="eastAsia" w:cs="宋体"/>
                <w:color w:val="auto"/>
              </w:rPr>
              <w:t>《环境空气质量标准》(GB3095-2012)及2018年修改单</w:t>
            </w:r>
            <w:r>
              <w:rPr>
                <w:rFonts w:cs="宋体"/>
                <w:color w:val="auto"/>
              </w:rPr>
              <w:t>中的二级标准。</w:t>
            </w:r>
          </w:p>
          <w:p>
            <w:pPr>
              <w:pStyle w:val="120"/>
              <w:rPr>
                <w:rFonts w:cs="宋体"/>
                <w:color w:val="auto"/>
              </w:rPr>
            </w:pPr>
            <w:r>
              <w:rPr>
                <w:rFonts w:hint="eastAsia" w:cs="宋体"/>
                <w:color w:val="auto"/>
              </w:rPr>
              <w:t>(</w:t>
            </w:r>
            <w:r>
              <w:rPr>
                <w:rFonts w:cs="宋体"/>
                <w:color w:val="auto"/>
              </w:rPr>
              <w:t>3</w:t>
            </w:r>
            <w:r>
              <w:rPr>
                <w:rFonts w:hint="eastAsia" w:cs="宋体"/>
                <w:color w:val="auto"/>
              </w:rPr>
              <w:t>)</w:t>
            </w:r>
            <w:r>
              <w:rPr>
                <w:rFonts w:cs="宋体"/>
                <w:color w:val="auto"/>
              </w:rPr>
              <w:t>声环境保护目标</w:t>
            </w:r>
          </w:p>
          <w:p>
            <w:pPr>
              <w:pStyle w:val="120"/>
              <w:rPr>
                <w:rFonts w:cs="宋体"/>
                <w:color w:val="auto"/>
              </w:rPr>
            </w:pPr>
            <w:r>
              <w:rPr>
                <w:rFonts w:cs="宋体"/>
                <w:color w:val="auto"/>
              </w:rPr>
              <w:t>控制建设项目噪声的排放，使项目所在区域及周边近距离内噪声敏感点的声环境质量符合《声环境质量标准》(GB3096-2008)</w:t>
            </w:r>
            <w:r>
              <w:rPr>
                <w:rFonts w:hint="eastAsia" w:cs="宋体"/>
                <w:color w:val="auto"/>
              </w:rPr>
              <w:t xml:space="preserve"> </w:t>
            </w:r>
            <w:r>
              <w:rPr>
                <w:rFonts w:cs="宋体"/>
                <w:color w:val="auto"/>
              </w:rPr>
              <w:t>1</w:t>
            </w:r>
            <w:r>
              <w:rPr>
                <w:rFonts w:hint="eastAsia" w:cs="宋体"/>
                <w:color w:val="auto"/>
              </w:rPr>
              <w:t>，2，4a类</w:t>
            </w:r>
            <w:r>
              <w:rPr>
                <w:rFonts w:cs="宋体"/>
                <w:color w:val="auto"/>
              </w:rPr>
              <w:t>标准。</w:t>
            </w:r>
          </w:p>
          <w:p>
            <w:pPr>
              <w:pStyle w:val="120"/>
              <w:rPr>
                <w:color w:val="auto"/>
              </w:rPr>
            </w:pPr>
            <w:r>
              <w:rPr>
                <w:rFonts w:hint="eastAsia" w:cs="宋体"/>
                <w:color w:val="auto"/>
              </w:rPr>
              <w:t>(</w:t>
            </w:r>
            <w:r>
              <w:rPr>
                <w:rFonts w:cs="宋体"/>
                <w:color w:val="auto"/>
              </w:rPr>
              <w:t>4</w:t>
            </w:r>
            <w:r>
              <w:rPr>
                <w:rFonts w:hint="eastAsia" w:cs="宋体"/>
                <w:color w:val="auto"/>
              </w:rPr>
              <w:t>)</w:t>
            </w:r>
            <w:r>
              <w:rPr>
                <w:rFonts w:cs="宋体"/>
                <w:color w:val="auto"/>
              </w:rPr>
              <w:t>有效控制建设项目固体废物的排放，</w:t>
            </w:r>
            <w:r>
              <w:rPr>
                <w:rFonts w:hint="eastAsia" w:cs="宋体"/>
                <w:color w:val="auto"/>
              </w:rPr>
              <w:t>生活垃圾进行分类收集和储存，交环卫部门外运处理，不在项目附近形成堆积，不直接排入环境造成二次污染，保护项目所在区域的生态环境。</w:t>
            </w:r>
          </w:p>
          <w:p>
            <w:pPr>
              <w:pStyle w:val="120"/>
              <w:rPr>
                <w:color w:val="auto"/>
              </w:rPr>
            </w:pPr>
            <w:r>
              <w:rPr>
                <w:color w:val="auto"/>
              </w:rPr>
              <w:t>(5)加强绿化和美化，尽量减少植被破环，保护项目辖区及周边区域生态质量。</w:t>
            </w:r>
          </w:p>
          <w:p>
            <w:pPr>
              <w:pStyle w:val="120"/>
              <w:rPr>
                <w:color w:val="auto"/>
              </w:rPr>
            </w:pPr>
            <w:r>
              <w:rPr>
                <w:color w:val="auto"/>
              </w:rPr>
              <w:t>(6)环境保护敏感点：</w:t>
            </w:r>
            <w:r>
              <w:rPr>
                <w:rFonts w:hint="eastAsia" w:ascii="宋体" w:hAnsi="宋体"/>
                <w:color w:val="auto"/>
                <w:kern w:val="0"/>
              </w:rPr>
              <w:t>本项目加压泵站位于</w:t>
            </w:r>
            <w:r>
              <w:rPr>
                <w:rFonts w:hint="eastAsia"/>
                <w:color w:val="auto"/>
              </w:rPr>
              <w:t>梅江区金山街道碧桂路旁，管道铺设由泵站沿G</w:t>
            </w:r>
            <w:r>
              <w:rPr>
                <w:color w:val="auto"/>
              </w:rPr>
              <w:t>205</w:t>
            </w:r>
            <w:r>
              <w:rPr>
                <w:rFonts w:hint="eastAsia"/>
                <w:color w:val="auto"/>
              </w:rPr>
              <w:t>国道自南向北至梅州监狱</w:t>
            </w:r>
            <w:r>
              <w:rPr>
                <w:color w:val="auto"/>
              </w:rPr>
              <w:t>，经现场勘查，周</w:t>
            </w:r>
            <w:r>
              <w:rPr>
                <w:rFonts w:hint="eastAsia"/>
                <w:color w:val="auto"/>
              </w:rPr>
              <w:t>边环境保护目标如下</w:t>
            </w:r>
            <w:r>
              <w:rPr>
                <w:color w:val="auto"/>
              </w:rPr>
              <w:t>。</w:t>
            </w:r>
          </w:p>
          <w:p>
            <w:pPr>
              <w:pStyle w:val="123"/>
              <w:rPr>
                <w:color w:val="auto"/>
              </w:rPr>
            </w:pPr>
            <w:r>
              <w:rPr>
                <w:color w:val="auto"/>
              </w:rPr>
              <w:t>表</w:t>
            </w:r>
            <w:r>
              <w:rPr>
                <w:color w:val="auto"/>
              </w:rPr>
              <w:fldChar w:fldCharType="begin"/>
            </w:r>
            <w:r>
              <w:rPr>
                <w:color w:val="auto"/>
              </w:rPr>
              <w:instrText xml:space="preserve"> </w:instrText>
            </w:r>
            <w:r>
              <w:rPr>
                <w:rFonts w:hint="eastAsia"/>
                <w:color w:val="auto"/>
              </w:rPr>
              <w:instrText xml:space="preserve">SEQ 表 \* ARABIC</w:instrText>
            </w:r>
            <w:r>
              <w:rPr>
                <w:color w:val="auto"/>
              </w:rPr>
              <w:instrText xml:space="preserve"> </w:instrText>
            </w:r>
            <w:r>
              <w:rPr>
                <w:color w:val="auto"/>
              </w:rPr>
              <w:fldChar w:fldCharType="separate"/>
            </w:r>
            <w:r>
              <w:rPr>
                <w:color w:val="auto"/>
              </w:rPr>
              <w:t>6</w:t>
            </w:r>
            <w:r>
              <w:rPr>
                <w:color w:val="auto"/>
              </w:rPr>
              <w:fldChar w:fldCharType="end"/>
            </w:r>
            <w:r>
              <w:rPr>
                <w:color w:val="auto"/>
              </w:rPr>
              <w:t xml:space="preserve">  项目主要环境保护目标</w:t>
            </w:r>
          </w:p>
          <w:tbl>
            <w:tblPr>
              <w:tblStyle w:val="33"/>
              <w:tblW w:w="49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0"/>
              <w:gridCol w:w="521"/>
              <w:gridCol w:w="1325"/>
              <w:gridCol w:w="1036"/>
              <w:gridCol w:w="851"/>
              <w:gridCol w:w="1133"/>
              <w:gridCol w:w="1277"/>
              <w:gridCol w:w="18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9" w:hRule="atLeast"/>
                <w:jc w:val="center"/>
              </w:trPr>
              <w:tc>
                <w:tcPr>
                  <w:tcW w:w="410" w:type="pct"/>
                  <w:vAlign w:val="center"/>
                </w:tcPr>
                <w:p>
                  <w:pPr>
                    <w:pStyle w:val="68"/>
                    <w:ind w:left="0"/>
                    <w:rPr>
                      <w:color w:val="auto"/>
                      <w:sz w:val="21"/>
                      <w:szCs w:val="16"/>
                    </w:rPr>
                  </w:pPr>
                  <w:r>
                    <w:rPr>
                      <w:color w:val="auto"/>
                      <w:sz w:val="21"/>
                      <w:szCs w:val="16"/>
                    </w:rPr>
                    <w:t>环境要素</w:t>
                  </w:r>
                </w:p>
              </w:tc>
              <w:tc>
                <w:tcPr>
                  <w:tcW w:w="301" w:type="pct"/>
                  <w:vAlign w:val="center"/>
                </w:tcPr>
                <w:p>
                  <w:pPr>
                    <w:pStyle w:val="68"/>
                    <w:ind w:left="0"/>
                    <w:rPr>
                      <w:color w:val="auto"/>
                      <w:sz w:val="21"/>
                      <w:szCs w:val="16"/>
                    </w:rPr>
                  </w:pPr>
                  <w:r>
                    <w:rPr>
                      <w:color w:val="auto"/>
                      <w:sz w:val="21"/>
                      <w:szCs w:val="16"/>
                    </w:rPr>
                    <w:t>序号</w:t>
                  </w:r>
                </w:p>
              </w:tc>
              <w:tc>
                <w:tcPr>
                  <w:tcW w:w="765" w:type="pct"/>
                  <w:vAlign w:val="center"/>
                </w:tcPr>
                <w:p>
                  <w:pPr>
                    <w:pStyle w:val="68"/>
                    <w:ind w:left="0"/>
                    <w:rPr>
                      <w:color w:val="auto"/>
                      <w:sz w:val="21"/>
                      <w:szCs w:val="16"/>
                    </w:rPr>
                  </w:pPr>
                  <w:r>
                    <w:rPr>
                      <w:color w:val="auto"/>
                      <w:sz w:val="21"/>
                      <w:szCs w:val="16"/>
                    </w:rPr>
                    <w:t>目标名称</w:t>
                  </w:r>
                </w:p>
              </w:tc>
              <w:tc>
                <w:tcPr>
                  <w:tcW w:w="598" w:type="pct"/>
                  <w:vAlign w:val="center"/>
                </w:tcPr>
                <w:p>
                  <w:pPr>
                    <w:pStyle w:val="68"/>
                    <w:ind w:left="0"/>
                    <w:rPr>
                      <w:color w:val="auto"/>
                      <w:sz w:val="21"/>
                      <w:szCs w:val="16"/>
                    </w:rPr>
                  </w:pPr>
                  <w:r>
                    <w:rPr>
                      <w:color w:val="auto"/>
                      <w:sz w:val="21"/>
                      <w:szCs w:val="16"/>
                    </w:rPr>
                    <w:t>相对方位</w:t>
                  </w:r>
                </w:p>
              </w:tc>
              <w:tc>
                <w:tcPr>
                  <w:tcW w:w="491" w:type="pct"/>
                  <w:vAlign w:val="center"/>
                </w:tcPr>
                <w:p>
                  <w:pPr>
                    <w:pStyle w:val="68"/>
                    <w:ind w:left="0"/>
                    <w:rPr>
                      <w:color w:val="auto"/>
                      <w:sz w:val="21"/>
                      <w:szCs w:val="16"/>
                    </w:rPr>
                  </w:pPr>
                  <w:r>
                    <w:rPr>
                      <w:color w:val="auto"/>
                      <w:sz w:val="21"/>
                      <w:szCs w:val="16"/>
                    </w:rPr>
                    <w:t>距离(m)</w:t>
                  </w:r>
                </w:p>
              </w:tc>
              <w:tc>
                <w:tcPr>
                  <w:tcW w:w="654" w:type="pct"/>
                  <w:vAlign w:val="center"/>
                </w:tcPr>
                <w:p>
                  <w:pPr>
                    <w:pStyle w:val="68"/>
                    <w:ind w:left="0"/>
                    <w:rPr>
                      <w:color w:val="auto"/>
                      <w:sz w:val="21"/>
                      <w:szCs w:val="16"/>
                    </w:rPr>
                  </w:pPr>
                  <w:r>
                    <w:rPr>
                      <w:color w:val="auto"/>
                      <w:sz w:val="21"/>
                      <w:szCs w:val="16"/>
                    </w:rPr>
                    <w:t>性质</w:t>
                  </w:r>
                </w:p>
              </w:tc>
              <w:tc>
                <w:tcPr>
                  <w:tcW w:w="737" w:type="pct"/>
                  <w:vAlign w:val="center"/>
                </w:tcPr>
                <w:p>
                  <w:pPr>
                    <w:pStyle w:val="68"/>
                    <w:ind w:left="0"/>
                    <w:rPr>
                      <w:color w:val="auto"/>
                      <w:sz w:val="21"/>
                      <w:szCs w:val="16"/>
                    </w:rPr>
                  </w:pPr>
                  <w:r>
                    <w:rPr>
                      <w:color w:val="auto"/>
                      <w:sz w:val="21"/>
                      <w:szCs w:val="16"/>
                    </w:rPr>
                    <w:t>规模</w:t>
                  </w:r>
                </w:p>
              </w:tc>
              <w:tc>
                <w:tcPr>
                  <w:tcW w:w="1044" w:type="pct"/>
                  <w:vAlign w:val="center"/>
                </w:tcPr>
                <w:p>
                  <w:pPr>
                    <w:pStyle w:val="68"/>
                    <w:ind w:left="0"/>
                    <w:rPr>
                      <w:color w:val="auto"/>
                      <w:sz w:val="21"/>
                      <w:szCs w:val="16"/>
                    </w:rPr>
                  </w:pPr>
                  <w:r>
                    <w:rPr>
                      <w:color w:val="auto"/>
                      <w:sz w:val="21"/>
                      <w:szCs w:val="16"/>
                    </w:rPr>
                    <w:t>功能等级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410" w:type="pct"/>
                  <w:vAlign w:val="center"/>
                </w:tcPr>
                <w:p>
                  <w:pPr>
                    <w:pStyle w:val="68"/>
                    <w:ind w:left="0"/>
                    <w:rPr>
                      <w:color w:val="auto"/>
                      <w:sz w:val="21"/>
                      <w:szCs w:val="16"/>
                    </w:rPr>
                  </w:pPr>
                  <w:r>
                    <w:rPr>
                      <w:rFonts w:hint="eastAsia"/>
                      <w:color w:val="auto"/>
                      <w:sz w:val="21"/>
                      <w:szCs w:val="16"/>
                    </w:rPr>
                    <w:t>水环境</w:t>
                  </w:r>
                </w:p>
              </w:tc>
              <w:tc>
                <w:tcPr>
                  <w:tcW w:w="301" w:type="pct"/>
                  <w:vAlign w:val="center"/>
                </w:tcPr>
                <w:p>
                  <w:pPr>
                    <w:pStyle w:val="68"/>
                    <w:ind w:left="0"/>
                    <w:rPr>
                      <w:color w:val="auto"/>
                      <w:sz w:val="21"/>
                      <w:szCs w:val="16"/>
                    </w:rPr>
                  </w:pPr>
                  <w:r>
                    <w:rPr>
                      <w:rFonts w:hint="eastAsia"/>
                      <w:color w:val="auto"/>
                      <w:sz w:val="21"/>
                      <w:szCs w:val="16"/>
                    </w:rPr>
                    <w:t>1</w:t>
                  </w:r>
                </w:p>
              </w:tc>
              <w:tc>
                <w:tcPr>
                  <w:tcW w:w="765" w:type="pct"/>
                  <w:vAlign w:val="center"/>
                </w:tcPr>
                <w:p>
                  <w:pPr>
                    <w:pStyle w:val="68"/>
                    <w:ind w:left="0"/>
                    <w:rPr>
                      <w:color w:val="auto"/>
                      <w:sz w:val="21"/>
                      <w:szCs w:val="16"/>
                    </w:rPr>
                  </w:pPr>
                  <w:r>
                    <w:rPr>
                      <w:rFonts w:hint="eastAsia"/>
                      <w:color w:val="auto"/>
                      <w:sz w:val="21"/>
                      <w:szCs w:val="16"/>
                    </w:rPr>
                    <w:t>周溪河</w:t>
                  </w:r>
                </w:p>
              </w:tc>
              <w:tc>
                <w:tcPr>
                  <w:tcW w:w="598" w:type="pct"/>
                  <w:vAlign w:val="center"/>
                </w:tcPr>
                <w:p>
                  <w:pPr>
                    <w:pStyle w:val="68"/>
                    <w:ind w:left="0"/>
                    <w:rPr>
                      <w:color w:val="auto"/>
                      <w:sz w:val="21"/>
                      <w:szCs w:val="16"/>
                    </w:rPr>
                  </w:pPr>
                  <w:r>
                    <w:rPr>
                      <w:rFonts w:hint="eastAsia"/>
                      <w:color w:val="auto"/>
                      <w:sz w:val="21"/>
                      <w:szCs w:val="16"/>
                    </w:rPr>
                    <w:t>泵站东面</w:t>
                  </w:r>
                </w:p>
              </w:tc>
              <w:tc>
                <w:tcPr>
                  <w:tcW w:w="491" w:type="pct"/>
                  <w:vAlign w:val="center"/>
                </w:tcPr>
                <w:p>
                  <w:pPr>
                    <w:pStyle w:val="68"/>
                    <w:ind w:left="0"/>
                    <w:rPr>
                      <w:color w:val="auto"/>
                      <w:sz w:val="21"/>
                      <w:szCs w:val="16"/>
                    </w:rPr>
                  </w:pPr>
                  <w:r>
                    <w:rPr>
                      <w:color w:val="auto"/>
                      <w:sz w:val="21"/>
                      <w:szCs w:val="16"/>
                    </w:rPr>
                    <w:t>650</w:t>
                  </w:r>
                </w:p>
              </w:tc>
              <w:tc>
                <w:tcPr>
                  <w:tcW w:w="654" w:type="pct"/>
                  <w:vAlign w:val="center"/>
                </w:tcPr>
                <w:p>
                  <w:pPr>
                    <w:pStyle w:val="68"/>
                    <w:ind w:left="0"/>
                    <w:rPr>
                      <w:color w:val="auto"/>
                      <w:sz w:val="21"/>
                      <w:szCs w:val="16"/>
                    </w:rPr>
                  </w:pPr>
                  <w:r>
                    <w:rPr>
                      <w:rFonts w:hint="eastAsia"/>
                      <w:color w:val="auto"/>
                      <w:sz w:val="21"/>
                      <w:szCs w:val="16"/>
                    </w:rPr>
                    <w:t>河流</w:t>
                  </w:r>
                </w:p>
              </w:tc>
              <w:tc>
                <w:tcPr>
                  <w:tcW w:w="737" w:type="pct"/>
                  <w:vAlign w:val="center"/>
                </w:tcPr>
                <w:p>
                  <w:pPr>
                    <w:pStyle w:val="68"/>
                    <w:ind w:left="0"/>
                    <w:rPr>
                      <w:color w:val="auto"/>
                      <w:sz w:val="21"/>
                      <w:szCs w:val="16"/>
                    </w:rPr>
                  </w:pPr>
                  <w:r>
                    <w:rPr>
                      <w:rFonts w:hint="eastAsia"/>
                      <w:color w:val="auto"/>
                      <w:sz w:val="21"/>
                      <w:szCs w:val="16"/>
                    </w:rPr>
                    <w:t>小河</w:t>
                  </w:r>
                </w:p>
              </w:tc>
              <w:tc>
                <w:tcPr>
                  <w:tcW w:w="1044" w:type="pct"/>
                  <w:vAlign w:val="center"/>
                </w:tcPr>
                <w:p>
                  <w:pPr>
                    <w:pStyle w:val="68"/>
                    <w:ind w:left="0"/>
                    <w:rPr>
                      <w:color w:val="auto"/>
                      <w:sz w:val="21"/>
                      <w:szCs w:val="16"/>
                    </w:rPr>
                  </w:pPr>
                  <w:r>
                    <w:rPr>
                      <w:rFonts w:hint="eastAsia"/>
                      <w:color w:val="auto"/>
                      <w:sz w:val="21"/>
                      <w:szCs w:val="16"/>
                    </w:rPr>
                    <w:t>地表水Ⅲ类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410" w:type="pct"/>
                  <w:vMerge w:val="restart"/>
                  <w:vAlign w:val="center"/>
                </w:tcPr>
                <w:p>
                  <w:pPr>
                    <w:pStyle w:val="68"/>
                    <w:ind w:left="0"/>
                    <w:rPr>
                      <w:color w:val="auto"/>
                      <w:sz w:val="21"/>
                      <w:szCs w:val="16"/>
                    </w:rPr>
                  </w:pPr>
                  <w:r>
                    <w:rPr>
                      <w:rFonts w:hint="eastAsia"/>
                      <w:color w:val="auto"/>
                      <w:sz w:val="21"/>
                      <w:szCs w:val="16"/>
                    </w:rPr>
                    <w:t>大气环境、声环境</w:t>
                  </w:r>
                </w:p>
              </w:tc>
              <w:tc>
                <w:tcPr>
                  <w:tcW w:w="301" w:type="pct"/>
                  <w:vAlign w:val="center"/>
                </w:tcPr>
                <w:p>
                  <w:pPr>
                    <w:pStyle w:val="68"/>
                    <w:ind w:left="0"/>
                    <w:rPr>
                      <w:color w:val="auto"/>
                      <w:sz w:val="21"/>
                      <w:szCs w:val="16"/>
                    </w:rPr>
                  </w:pPr>
                  <w:r>
                    <w:rPr>
                      <w:rFonts w:hint="eastAsia"/>
                      <w:color w:val="auto"/>
                      <w:sz w:val="21"/>
                      <w:szCs w:val="16"/>
                    </w:rPr>
                    <w:t>1</w:t>
                  </w:r>
                </w:p>
              </w:tc>
              <w:tc>
                <w:tcPr>
                  <w:tcW w:w="765" w:type="pct"/>
                  <w:vAlign w:val="center"/>
                </w:tcPr>
                <w:p>
                  <w:pPr>
                    <w:pStyle w:val="68"/>
                    <w:ind w:left="0"/>
                    <w:rPr>
                      <w:color w:val="auto"/>
                      <w:sz w:val="21"/>
                      <w:szCs w:val="16"/>
                    </w:rPr>
                  </w:pPr>
                  <w:r>
                    <w:rPr>
                      <w:rFonts w:hint="eastAsia"/>
                      <w:color w:val="auto"/>
                      <w:sz w:val="21"/>
                      <w:szCs w:val="16"/>
                    </w:rPr>
                    <w:t>梅江区拘留所</w:t>
                  </w:r>
                </w:p>
              </w:tc>
              <w:tc>
                <w:tcPr>
                  <w:tcW w:w="598" w:type="pct"/>
                  <w:vAlign w:val="center"/>
                </w:tcPr>
                <w:p>
                  <w:pPr>
                    <w:pStyle w:val="68"/>
                    <w:ind w:left="0"/>
                    <w:rPr>
                      <w:color w:val="auto"/>
                      <w:sz w:val="21"/>
                      <w:szCs w:val="16"/>
                    </w:rPr>
                  </w:pPr>
                  <w:r>
                    <w:rPr>
                      <w:rFonts w:hint="eastAsia"/>
                      <w:color w:val="auto"/>
                      <w:sz w:val="21"/>
                      <w:szCs w:val="16"/>
                    </w:rPr>
                    <w:t>泵站西北</w:t>
                  </w:r>
                </w:p>
              </w:tc>
              <w:tc>
                <w:tcPr>
                  <w:tcW w:w="491" w:type="pct"/>
                  <w:vAlign w:val="center"/>
                </w:tcPr>
                <w:p>
                  <w:pPr>
                    <w:pStyle w:val="68"/>
                    <w:ind w:left="0"/>
                    <w:rPr>
                      <w:color w:val="auto"/>
                      <w:sz w:val="21"/>
                      <w:szCs w:val="16"/>
                    </w:rPr>
                  </w:pPr>
                  <w:r>
                    <w:rPr>
                      <w:color w:val="auto"/>
                      <w:sz w:val="21"/>
                      <w:szCs w:val="16"/>
                    </w:rPr>
                    <w:t>5</w:t>
                  </w:r>
                </w:p>
              </w:tc>
              <w:tc>
                <w:tcPr>
                  <w:tcW w:w="654" w:type="pct"/>
                  <w:vAlign w:val="center"/>
                </w:tcPr>
                <w:p>
                  <w:pPr>
                    <w:pStyle w:val="68"/>
                    <w:ind w:left="0"/>
                    <w:rPr>
                      <w:color w:val="auto"/>
                      <w:sz w:val="21"/>
                      <w:szCs w:val="16"/>
                    </w:rPr>
                  </w:pPr>
                  <w:r>
                    <w:rPr>
                      <w:rFonts w:hint="eastAsia"/>
                      <w:color w:val="auto"/>
                      <w:sz w:val="21"/>
                      <w:szCs w:val="16"/>
                    </w:rPr>
                    <w:t>政府单位</w:t>
                  </w:r>
                </w:p>
              </w:tc>
              <w:tc>
                <w:tcPr>
                  <w:tcW w:w="737" w:type="pct"/>
                  <w:vAlign w:val="center"/>
                </w:tcPr>
                <w:p>
                  <w:pPr>
                    <w:pStyle w:val="68"/>
                    <w:ind w:left="0"/>
                    <w:rPr>
                      <w:color w:val="auto"/>
                      <w:sz w:val="21"/>
                      <w:szCs w:val="16"/>
                    </w:rPr>
                  </w:pPr>
                  <w:r>
                    <w:rPr>
                      <w:rFonts w:hint="eastAsia"/>
                      <w:color w:val="auto"/>
                      <w:sz w:val="21"/>
                      <w:szCs w:val="16"/>
                    </w:rPr>
                    <w:t>2</w:t>
                  </w:r>
                  <w:r>
                    <w:rPr>
                      <w:color w:val="auto"/>
                      <w:sz w:val="21"/>
                      <w:szCs w:val="16"/>
                    </w:rPr>
                    <w:t>00</w:t>
                  </w:r>
                  <w:r>
                    <w:rPr>
                      <w:rFonts w:hint="eastAsia"/>
                      <w:color w:val="auto"/>
                      <w:sz w:val="21"/>
                      <w:szCs w:val="16"/>
                    </w:rPr>
                    <w:t>人</w:t>
                  </w:r>
                </w:p>
              </w:tc>
              <w:tc>
                <w:tcPr>
                  <w:tcW w:w="1044" w:type="pct"/>
                  <w:vMerge w:val="restart"/>
                  <w:vAlign w:val="center"/>
                </w:tcPr>
                <w:p>
                  <w:pPr>
                    <w:pStyle w:val="68"/>
                    <w:ind w:left="0"/>
                    <w:rPr>
                      <w:color w:val="auto"/>
                      <w:sz w:val="21"/>
                      <w:szCs w:val="16"/>
                    </w:rPr>
                  </w:pPr>
                  <w:r>
                    <w:rPr>
                      <w:rFonts w:hint="eastAsia"/>
                      <w:color w:val="auto"/>
                      <w:sz w:val="21"/>
                      <w:szCs w:val="16"/>
                    </w:rPr>
                    <w:t>大气二级，声</w:t>
                  </w:r>
                  <w:r>
                    <w:rPr>
                      <w:color w:val="auto"/>
                      <w:sz w:val="21"/>
                      <w:szCs w:val="16"/>
                    </w:rPr>
                    <w:t>1</w:t>
                  </w:r>
                  <w:r>
                    <w:rPr>
                      <w:rFonts w:hint="eastAsia"/>
                      <w:color w:val="auto"/>
                      <w:sz w:val="21"/>
                      <w:szCs w:val="16"/>
                    </w:rPr>
                    <w:t>，2，4a类区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410" w:type="pct"/>
                  <w:vMerge w:val="continue"/>
                  <w:vAlign w:val="center"/>
                </w:tcPr>
                <w:p>
                  <w:pPr>
                    <w:pStyle w:val="68"/>
                    <w:ind w:left="0"/>
                    <w:rPr>
                      <w:color w:val="auto"/>
                      <w:sz w:val="21"/>
                      <w:szCs w:val="16"/>
                      <w:highlight w:val="yellow"/>
                    </w:rPr>
                  </w:pPr>
                </w:p>
              </w:tc>
              <w:tc>
                <w:tcPr>
                  <w:tcW w:w="301" w:type="pct"/>
                  <w:vAlign w:val="center"/>
                </w:tcPr>
                <w:p>
                  <w:pPr>
                    <w:pStyle w:val="68"/>
                    <w:ind w:left="0"/>
                    <w:rPr>
                      <w:color w:val="auto"/>
                      <w:sz w:val="21"/>
                      <w:szCs w:val="16"/>
                    </w:rPr>
                  </w:pPr>
                  <w:r>
                    <w:rPr>
                      <w:rFonts w:hint="eastAsia"/>
                      <w:color w:val="auto"/>
                      <w:sz w:val="21"/>
                      <w:szCs w:val="16"/>
                    </w:rPr>
                    <w:t>2</w:t>
                  </w:r>
                </w:p>
              </w:tc>
              <w:tc>
                <w:tcPr>
                  <w:tcW w:w="765" w:type="pct"/>
                  <w:vAlign w:val="center"/>
                </w:tcPr>
                <w:p>
                  <w:pPr>
                    <w:pStyle w:val="68"/>
                    <w:ind w:left="0"/>
                    <w:rPr>
                      <w:color w:val="auto"/>
                      <w:sz w:val="21"/>
                      <w:szCs w:val="16"/>
                    </w:rPr>
                  </w:pPr>
                  <w:r>
                    <w:rPr>
                      <w:rFonts w:hint="eastAsia"/>
                      <w:color w:val="auto"/>
                      <w:sz w:val="21"/>
                      <w:szCs w:val="16"/>
                    </w:rPr>
                    <w:t>强制隔离戒毒中心</w:t>
                  </w:r>
                </w:p>
              </w:tc>
              <w:tc>
                <w:tcPr>
                  <w:tcW w:w="598" w:type="pct"/>
                  <w:vAlign w:val="center"/>
                </w:tcPr>
                <w:p>
                  <w:pPr>
                    <w:pStyle w:val="68"/>
                    <w:ind w:left="0"/>
                    <w:rPr>
                      <w:color w:val="auto"/>
                      <w:sz w:val="21"/>
                      <w:szCs w:val="16"/>
                    </w:rPr>
                  </w:pPr>
                  <w:r>
                    <w:rPr>
                      <w:rFonts w:hint="eastAsia"/>
                      <w:color w:val="auto"/>
                      <w:sz w:val="21"/>
                      <w:szCs w:val="16"/>
                    </w:rPr>
                    <w:t>泵站东北</w:t>
                  </w:r>
                </w:p>
              </w:tc>
              <w:tc>
                <w:tcPr>
                  <w:tcW w:w="491" w:type="pct"/>
                  <w:vAlign w:val="center"/>
                </w:tcPr>
                <w:p>
                  <w:pPr>
                    <w:pStyle w:val="68"/>
                    <w:ind w:left="0"/>
                    <w:rPr>
                      <w:color w:val="auto"/>
                      <w:sz w:val="21"/>
                      <w:szCs w:val="16"/>
                    </w:rPr>
                  </w:pPr>
                  <w:r>
                    <w:rPr>
                      <w:color w:val="auto"/>
                      <w:sz w:val="21"/>
                      <w:szCs w:val="16"/>
                    </w:rPr>
                    <w:t>40</w:t>
                  </w:r>
                </w:p>
              </w:tc>
              <w:tc>
                <w:tcPr>
                  <w:tcW w:w="654" w:type="pct"/>
                  <w:vAlign w:val="center"/>
                </w:tcPr>
                <w:p>
                  <w:pPr>
                    <w:pStyle w:val="68"/>
                    <w:ind w:left="0"/>
                    <w:rPr>
                      <w:color w:val="auto"/>
                      <w:sz w:val="21"/>
                      <w:szCs w:val="16"/>
                    </w:rPr>
                  </w:pPr>
                  <w:r>
                    <w:rPr>
                      <w:rFonts w:hint="eastAsia"/>
                      <w:color w:val="auto"/>
                      <w:sz w:val="21"/>
                      <w:szCs w:val="16"/>
                    </w:rPr>
                    <w:t>政府单位</w:t>
                  </w:r>
                </w:p>
              </w:tc>
              <w:tc>
                <w:tcPr>
                  <w:tcW w:w="737" w:type="pct"/>
                  <w:vAlign w:val="center"/>
                </w:tcPr>
                <w:p>
                  <w:pPr>
                    <w:pStyle w:val="68"/>
                    <w:ind w:left="0"/>
                    <w:rPr>
                      <w:color w:val="auto"/>
                      <w:sz w:val="21"/>
                      <w:szCs w:val="16"/>
                    </w:rPr>
                  </w:pPr>
                  <w:r>
                    <w:rPr>
                      <w:rFonts w:hint="eastAsia"/>
                      <w:color w:val="auto"/>
                      <w:sz w:val="21"/>
                      <w:szCs w:val="16"/>
                    </w:rPr>
                    <w:t>1</w:t>
                  </w:r>
                  <w:r>
                    <w:rPr>
                      <w:color w:val="auto"/>
                      <w:sz w:val="21"/>
                      <w:szCs w:val="16"/>
                    </w:rPr>
                    <w:t>50</w:t>
                  </w:r>
                  <w:r>
                    <w:rPr>
                      <w:rFonts w:hint="eastAsia"/>
                      <w:color w:val="auto"/>
                      <w:sz w:val="21"/>
                      <w:szCs w:val="16"/>
                    </w:rPr>
                    <w:t>人</w:t>
                  </w:r>
                </w:p>
              </w:tc>
              <w:tc>
                <w:tcPr>
                  <w:tcW w:w="1044" w:type="pct"/>
                  <w:vMerge w:val="continue"/>
                  <w:vAlign w:val="center"/>
                </w:tcPr>
                <w:p>
                  <w:pPr>
                    <w:pStyle w:val="68"/>
                    <w:ind w:left="0"/>
                    <w:rPr>
                      <w:color w:val="auto"/>
                      <w:sz w:val="21"/>
                      <w:szCs w:val="1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410" w:type="pct"/>
                  <w:vMerge w:val="continue"/>
                  <w:vAlign w:val="center"/>
                </w:tcPr>
                <w:p>
                  <w:pPr>
                    <w:pStyle w:val="68"/>
                    <w:ind w:left="0"/>
                    <w:rPr>
                      <w:color w:val="auto"/>
                      <w:sz w:val="21"/>
                      <w:szCs w:val="16"/>
                      <w:highlight w:val="yellow"/>
                    </w:rPr>
                  </w:pPr>
                </w:p>
              </w:tc>
              <w:tc>
                <w:tcPr>
                  <w:tcW w:w="301" w:type="pct"/>
                  <w:vAlign w:val="center"/>
                </w:tcPr>
                <w:p>
                  <w:pPr>
                    <w:pStyle w:val="68"/>
                    <w:ind w:left="0"/>
                    <w:rPr>
                      <w:color w:val="auto"/>
                      <w:sz w:val="21"/>
                      <w:szCs w:val="16"/>
                    </w:rPr>
                  </w:pPr>
                  <w:r>
                    <w:rPr>
                      <w:rFonts w:hint="eastAsia"/>
                      <w:color w:val="auto"/>
                      <w:sz w:val="21"/>
                      <w:szCs w:val="16"/>
                    </w:rPr>
                    <w:t>3</w:t>
                  </w:r>
                </w:p>
              </w:tc>
              <w:tc>
                <w:tcPr>
                  <w:tcW w:w="765" w:type="pct"/>
                  <w:vAlign w:val="center"/>
                </w:tcPr>
                <w:p>
                  <w:pPr>
                    <w:pStyle w:val="68"/>
                    <w:ind w:left="0"/>
                    <w:rPr>
                      <w:color w:val="auto"/>
                      <w:sz w:val="21"/>
                      <w:szCs w:val="16"/>
                    </w:rPr>
                  </w:pPr>
                  <w:r>
                    <w:rPr>
                      <w:rFonts w:hint="eastAsia"/>
                      <w:color w:val="auto"/>
                      <w:sz w:val="21"/>
                      <w:szCs w:val="16"/>
                    </w:rPr>
                    <w:t>嘉应学院</w:t>
                  </w:r>
                </w:p>
              </w:tc>
              <w:tc>
                <w:tcPr>
                  <w:tcW w:w="598" w:type="pct"/>
                  <w:vAlign w:val="center"/>
                </w:tcPr>
                <w:p>
                  <w:pPr>
                    <w:pStyle w:val="68"/>
                    <w:ind w:left="0"/>
                    <w:rPr>
                      <w:color w:val="auto"/>
                      <w:sz w:val="21"/>
                      <w:szCs w:val="16"/>
                    </w:rPr>
                  </w:pPr>
                  <w:r>
                    <w:rPr>
                      <w:rFonts w:hint="eastAsia"/>
                      <w:color w:val="auto"/>
                      <w:sz w:val="21"/>
                      <w:szCs w:val="16"/>
                    </w:rPr>
                    <w:t>泵站东南</w:t>
                  </w:r>
                </w:p>
              </w:tc>
              <w:tc>
                <w:tcPr>
                  <w:tcW w:w="491" w:type="pct"/>
                  <w:vAlign w:val="center"/>
                </w:tcPr>
                <w:p>
                  <w:pPr>
                    <w:pStyle w:val="68"/>
                    <w:ind w:left="0"/>
                    <w:rPr>
                      <w:color w:val="auto"/>
                      <w:sz w:val="21"/>
                      <w:szCs w:val="16"/>
                    </w:rPr>
                  </w:pPr>
                  <w:r>
                    <w:rPr>
                      <w:color w:val="auto"/>
                      <w:sz w:val="21"/>
                      <w:szCs w:val="16"/>
                    </w:rPr>
                    <w:t>300</w:t>
                  </w:r>
                </w:p>
              </w:tc>
              <w:tc>
                <w:tcPr>
                  <w:tcW w:w="654" w:type="pct"/>
                  <w:vAlign w:val="center"/>
                </w:tcPr>
                <w:p>
                  <w:pPr>
                    <w:pStyle w:val="68"/>
                    <w:ind w:left="0"/>
                    <w:rPr>
                      <w:color w:val="auto"/>
                      <w:sz w:val="21"/>
                      <w:szCs w:val="16"/>
                    </w:rPr>
                  </w:pPr>
                  <w:r>
                    <w:rPr>
                      <w:rFonts w:hint="eastAsia"/>
                      <w:color w:val="auto"/>
                      <w:sz w:val="21"/>
                      <w:szCs w:val="16"/>
                    </w:rPr>
                    <w:t>学校</w:t>
                  </w:r>
                </w:p>
              </w:tc>
              <w:tc>
                <w:tcPr>
                  <w:tcW w:w="737" w:type="pct"/>
                  <w:vAlign w:val="center"/>
                </w:tcPr>
                <w:p>
                  <w:pPr>
                    <w:pStyle w:val="68"/>
                    <w:ind w:left="0"/>
                    <w:rPr>
                      <w:color w:val="auto"/>
                      <w:sz w:val="21"/>
                      <w:szCs w:val="16"/>
                    </w:rPr>
                  </w:pPr>
                  <w:r>
                    <w:rPr>
                      <w:color w:val="auto"/>
                      <w:sz w:val="21"/>
                      <w:szCs w:val="16"/>
                    </w:rPr>
                    <w:t>25000</w:t>
                  </w:r>
                  <w:r>
                    <w:rPr>
                      <w:rFonts w:hint="eastAsia"/>
                      <w:color w:val="auto"/>
                      <w:sz w:val="21"/>
                      <w:szCs w:val="16"/>
                    </w:rPr>
                    <w:t>人</w:t>
                  </w:r>
                </w:p>
              </w:tc>
              <w:tc>
                <w:tcPr>
                  <w:tcW w:w="1044" w:type="pct"/>
                  <w:vMerge w:val="continue"/>
                  <w:vAlign w:val="center"/>
                </w:tcPr>
                <w:p>
                  <w:pPr>
                    <w:pStyle w:val="68"/>
                    <w:ind w:left="0"/>
                    <w:rPr>
                      <w:color w:val="auto"/>
                      <w:sz w:val="21"/>
                      <w:szCs w:val="1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410" w:type="pct"/>
                  <w:vMerge w:val="continue"/>
                  <w:vAlign w:val="center"/>
                </w:tcPr>
                <w:p>
                  <w:pPr>
                    <w:pStyle w:val="68"/>
                    <w:ind w:left="0"/>
                    <w:rPr>
                      <w:color w:val="auto"/>
                      <w:sz w:val="21"/>
                      <w:szCs w:val="16"/>
                      <w:highlight w:val="yellow"/>
                    </w:rPr>
                  </w:pPr>
                </w:p>
              </w:tc>
              <w:tc>
                <w:tcPr>
                  <w:tcW w:w="301" w:type="pct"/>
                  <w:vAlign w:val="center"/>
                </w:tcPr>
                <w:p>
                  <w:pPr>
                    <w:pStyle w:val="68"/>
                    <w:ind w:left="0"/>
                    <w:rPr>
                      <w:color w:val="auto"/>
                      <w:sz w:val="21"/>
                      <w:szCs w:val="16"/>
                    </w:rPr>
                  </w:pPr>
                  <w:r>
                    <w:rPr>
                      <w:rFonts w:hint="eastAsia"/>
                      <w:color w:val="auto"/>
                      <w:sz w:val="21"/>
                      <w:szCs w:val="16"/>
                    </w:rPr>
                    <w:t>4</w:t>
                  </w:r>
                </w:p>
              </w:tc>
              <w:tc>
                <w:tcPr>
                  <w:tcW w:w="765" w:type="pct"/>
                  <w:vAlign w:val="center"/>
                </w:tcPr>
                <w:p>
                  <w:pPr>
                    <w:pStyle w:val="68"/>
                    <w:ind w:left="0"/>
                    <w:rPr>
                      <w:color w:val="auto"/>
                      <w:sz w:val="21"/>
                      <w:szCs w:val="16"/>
                    </w:rPr>
                  </w:pPr>
                  <w:r>
                    <w:rPr>
                      <w:rFonts w:hint="eastAsia"/>
                      <w:color w:val="auto"/>
                      <w:sz w:val="21"/>
                      <w:szCs w:val="16"/>
                    </w:rPr>
                    <w:t>梅江碧桂园小区</w:t>
                  </w:r>
                </w:p>
              </w:tc>
              <w:tc>
                <w:tcPr>
                  <w:tcW w:w="598" w:type="pct"/>
                  <w:vAlign w:val="center"/>
                </w:tcPr>
                <w:p>
                  <w:pPr>
                    <w:pStyle w:val="68"/>
                    <w:ind w:left="0"/>
                    <w:rPr>
                      <w:color w:val="auto"/>
                      <w:sz w:val="21"/>
                      <w:szCs w:val="16"/>
                    </w:rPr>
                  </w:pPr>
                  <w:r>
                    <w:rPr>
                      <w:rFonts w:hint="eastAsia"/>
                      <w:color w:val="auto"/>
                      <w:sz w:val="21"/>
                      <w:szCs w:val="16"/>
                    </w:rPr>
                    <w:t>泵站西面</w:t>
                  </w:r>
                </w:p>
              </w:tc>
              <w:tc>
                <w:tcPr>
                  <w:tcW w:w="491" w:type="pct"/>
                  <w:vAlign w:val="center"/>
                </w:tcPr>
                <w:p>
                  <w:pPr>
                    <w:pStyle w:val="68"/>
                    <w:ind w:left="0"/>
                    <w:rPr>
                      <w:color w:val="auto"/>
                      <w:sz w:val="21"/>
                      <w:szCs w:val="16"/>
                    </w:rPr>
                  </w:pPr>
                  <w:r>
                    <w:rPr>
                      <w:color w:val="auto"/>
                      <w:sz w:val="21"/>
                      <w:szCs w:val="16"/>
                    </w:rPr>
                    <w:t>10</w:t>
                  </w:r>
                </w:p>
              </w:tc>
              <w:tc>
                <w:tcPr>
                  <w:tcW w:w="654" w:type="pct"/>
                  <w:vAlign w:val="center"/>
                </w:tcPr>
                <w:p>
                  <w:pPr>
                    <w:pStyle w:val="68"/>
                    <w:ind w:left="0"/>
                    <w:rPr>
                      <w:color w:val="auto"/>
                      <w:sz w:val="21"/>
                      <w:szCs w:val="16"/>
                    </w:rPr>
                  </w:pPr>
                  <w:r>
                    <w:rPr>
                      <w:rFonts w:hint="eastAsia"/>
                      <w:color w:val="auto"/>
                      <w:sz w:val="21"/>
                      <w:szCs w:val="16"/>
                    </w:rPr>
                    <w:t>居民区</w:t>
                  </w:r>
                </w:p>
              </w:tc>
              <w:tc>
                <w:tcPr>
                  <w:tcW w:w="737" w:type="pct"/>
                  <w:vAlign w:val="center"/>
                </w:tcPr>
                <w:p>
                  <w:pPr>
                    <w:pStyle w:val="68"/>
                    <w:ind w:left="0"/>
                    <w:rPr>
                      <w:color w:val="auto"/>
                      <w:sz w:val="21"/>
                      <w:szCs w:val="16"/>
                    </w:rPr>
                  </w:pPr>
                  <w:r>
                    <w:rPr>
                      <w:color w:val="auto"/>
                      <w:sz w:val="21"/>
                      <w:szCs w:val="16"/>
                    </w:rPr>
                    <w:t>2000</w:t>
                  </w:r>
                  <w:r>
                    <w:rPr>
                      <w:rFonts w:hint="eastAsia"/>
                      <w:color w:val="auto"/>
                      <w:sz w:val="21"/>
                      <w:szCs w:val="16"/>
                    </w:rPr>
                    <w:t>人</w:t>
                  </w:r>
                </w:p>
              </w:tc>
              <w:tc>
                <w:tcPr>
                  <w:tcW w:w="1044" w:type="pct"/>
                  <w:vMerge w:val="continue"/>
                  <w:vAlign w:val="center"/>
                </w:tcPr>
                <w:p>
                  <w:pPr>
                    <w:pStyle w:val="68"/>
                    <w:ind w:left="0"/>
                    <w:rPr>
                      <w:color w:val="auto"/>
                      <w:sz w:val="21"/>
                      <w:szCs w:val="1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410" w:type="pct"/>
                  <w:vMerge w:val="continue"/>
                  <w:vAlign w:val="center"/>
                </w:tcPr>
                <w:p>
                  <w:pPr>
                    <w:pStyle w:val="68"/>
                    <w:ind w:left="0"/>
                    <w:rPr>
                      <w:color w:val="auto"/>
                      <w:sz w:val="21"/>
                      <w:szCs w:val="16"/>
                      <w:highlight w:val="yellow"/>
                    </w:rPr>
                  </w:pPr>
                </w:p>
              </w:tc>
              <w:tc>
                <w:tcPr>
                  <w:tcW w:w="301" w:type="pct"/>
                  <w:vAlign w:val="center"/>
                </w:tcPr>
                <w:p>
                  <w:pPr>
                    <w:pStyle w:val="68"/>
                    <w:ind w:left="0"/>
                    <w:rPr>
                      <w:color w:val="auto"/>
                      <w:sz w:val="21"/>
                      <w:szCs w:val="16"/>
                    </w:rPr>
                  </w:pPr>
                  <w:r>
                    <w:rPr>
                      <w:rFonts w:hint="eastAsia"/>
                      <w:color w:val="auto"/>
                      <w:sz w:val="21"/>
                      <w:szCs w:val="16"/>
                    </w:rPr>
                    <w:t>5</w:t>
                  </w:r>
                </w:p>
              </w:tc>
              <w:tc>
                <w:tcPr>
                  <w:tcW w:w="765" w:type="pct"/>
                  <w:vAlign w:val="center"/>
                </w:tcPr>
                <w:p>
                  <w:pPr>
                    <w:pStyle w:val="68"/>
                    <w:ind w:left="0"/>
                    <w:rPr>
                      <w:color w:val="auto"/>
                      <w:sz w:val="21"/>
                      <w:szCs w:val="16"/>
                    </w:rPr>
                  </w:pPr>
                  <w:r>
                    <w:rPr>
                      <w:rFonts w:hint="eastAsia"/>
                      <w:color w:val="auto"/>
                      <w:sz w:val="21"/>
                      <w:szCs w:val="16"/>
                    </w:rPr>
                    <w:t>三坑尾</w:t>
                  </w:r>
                </w:p>
              </w:tc>
              <w:tc>
                <w:tcPr>
                  <w:tcW w:w="598" w:type="pct"/>
                  <w:vAlign w:val="center"/>
                </w:tcPr>
                <w:p>
                  <w:pPr>
                    <w:pStyle w:val="68"/>
                    <w:ind w:left="0"/>
                    <w:rPr>
                      <w:color w:val="auto"/>
                      <w:sz w:val="21"/>
                      <w:szCs w:val="16"/>
                    </w:rPr>
                  </w:pPr>
                  <w:r>
                    <w:rPr>
                      <w:rFonts w:hint="eastAsia"/>
                      <w:color w:val="auto"/>
                      <w:sz w:val="21"/>
                      <w:szCs w:val="16"/>
                    </w:rPr>
                    <w:t>管道沿线两侧</w:t>
                  </w:r>
                </w:p>
              </w:tc>
              <w:tc>
                <w:tcPr>
                  <w:tcW w:w="491" w:type="pct"/>
                  <w:vAlign w:val="center"/>
                </w:tcPr>
                <w:p>
                  <w:pPr>
                    <w:pStyle w:val="68"/>
                    <w:ind w:left="0"/>
                    <w:rPr>
                      <w:color w:val="auto"/>
                      <w:sz w:val="21"/>
                      <w:szCs w:val="16"/>
                    </w:rPr>
                  </w:pPr>
                  <w:r>
                    <w:rPr>
                      <w:rFonts w:hint="eastAsia"/>
                      <w:color w:val="auto"/>
                      <w:sz w:val="21"/>
                      <w:szCs w:val="16"/>
                    </w:rPr>
                    <w:t>5</w:t>
                  </w:r>
                </w:p>
              </w:tc>
              <w:tc>
                <w:tcPr>
                  <w:tcW w:w="654" w:type="pct"/>
                  <w:vAlign w:val="center"/>
                </w:tcPr>
                <w:p>
                  <w:pPr>
                    <w:pStyle w:val="68"/>
                    <w:ind w:left="0"/>
                    <w:rPr>
                      <w:color w:val="auto"/>
                      <w:sz w:val="21"/>
                      <w:szCs w:val="16"/>
                    </w:rPr>
                  </w:pPr>
                  <w:r>
                    <w:rPr>
                      <w:rFonts w:hint="eastAsia"/>
                      <w:color w:val="auto"/>
                      <w:sz w:val="21"/>
                      <w:szCs w:val="16"/>
                    </w:rPr>
                    <w:t>居民区</w:t>
                  </w:r>
                </w:p>
              </w:tc>
              <w:tc>
                <w:tcPr>
                  <w:tcW w:w="737" w:type="pct"/>
                  <w:vAlign w:val="center"/>
                </w:tcPr>
                <w:p>
                  <w:pPr>
                    <w:pStyle w:val="68"/>
                    <w:ind w:left="0"/>
                    <w:rPr>
                      <w:color w:val="auto"/>
                      <w:sz w:val="21"/>
                      <w:szCs w:val="16"/>
                    </w:rPr>
                  </w:pPr>
                  <w:r>
                    <w:rPr>
                      <w:color w:val="auto"/>
                      <w:sz w:val="21"/>
                      <w:szCs w:val="16"/>
                    </w:rPr>
                    <w:t>850</w:t>
                  </w:r>
                  <w:r>
                    <w:rPr>
                      <w:rFonts w:hint="eastAsia"/>
                      <w:color w:val="auto"/>
                      <w:sz w:val="21"/>
                      <w:szCs w:val="16"/>
                    </w:rPr>
                    <w:t>人</w:t>
                  </w:r>
                </w:p>
              </w:tc>
              <w:tc>
                <w:tcPr>
                  <w:tcW w:w="1044" w:type="pct"/>
                  <w:vMerge w:val="continue"/>
                  <w:vAlign w:val="center"/>
                </w:tcPr>
                <w:p>
                  <w:pPr>
                    <w:pStyle w:val="68"/>
                    <w:ind w:left="0"/>
                    <w:rPr>
                      <w:color w:val="auto"/>
                      <w:sz w:val="21"/>
                      <w:szCs w:val="16"/>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410" w:type="pct"/>
                  <w:vMerge w:val="continue"/>
                  <w:vAlign w:val="center"/>
                </w:tcPr>
                <w:p>
                  <w:pPr>
                    <w:pStyle w:val="68"/>
                    <w:ind w:left="0"/>
                    <w:rPr>
                      <w:color w:val="auto"/>
                      <w:sz w:val="21"/>
                      <w:szCs w:val="16"/>
                      <w:highlight w:val="yellow"/>
                    </w:rPr>
                  </w:pPr>
                </w:p>
              </w:tc>
              <w:tc>
                <w:tcPr>
                  <w:tcW w:w="301" w:type="pct"/>
                  <w:vAlign w:val="center"/>
                </w:tcPr>
                <w:p>
                  <w:pPr>
                    <w:pStyle w:val="68"/>
                    <w:ind w:left="0"/>
                    <w:rPr>
                      <w:color w:val="auto"/>
                      <w:sz w:val="21"/>
                      <w:szCs w:val="16"/>
                    </w:rPr>
                  </w:pPr>
                  <w:r>
                    <w:rPr>
                      <w:rFonts w:hint="eastAsia"/>
                      <w:color w:val="auto"/>
                      <w:sz w:val="21"/>
                      <w:szCs w:val="16"/>
                    </w:rPr>
                    <w:t>6</w:t>
                  </w:r>
                </w:p>
              </w:tc>
              <w:tc>
                <w:tcPr>
                  <w:tcW w:w="765" w:type="pct"/>
                  <w:vAlign w:val="center"/>
                </w:tcPr>
                <w:p>
                  <w:pPr>
                    <w:pStyle w:val="68"/>
                    <w:ind w:left="0"/>
                    <w:rPr>
                      <w:color w:val="auto"/>
                      <w:sz w:val="21"/>
                      <w:szCs w:val="16"/>
                    </w:rPr>
                  </w:pPr>
                  <w:r>
                    <w:rPr>
                      <w:rFonts w:hint="eastAsia"/>
                      <w:color w:val="auto"/>
                      <w:sz w:val="21"/>
                      <w:szCs w:val="16"/>
                    </w:rPr>
                    <w:t>黄基塘</w:t>
                  </w:r>
                </w:p>
              </w:tc>
              <w:tc>
                <w:tcPr>
                  <w:tcW w:w="598" w:type="pct"/>
                </w:tcPr>
                <w:p>
                  <w:pPr>
                    <w:pStyle w:val="68"/>
                    <w:ind w:left="0"/>
                    <w:rPr>
                      <w:color w:val="auto"/>
                      <w:sz w:val="21"/>
                      <w:szCs w:val="16"/>
                    </w:rPr>
                  </w:pPr>
                  <w:r>
                    <w:rPr>
                      <w:rFonts w:hint="eastAsia"/>
                      <w:color w:val="auto"/>
                      <w:sz w:val="21"/>
                      <w:szCs w:val="16"/>
                    </w:rPr>
                    <w:t>管道沿线两侧</w:t>
                  </w:r>
                </w:p>
              </w:tc>
              <w:tc>
                <w:tcPr>
                  <w:tcW w:w="491" w:type="pct"/>
                  <w:vAlign w:val="center"/>
                </w:tcPr>
                <w:p>
                  <w:pPr>
                    <w:pStyle w:val="68"/>
                    <w:ind w:left="0"/>
                    <w:rPr>
                      <w:color w:val="auto"/>
                      <w:sz w:val="21"/>
                      <w:szCs w:val="16"/>
                    </w:rPr>
                  </w:pPr>
                  <w:r>
                    <w:rPr>
                      <w:rFonts w:hint="eastAsia"/>
                      <w:color w:val="auto"/>
                      <w:sz w:val="21"/>
                      <w:szCs w:val="16"/>
                    </w:rPr>
                    <w:t>5</w:t>
                  </w:r>
                </w:p>
              </w:tc>
              <w:tc>
                <w:tcPr>
                  <w:tcW w:w="654" w:type="pct"/>
                  <w:vAlign w:val="center"/>
                </w:tcPr>
                <w:p>
                  <w:pPr>
                    <w:pStyle w:val="68"/>
                    <w:ind w:left="0"/>
                    <w:rPr>
                      <w:color w:val="auto"/>
                      <w:sz w:val="21"/>
                      <w:szCs w:val="16"/>
                    </w:rPr>
                  </w:pPr>
                  <w:r>
                    <w:rPr>
                      <w:rFonts w:hint="eastAsia"/>
                      <w:color w:val="auto"/>
                      <w:sz w:val="21"/>
                      <w:szCs w:val="16"/>
                    </w:rPr>
                    <w:t>居民区</w:t>
                  </w:r>
                </w:p>
              </w:tc>
              <w:tc>
                <w:tcPr>
                  <w:tcW w:w="737" w:type="pct"/>
                  <w:vAlign w:val="center"/>
                </w:tcPr>
                <w:p>
                  <w:pPr>
                    <w:pStyle w:val="68"/>
                    <w:ind w:left="0"/>
                    <w:rPr>
                      <w:color w:val="auto"/>
                      <w:sz w:val="21"/>
                      <w:szCs w:val="16"/>
                    </w:rPr>
                  </w:pPr>
                  <w:r>
                    <w:rPr>
                      <w:color w:val="auto"/>
                      <w:sz w:val="21"/>
                      <w:szCs w:val="16"/>
                    </w:rPr>
                    <w:t>350</w:t>
                  </w:r>
                  <w:r>
                    <w:rPr>
                      <w:rFonts w:hint="eastAsia"/>
                      <w:color w:val="auto"/>
                      <w:sz w:val="21"/>
                      <w:szCs w:val="16"/>
                    </w:rPr>
                    <w:t>人</w:t>
                  </w:r>
                </w:p>
              </w:tc>
              <w:tc>
                <w:tcPr>
                  <w:tcW w:w="1044" w:type="pct"/>
                  <w:vMerge w:val="continue"/>
                  <w:vAlign w:val="center"/>
                </w:tcPr>
                <w:p>
                  <w:pPr>
                    <w:pStyle w:val="68"/>
                    <w:ind w:left="0"/>
                    <w:rPr>
                      <w:color w:val="auto"/>
                      <w:sz w:val="21"/>
                      <w:szCs w:val="16"/>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410" w:type="pct"/>
                  <w:vMerge w:val="continue"/>
                  <w:vAlign w:val="center"/>
                </w:tcPr>
                <w:p>
                  <w:pPr>
                    <w:pStyle w:val="68"/>
                    <w:ind w:left="0"/>
                    <w:rPr>
                      <w:color w:val="auto"/>
                      <w:sz w:val="21"/>
                      <w:szCs w:val="16"/>
                      <w:highlight w:val="yellow"/>
                    </w:rPr>
                  </w:pPr>
                </w:p>
              </w:tc>
              <w:tc>
                <w:tcPr>
                  <w:tcW w:w="301" w:type="pct"/>
                  <w:vAlign w:val="center"/>
                </w:tcPr>
                <w:p>
                  <w:pPr>
                    <w:pStyle w:val="68"/>
                    <w:ind w:left="0"/>
                    <w:rPr>
                      <w:color w:val="auto"/>
                      <w:sz w:val="21"/>
                      <w:szCs w:val="16"/>
                    </w:rPr>
                  </w:pPr>
                  <w:r>
                    <w:rPr>
                      <w:rFonts w:hint="eastAsia"/>
                      <w:color w:val="auto"/>
                      <w:sz w:val="21"/>
                      <w:szCs w:val="16"/>
                    </w:rPr>
                    <w:t>7</w:t>
                  </w:r>
                </w:p>
              </w:tc>
              <w:tc>
                <w:tcPr>
                  <w:tcW w:w="765" w:type="pct"/>
                  <w:vAlign w:val="center"/>
                </w:tcPr>
                <w:p>
                  <w:pPr>
                    <w:pStyle w:val="68"/>
                    <w:ind w:left="0"/>
                    <w:rPr>
                      <w:color w:val="auto"/>
                      <w:sz w:val="21"/>
                      <w:szCs w:val="16"/>
                    </w:rPr>
                  </w:pPr>
                  <w:r>
                    <w:rPr>
                      <w:rFonts w:hint="eastAsia"/>
                      <w:color w:val="auto"/>
                      <w:sz w:val="21"/>
                      <w:szCs w:val="16"/>
                    </w:rPr>
                    <w:t>石下村</w:t>
                  </w:r>
                </w:p>
              </w:tc>
              <w:tc>
                <w:tcPr>
                  <w:tcW w:w="598" w:type="pct"/>
                </w:tcPr>
                <w:p>
                  <w:pPr>
                    <w:pStyle w:val="68"/>
                    <w:ind w:left="0"/>
                    <w:rPr>
                      <w:color w:val="auto"/>
                      <w:sz w:val="21"/>
                      <w:szCs w:val="16"/>
                    </w:rPr>
                  </w:pPr>
                  <w:r>
                    <w:rPr>
                      <w:rFonts w:hint="eastAsia"/>
                      <w:color w:val="auto"/>
                      <w:sz w:val="21"/>
                      <w:szCs w:val="16"/>
                    </w:rPr>
                    <w:t>管道沿线两侧</w:t>
                  </w:r>
                </w:p>
              </w:tc>
              <w:tc>
                <w:tcPr>
                  <w:tcW w:w="491" w:type="pct"/>
                  <w:vAlign w:val="center"/>
                </w:tcPr>
                <w:p>
                  <w:pPr>
                    <w:pStyle w:val="68"/>
                    <w:ind w:left="0"/>
                    <w:rPr>
                      <w:color w:val="auto"/>
                      <w:sz w:val="21"/>
                      <w:szCs w:val="16"/>
                    </w:rPr>
                  </w:pPr>
                  <w:r>
                    <w:rPr>
                      <w:rFonts w:hint="eastAsia"/>
                      <w:color w:val="auto"/>
                      <w:sz w:val="21"/>
                      <w:szCs w:val="16"/>
                    </w:rPr>
                    <w:t>5</w:t>
                  </w:r>
                </w:p>
              </w:tc>
              <w:tc>
                <w:tcPr>
                  <w:tcW w:w="654" w:type="pct"/>
                  <w:vAlign w:val="center"/>
                </w:tcPr>
                <w:p>
                  <w:pPr>
                    <w:pStyle w:val="68"/>
                    <w:ind w:left="0"/>
                    <w:rPr>
                      <w:color w:val="auto"/>
                      <w:sz w:val="21"/>
                      <w:szCs w:val="16"/>
                    </w:rPr>
                  </w:pPr>
                  <w:r>
                    <w:rPr>
                      <w:rFonts w:hint="eastAsia"/>
                      <w:color w:val="auto"/>
                      <w:sz w:val="21"/>
                      <w:szCs w:val="16"/>
                    </w:rPr>
                    <w:t>居民区</w:t>
                  </w:r>
                </w:p>
              </w:tc>
              <w:tc>
                <w:tcPr>
                  <w:tcW w:w="737" w:type="pct"/>
                  <w:vAlign w:val="center"/>
                </w:tcPr>
                <w:p>
                  <w:pPr>
                    <w:pStyle w:val="68"/>
                    <w:ind w:left="0"/>
                    <w:rPr>
                      <w:color w:val="auto"/>
                      <w:sz w:val="21"/>
                      <w:szCs w:val="16"/>
                    </w:rPr>
                  </w:pPr>
                  <w:r>
                    <w:rPr>
                      <w:color w:val="auto"/>
                      <w:sz w:val="21"/>
                      <w:szCs w:val="16"/>
                    </w:rPr>
                    <w:t>1200</w:t>
                  </w:r>
                  <w:r>
                    <w:rPr>
                      <w:rFonts w:hint="eastAsia"/>
                      <w:color w:val="auto"/>
                      <w:sz w:val="21"/>
                      <w:szCs w:val="16"/>
                    </w:rPr>
                    <w:t>人</w:t>
                  </w:r>
                </w:p>
              </w:tc>
              <w:tc>
                <w:tcPr>
                  <w:tcW w:w="1044" w:type="pct"/>
                  <w:vMerge w:val="continue"/>
                  <w:vAlign w:val="center"/>
                </w:tcPr>
                <w:p>
                  <w:pPr>
                    <w:pStyle w:val="68"/>
                    <w:ind w:left="0"/>
                    <w:rPr>
                      <w:color w:val="auto"/>
                      <w:sz w:val="21"/>
                      <w:szCs w:val="1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410" w:type="pct"/>
                  <w:vMerge w:val="continue"/>
                  <w:vAlign w:val="center"/>
                </w:tcPr>
                <w:p>
                  <w:pPr>
                    <w:pStyle w:val="68"/>
                    <w:ind w:left="0"/>
                    <w:rPr>
                      <w:color w:val="auto"/>
                      <w:sz w:val="21"/>
                      <w:szCs w:val="16"/>
                      <w:highlight w:val="yellow"/>
                    </w:rPr>
                  </w:pPr>
                </w:p>
              </w:tc>
              <w:tc>
                <w:tcPr>
                  <w:tcW w:w="301" w:type="pct"/>
                  <w:vAlign w:val="center"/>
                </w:tcPr>
                <w:p>
                  <w:pPr>
                    <w:pStyle w:val="68"/>
                    <w:ind w:left="0"/>
                    <w:rPr>
                      <w:color w:val="auto"/>
                      <w:sz w:val="21"/>
                      <w:szCs w:val="16"/>
                    </w:rPr>
                  </w:pPr>
                  <w:r>
                    <w:rPr>
                      <w:rFonts w:hint="eastAsia"/>
                      <w:color w:val="auto"/>
                      <w:sz w:val="21"/>
                      <w:szCs w:val="16"/>
                    </w:rPr>
                    <w:t>8</w:t>
                  </w:r>
                </w:p>
              </w:tc>
              <w:tc>
                <w:tcPr>
                  <w:tcW w:w="765" w:type="pct"/>
                  <w:vAlign w:val="center"/>
                </w:tcPr>
                <w:p>
                  <w:pPr>
                    <w:pStyle w:val="68"/>
                    <w:ind w:left="0"/>
                    <w:rPr>
                      <w:color w:val="auto"/>
                      <w:sz w:val="21"/>
                      <w:szCs w:val="16"/>
                    </w:rPr>
                  </w:pPr>
                  <w:r>
                    <w:rPr>
                      <w:rFonts w:hint="eastAsia"/>
                      <w:color w:val="auto"/>
                      <w:sz w:val="21"/>
                      <w:szCs w:val="16"/>
                    </w:rPr>
                    <w:t>胡排上</w:t>
                  </w:r>
                </w:p>
              </w:tc>
              <w:tc>
                <w:tcPr>
                  <w:tcW w:w="598" w:type="pct"/>
                </w:tcPr>
                <w:p>
                  <w:pPr>
                    <w:pStyle w:val="68"/>
                    <w:ind w:left="0"/>
                    <w:rPr>
                      <w:color w:val="auto"/>
                      <w:sz w:val="21"/>
                      <w:szCs w:val="16"/>
                    </w:rPr>
                  </w:pPr>
                  <w:r>
                    <w:rPr>
                      <w:rFonts w:hint="eastAsia"/>
                      <w:color w:val="auto"/>
                      <w:sz w:val="21"/>
                      <w:szCs w:val="16"/>
                    </w:rPr>
                    <w:t>管道沿线两侧</w:t>
                  </w:r>
                </w:p>
              </w:tc>
              <w:tc>
                <w:tcPr>
                  <w:tcW w:w="491" w:type="pct"/>
                  <w:vAlign w:val="center"/>
                </w:tcPr>
                <w:p>
                  <w:pPr>
                    <w:pStyle w:val="68"/>
                    <w:ind w:left="0"/>
                    <w:rPr>
                      <w:color w:val="auto"/>
                      <w:sz w:val="21"/>
                      <w:szCs w:val="16"/>
                    </w:rPr>
                  </w:pPr>
                  <w:r>
                    <w:rPr>
                      <w:rFonts w:hint="eastAsia"/>
                      <w:color w:val="auto"/>
                      <w:sz w:val="21"/>
                      <w:szCs w:val="16"/>
                    </w:rPr>
                    <w:t>5</w:t>
                  </w:r>
                </w:p>
              </w:tc>
              <w:tc>
                <w:tcPr>
                  <w:tcW w:w="654" w:type="pct"/>
                  <w:vAlign w:val="center"/>
                </w:tcPr>
                <w:p>
                  <w:pPr>
                    <w:pStyle w:val="68"/>
                    <w:ind w:left="0"/>
                    <w:rPr>
                      <w:color w:val="auto"/>
                      <w:sz w:val="21"/>
                      <w:szCs w:val="16"/>
                    </w:rPr>
                  </w:pPr>
                  <w:r>
                    <w:rPr>
                      <w:rFonts w:hint="eastAsia"/>
                      <w:color w:val="auto"/>
                      <w:sz w:val="21"/>
                      <w:szCs w:val="16"/>
                    </w:rPr>
                    <w:t>居民区</w:t>
                  </w:r>
                </w:p>
              </w:tc>
              <w:tc>
                <w:tcPr>
                  <w:tcW w:w="737" w:type="pct"/>
                  <w:vAlign w:val="center"/>
                </w:tcPr>
                <w:p>
                  <w:pPr>
                    <w:pStyle w:val="68"/>
                    <w:ind w:left="0"/>
                    <w:rPr>
                      <w:color w:val="auto"/>
                      <w:sz w:val="21"/>
                      <w:szCs w:val="16"/>
                    </w:rPr>
                  </w:pPr>
                  <w:r>
                    <w:rPr>
                      <w:color w:val="auto"/>
                      <w:sz w:val="21"/>
                      <w:szCs w:val="16"/>
                    </w:rPr>
                    <w:t>700</w:t>
                  </w:r>
                  <w:r>
                    <w:rPr>
                      <w:rFonts w:hint="eastAsia"/>
                      <w:color w:val="auto"/>
                      <w:sz w:val="21"/>
                      <w:szCs w:val="16"/>
                    </w:rPr>
                    <w:t>人</w:t>
                  </w:r>
                </w:p>
              </w:tc>
              <w:tc>
                <w:tcPr>
                  <w:tcW w:w="1044" w:type="pct"/>
                  <w:vMerge w:val="continue"/>
                  <w:vAlign w:val="center"/>
                </w:tcPr>
                <w:p>
                  <w:pPr>
                    <w:pStyle w:val="68"/>
                    <w:ind w:left="0"/>
                    <w:rPr>
                      <w:color w:val="auto"/>
                      <w:sz w:val="21"/>
                      <w:szCs w:val="1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410" w:type="pct"/>
                  <w:vMerge w:val="continue"/>
                  <w:vAlign w:val="center"/>
                </w:tcPr>
                <w:p>
                  <w:pPr>
                    <w:pStyle w:val="68"/>
                    <w:ind w:left="0"/>
                    <w:rPr>
                      <w:color w:val="auto"/>
                      <w:sz w:val="21"/>
                      <w:szCs w:val="16"/>
                      <w:highlight w:val="yellow"/>
                    </w:rPr>
                  </w:pPr>
                </w:p>
              </w:tc>
              <w:tc>
                <w:tcPr>
                  <w:tcW w:w="301" w:type="pct"/>
                  <w:vAlign w:val="center"/>
                </w:tcPr>
                <w:p>
                  <w:pPr>
                    <w:pStyle w:val="68"/>
                    <w:ind w:left="0"/>
                    <w:rPr>
                      <w:color w:val="auto"/>
                      <w:sz w:val="21"/>
                      <w:szCs w:val="16"/>
                    </w:rPr>
                  </w:pPr>
                  <w:r>
                    <w:rPr>
                      <w:rFonts w:hint="eastAsia"/>
                      <w:color w:val="auto"/>
                      <w:sz w:val="21"/>
                      <w:szCs w:val="16"/>
                    </w:rPr>
                    <w:t>9</w:t>
                  </w:r>
                </w:p>
              </w:tc>
              <w:tc>
                <w:tcPr>
                  <w:tcW w:w="765" w:type="pct"/>
                  <w:vAlign w:val="center"/>
                </w:tcPr>
                <w:p>
                  <w:pPr>
                    <w:pStyle w:val="68"/>
                    <w:ind w:left="0"/>
                    <w:rPr>
                      <w:color w:val="auto"/>
                      <w:sz w:val="21"/>
                      <w:szCs w:val="16"/>
                    </w:rPr>
                  </w:pPr>
                  <w:r>
                    <w:rPr>
                      <w:rFonts w:hint="eastAsia"/>
                      <w:color w:val="auto"/>
                      <w:sz w:val="21"/>
                      <w:szCs w:val="16"/>
                    </w:rPr>
                    <w:t>谢田村</w:t>
                  </w:r>
                </w:p>
              </w:tc>
              <w:tc>
                <w:tcPr>
                  <w:tcW w:w="598" w:type="pct"/>
                </w:tcPr>
                <w:p>
                  <w:pPr>
                    <w:pStyle w:val="68"/>
                    <w:ind w:left="0"/>
                    <w:rPr>
                      <w:color w:val="auto"/>
                      <w:sz w:val="21"/>
                      <w:szCs w:val="16"/>
                    </w:rPr>
                  </w:pPr>
                  <w:r>
                    <w:rPr>
                      <w:rFonts w:hint="eastAsia"/>
                      <w:color w:val="auto"/>
                      <w:sz w:val="21"/>
                      <w:szCs w:val="16"/>
                    </w:rPr>
                    <w:t>管道沿线两侧</w:t>
                  </w:r>
                </w:p>
              </w:tc>
              <w:tc>
                <w:tcPr>
                  <w:tcW w:w="491" w:type="pct"/>
                  <w:vAlign w:val="center"/>
                </w:tcPr>
                <w:p>
                  <w:pPr>
                    <w:pStyle w:val="68"/>
                    <w:ind w:left="0"/>
                    <w:rPr>
                      <w:color w:val="auto"/>
                      <w:sz w:val="21"/>
                      <w:szCs w:val="16"/>
                    </w:rPr>
                  </w:pPr>
                  <w:r>
                    <w:rPr>
                      <w:rFonts w:hint="eastAsia"/>
                      <w:color w:val="auto"/>
                      <w:sz w:val="21"/>
                      <w:szCs w:val="16"/>
                    </w:rPr>
                    <w:t>5</w:t>
                  </w:r>
                </w:p>
              </w:tc>
              <w:tc>
                <w:tcPr>
                  <w:tcW w:w="654" w:type="pct"/>
                  <w:vAlign w:val="center"/>
                </w:tcPr>
                <w:p>
                  <w:pPr>
                    <w:pStyle w:val="68"/>
                    <w:ind w:left="0"/>
                    <w:rPr>
                      <w:color w:val="auto"/>
                      <w:sz w:val="21"/>
                      <w:szCs w:val="16"/>
                    </w:rPr>
                  </w:pPr>
                  <w:r>
                    <w:rPr>
                      <w:rFonts w:hint="eastAsia"/>
                      <w:color w:val="auto"/>
                      <w:sz w:val="21"/>
                      <w:szCs w:val="16"/>
                    </w:rPr>
                    <w:t>居民区</w:t>
                  </w:r>
                </w:p>
              </w:tc>
              <w:tc>
                <w:tcPr>
                  <w:tcW w:w="737" w:type="pct"/>
                  <w:vAlign w:val="center"/>
                </w:tcPr>
                <w:p>
                  <w:pPr>
                    <w:pStyle w:val="68"/>
                    <w:ind w:left="0"/>
                    <w:rPr>
                      <w:color w:val="auto"/>
                      <w:sz w:val="21"/>
                      <w:szCs w:val="16"/>
                    </w:rPr>
                  </w:pPr>
                  <w:r>
                    <w:rPr>
                      <w:rFonts w:hint="eastAsia"/>
                      <w:color w:val="auto"/>
                      <w:sz w:val="21"/>
                      <w:szCs w:val="16"/>
                    </w:rPr>
                    <w:t>1</w:t>
                  </w:r>
                  <w:r>
                    <w:rPr>
                      <w:color w:val="auto"/>
                      <w:sz w:val="21"/>
                      <w:szCs w:val="16"/>
                    </w:rPr>
                    <w:t>500</w:t>
                  </w:r>
                  <w:r>
                    <w:rPr>
                      <w:rFonts w:hint="eastAsia"/>
                      <w:color w:val="auto"/>
                      <w:sz w:val="21"/>
                      <w:szCs w:val="16"/>
                    </w:rPr>
                    <w:t>人</w:t>
                  </w:r>
                </w:p>
              </w:tc>
              <w:tc>
                <w:tcPr>
                  <w:tcW w:w="1044" w:type="pct"/>
                  <w:vMerge w:val="continue"/>
                  <w:vAlign w:val="center"/>
                </w:tcPr>
                <w:p>
                  <w:pPr>
                    <w:pStyle w:val="68"/>
                    <w:ind w:left="0"/>
                    <w:rPr>
                      <w:color w:val="auto"/>
                      <w:sz w:val="21"/>
                      <w:szCs w:val="1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410" w:type="pct"/>
                  <w:vMerge w:val="continue"/>
                  <w:vAlign w:val="center"/>
                </w:tcPr>
                <w:p>
                  <w:pPr>
                    <w:pStyle w:val="68"/>
                    <w:ind w:left="0"/>
                    <w:rPr>
                      <w:color w:val="auto"/>
                      <w:sz w:val="21"/>
                      <w:szCs w:val="16"/>
                      <w:highlight w:val="yellow"/>
                    </w:rPr>
                  </w:pPr>
                </w:p>
              </w:tc>
              <w:tc>
                <w:tcPr>
                  <w:tcW w:w="301" w:type="pct"/>
                  <w:vAlign w:val="center"/>
                </w:tcPr>
                <w:p>
                  <w:pPr>
                    <w:pStyle w:val="68"/>
                    <w:ind w:left="0"/>
                    <w:rPr>
                      <w:color w:val="auto"/>
                      <w:sz w:val="21"/>
                      <w:szCs w:val="16"/>
                    </w:rPr>
                  </w:pPr>
                  <w:r>
                    <w:rPr>
                      <w:rFonts w:hint="eastAsia"/>
                      <w:color w:val="auto"/>
                      <w:sz w:val="21"/>
                      <w:szCs w:val="16"/>
                    </w:rPr>
                    <w:t>1</w:t>
                  </w:r>
                  <w:r>
                    <w:rPr>
                      <w:color w:val="auto"/>
                      <w:sz w:val="21"/>
                      <w:szCs w:val="16"/>
                    </w:rPr>
                    <w:t>0</w:t>
                  </w:r>
                </w:p>
              </w:tc>
              <w:tc>
                <w:tcPr>
                  <w:tcW w:w="765" w:type="pct"/>
                  <w:vAlign w:val="center"/>
                </w:tcPr>
                <w:p>
                  <w:pPr>
                    <w:pStyle w:val="68"/>
                    <w:ind w:left="0"/>
                    <w:rPr>
                      <w:color w:val="auto"/>
                      <w:sz w:val="21"/>
                      <w:szCs w:val="16"/>
                    </w:rPr>
                  </w:pPr>
                  <w:r>
                    <w:rPr>
                      <w:rFonts w:hint="eastAsia"/>
                      <w:color w:val="auto"/>
                      <w:sz w:val="21"/>
                      <w:szCs w:val="16"/>
                    </w:rPr>
                    <w:t>竹洋村</w:t>
                  </w:r>
                </w:p>
              </w:tc>
              <w:tc>
                <w:tcPr>
                  <w:tcW w:w="598" w:type="pct"/>
                </w:tcPr>
                <w:p>
                  <w:pPr>
                    <w:pStyle w:val="68"/>
                    <w:ind w:left="0"/>
                    <w:rPr>
                      <w:color w:val="auto"/>
                      <w:sz w:val="21"/>
                      <w:szCs w:val="16"/>
                    </w:rPr>
                  </w:pPr>
                  <w:r>
                    <w:rPr>
                      <w:rFonts w:hint="eastAsia"/>
                      <w:color w:val="auto"/>
                      <w:sz w:val="21"/>
                      <w:szCs w:val="16"/>
                    </w:rPr>
                    <w:t>管道沿线两侧</w:t>
                  </w:r>
                </w:p>
              </w:tc>
              <w:tc>
                <w:tcPr>
                  <w:tcW w:w="491" w:type="pct"/>
                  <w:vAlign w:val="center"/>
                </w:tcPr>
                <w:p>
                  <w:pPr>
                    <w:pStyle w:val="68"/>
                    <w:ind w:left="0"/>
                    <w:rPr>
                      <w:color w:val="auto"/>
                      <w:sz w:val="21"/>
                      <w:szCs w:val="16"/>
                    </w:rPr>
                  </w:pPr>
                  <w:r>
                    <w:rPr>
                      <w:rFonts w:hint="eastAsia"/>
                      <w:color w:val="auto"/>
                      <w:sz w:val="21"/>
                      <w:szCs w:val="16"/>
                    </w:rPr>
                    <w:t>5</w:t>
                  </w:r>
                </w:p>
              </w:tc>
              <w:tc>
                <w:tcPr>
                  <w:tcW w:w="654" w:type="pct"/>
                  <w:vAlign w:val="center"/>
                </w:tcPr>
                <w:p>
                  <w:pPr>
                    <w:pStyle w:val="68"/>
                    <w:ind w:left="0"/>
                    <w:rPr>
                      <w:color w:val="auto"/>
                      <w:sz w:val="21"/>
                      <w:szCs w:val="16"/>
                    </w:rPr>
                  </w:pPr>
                  <w:r>
                    <w:rPr>
                      <w:rFonts w:hint="eastAsia"/>
                      <w:color w:val="auto"/>
                      <w:sz w:val="21"/>
                      <w:szCs w:val="16"/>
                    </w:rPr>
                    <w:t>居民区</w:t>
                  </w:r>
                </w:p>
              </w:tc>
              <w:tc>
                <w:tcPr>
                  <w:tcW w:w="737" w:type="pct"/>
                  <w:vAlign w:val="center"/>
                </w:tcPr>
                <w:p>
                  <w:pPr>
                    <w:pStyle w:val="68"/>
                    <w:ind w:left="0"/>
                    <w:rPr>
                      <w:color w:val="auto"/>
                      <w:sz w:val="21"/>
                      <w:szCs w:val="16"/>
                    </w:rPr>
                  </w:pPr>
                  <w:r>
                    <w:rPr>
                      <w:rFonts w:hint="eastAsia"/>
                      <w:color w:val="auto"/>
                      <w:sz w:val="21"/>
                      <w:szCs w:val="16"/>
                    </w:rPr>
                    <w:t>1</w:t>
                  </w:r>
                  <w:r>
                    <w:rPr>
                      <w:color w:val="auto"/>
                      <w:sz w:val="21"/>
                      <w:szCs w:val="16"/>
                    </w:rPr>
                    <w:t>200</w:t>
                  </w:r>
                  <w:r>
                    <w:rPr>
                      <w:rFonts w:hint="eastAsia"/>
                      <w:color w:val="auto"/>
                      <w:sz w:val="21"/>
                      <w:szCs w:val="16"/>
                    </w:rPr>
                    <w:t>人</w:t>
                  </w:r>
                </w:p>
              </w:tc>
              <w:tc>
                <w:tcPr>
                  <w:tcW w:w="1044" w:type="pct"/>
                  <w:vMerge w:val="continue"/>
                  <w:vAlign w:val="center"/>
                </w:tcPr>
                <w:p>
                  <w:pPr>
                    <w:pStyle w:val="68"/>
                    <w:ind w:left="0"/>
                    <w:rPr>
                      <w:color w:val="auto"/>
                      <w:sz w:val="21"/>
                      <w:szCs w:val="1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410" w:type="pct"/>
                  <w:vMerge w:val="continue"/>
                  <w:vAlign w:val="center"/>
                </w:tcPr>
                <w:p>
                  <w:pPr>
                    <w:pStyle w:val="68"/>
                    <w:ind w:left="0"/>
                    <w:rPr>
                      <w:color w:val="auto"/>
                      <w:sz w:val="21"/>
                      <w:szCs w:val="16"/>
                    </w:rPr>
                  </w:pPr>
                </w:p>
              </w:tc>
              <w:tc>
                <w:tcPr>
                  <w:tcW w:w="301" w:type="pct"/>
                  <w:vAlign w:val="center"/>
                </w:tcPr>
                <w:p>
                  <w:pPr>
                    <w:pStyle w:val="68"/>
                    <w:ind w:left="0"/>
                    <w:rPr>
                      <w:color w:val="auto"/>
                      <w:sz w:val="21"/>
                      <w:szCs w:val="16"/>
                    </w:rPr>
                  </w:pPr>
                  <w:r>
                    <w:rPr>
                      <w:rFonts w:hint="eastAsia"/>
                      <w:color w:val="auto"/>
                      <w:sz w:val="21"/>
                      <w:szCs w:val="16"/>
                    </w:rPr>
                    <w:t>1</w:t>
                  </w:r>
                  <w:r>
                    <w:rPr>
                      <w:color w:val="auto"/>
                      <w:sz w:val="21"/>
                      <w:szCs w:val="16"/>
                    </w:rPr>
                    <w:t>1</w:t>
                  </w:r>
                </w:p>
              </w:tc>
              <w:tc>
                <w:tcPr>
                  <w:tcW w:w="765" w:type="pct"/>
                  <w:vAlign w:val="center"/>
                </w:tcPr>
                <w:p>
                  <w:pPr>
                    <w:pStyle w:val="68"/>
                    <w:ind w:left="0"/>
                    <w:rPr>
                      <w:color w:val="auto"/>
                      <w:sz w:val="21"/>
                      <w:szCs w:val="16"/>
                    </w:rPr>
                  </w:pPr>
                  <w:r>
                    <w:rPr>
                      <w:rFonts w:hint="eastAsia"/>
                      <w:color w:val="auto"/>
                      <w:sz w:val="21"/>
                      <w:szCs w:val="16"/>
                    </w:rPr>
                    <w:t>梅县区宝宝幼儿园</w:t>
                  </w:r>
                </w:p>
              </w:tc>
              <w:tc>
                <w:tcPr>
                  <w:tcW w:w="598" w:type="pct"/>
                  <w:vAlign w:val="center"/>
                </w:tcPr>
                <w:p>
                  <w:pPr>
                    <w:pStyle w:val="68"/>
                    <w:ind w:left="0"/>
                    <w:rPr>
                      <w:color w:val="auto"/>
                      <w:sz w:val="21"/>
                      <w:szCs w:val="16"/>
                    </w:rPr>
                  </w:pPr>
                  <w:r>
                    <w:rPr>
                      <w:rFonts w:hint="eastAsia"/>
                      <w:color w:val="auto"/>
                      <w:sz w:val="21"/>
                      <w:szCs w:val="16"/>
                    </w:rPr>
                    <w:t>东</w:t>
                  </w:r>
                </w:p>
              </w:tc>
              <w:tc>
                <w:tcPr>
                  <w:tcW w:w="491" w:type="pct"/>
                  <w:vAlign w:val="center"/>
                </w:tcPr>
                <w:p>
                  <w:pPr>
                    <w:pStyle w:val="68"/>
                    <w:ind w:left="0"/>
                    <w:rPr>
                      <w:color w:val="auto"/>
                      <w:sz w:val="21"/>
                      <w:szCs w:val="16"/>
                    </w:rPr>
                  </w:pPr>
                  <w:r>
                    <w:rPr>
                      <w:rFonts w:hint="eastAsia"/>
                      <w:color w:val="auto"/>
                      <w:sz w:val="21"/>
                      <w:szCs w:val="16"/>
                    </w:rPr>
                    <w:t>7</w:t>
                  </w:r>
                </w:p>
              </w:tc>
              <w:tc>
                <w:tcPr>
                  <w:tcW w:w="654" w:type="pct"/>
                  <w:vAlign w:val="center"/>
                </w:tcPr>
                <w:p>
                  <w:pPr>
                    <w:pStyle w:val="68"/>
                    <w:ind w:left="0"/>
                    <w:rPr>
                      <w:color w:val="auto"/>
                      <w:sz w:val="21"/>
                      <w:szCs w:val="16"/>
                    </w:rPr>
                  </w:pPr>
                  <w:r>
                    <w:rPr>
                      <w:rFonts w:hint="eastAsia"/>
                      <w:color w:val="auto"/>
                      <w:sz w:val="21"/>
                      <w:szCs w:val="16"/>
                    </w:rPr>
                    <w:t>学校</w:t>
                  </w:r>
                </w:p>
              </w:tc>
              <w:tc>
                <w:tcPr>
                  <w:tcW w:w="737" w:type="pct"/>
                  <w:vAlign w:val="center"/>
                </w:tcPr>
                <w:p>
                  <w:pPr>
                    <w:pStyle w:val="68"/>
                    <w:ind w:left="0"/>
                    <w:rPr>
                      <w:color w:val="auto"/>
                      <w:sz w:val="21"/>
                      <w:szCs w:val="16"/>
                    </w:rPr>
                  </w:pPr>
                  <w:r>
                    <w:rPr>
                      <w:rFonts w:hint="eastAsia"/>
                      <w:color w:val="auto"/>
                      <w:sz w:val="21"/>
                      <w:szCs w:val="16"/>
                    </w:rPr>
                    <w:t>1</w:t>
                  </w:r>
                  <w:r>
                    <w:rPr>
                      <w:color w:val="auto"/>
                      <w:sz w:val="21"/>
                      <w:szCs w:val="16"/>
                    </w:rPr>
                    <w:t>50</w:t>
                  </w:r>
                  <w:r>
                    <w:rPr>
                      <w:rFonts w:hint="eastAsia"/>
                      <w:color w:val="auto"/>
                      <w:sz w:val="21"/>
                      <w:szCs w:val="16"/>
                    </w:rPr>
                    <w:t>人</w:t>
                  </w:r>
                </w:p>
              </w:tc>
              <w:tc>
                <w:tcPr>
                  <w:tcW w:w="1044" w:type="pct"/>
                  <w:vMerge w:val="continue"/>
                  <w:vAlign w:val="center"/>
                </w:tcPr>
                <w:p>
                  <w:pPr>
                    <w:pStyle w:val="68"/>
                    <w:ind w:left="0"/>
                    <w:rPr>
                      <w:color w:val="auto"/>
                      <w:sz w:val="21"/>
                      <w:szCs w:val="1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410" w:type="pct"/>
                  <w:vMerge w:val="continue"/>
                  <w:vAlign w:val="center"/>
                </w:tcPr>
                <w:p>
                  <w:pPr>
                    <w:pStyle w:val="68"/>
                    <w:ind w:left="0"/>
                    <w:rPr>
                      <w:color w:val="auto"/>
                      <w:sz w:val="21"/>
                      <w:szCs w:val="16"/>
                    </w:rPr>
                  </w:pPr>
                </w:p>
              </w:tc>
              <w:tc>
                <w:tcPr>
                  <w:tcW w:w="301" w:type="pct"/>
                  <w:vAlign w:val="center"/>
                </w:tcPr>
                <w:p>
                  <w:pPr>
                    <w:pStyle w:val="68"/>
                    <w:ind w:left="0"/>
                    <w:rPr>
                      <w:color w:val="auto"/>
                      <w:sz w:val="21"/>
                      <w:szCs w:val="16"/>
                    </w:rPr>
                  </w:pPr>
                  <w:r>
                    <w:rPr>
                      <w:rFonts w:hint="eastAsia"/>
                      <w:color w:val="auto"/>
                      <w:sz w:val="21"/>
                      <w:szCs w:val="16"/>
                    </w:rPr>
                    <w:t>1</w:t>
                  </w:r>
                  <w:r>
                    <w:rPr>
                      <w:color w:val="auto"/>
                      <w:sz w:val="21"/>
                      <w:szCs w:val="16"/>
                    </w:rPr>
                    <w:t>2</w:t>
                  </w:r>
                </w:p>
              </w:tc>
              <w:tc>
                <w:tcPr>
                  <w:tcW w:w="765" w:type="pct"/>
                  <w:vAlign w:val="center"/>
                </w:tcPr>
                <w:p>
                  <w:pPr>
                    <w:pStyle w:val="68"/>
                    <w:ind w:left="0"/>
                    <w:rPr>
                      <w:color w:val="auto"/>
                      <w:sz w:val="21"/>
                      <w:szCs w:val="16"/>
                    </w:rPr>
                  </w:pPr>
                  <w:r>
                    <w:rPr>
                      <w:rFonts w:hint="eastAsia"/>
                      <w:color w:val="auto"/>
                      <w:sz w:val="21"/>
                      <w:szCs w:val="16"/>
                    </w:rPr>
                    <w:t>梅州金盘医院</w:t>
                  </w:r>
                </w:p>
              </w:tc>
              <w:tc>
                <w:tcPr>
                  <w:tcW w:w="598" w:type="pct"/>
                  <w:vAlign w:val="center"/>
                </w:tcPr>
                <w:p>
                  <w:pPr>
                    <w:pStyle w:val="68"/>
                    <w:ind w:left="0"/>
                    <w:rPr>
                      <w:color w:val="auto"/>
                      <w:sz w:val="21"/>
                      <w:szCs w:val="16"/>
                    </w:rPr>
                  </w:pPr>
                  <w:r>
                    <w:rPr>
                      <w:rFonts w:hint="eastAsia"/>
                      <w:color w:val="auto"/>
                      <w:sz w:val="21"/>
                      <w:szCs w:val="16"/>
                    </w:rPr>
                    <w:t>西</w:t>
                  </w:r>
                </w:p>
              </w:tc>
              <w:tc>
                <w:tcPr>
                  <w:tcW w:w="491" w:type="pct"/>
                  <w:vAlign w:val="center"/>
                </w:tcPr>
                <w:p>
                  <w:pPr>
                    <w:pStyle w:val="68"/>
                    <w:ind w:left="0"/>
                    <w:rPr>
                      <w:color w:val="auto"/>
                      <w:sz w:val="21"/>
                      <w:szCs w:val="16"/>
                    </w:rPr>
                  </w:pPr>
                  <w:r>
                    <w:rPr>
                      <w:rFonts w:hint="eastAsia"/>
                      <w:color w:val="auto"/>
                      <w:sz w:val="21"/>
                      <w:szCs w:val="16"/>
                    </w:rPr>
                    <w:t>1</w:t>
                  </w:r>
                  <w:r>
                    <w:rPr>
                      <w:color w:val="auto"/>
                      <w:sz w:val="21"/>
                      <w:szCs w:val="16"/>
                    </w:rPr>
                    <w:t>0</w:t>
                  </w:r>
                </w:p>
              </w:tc>
              <w:tc>
                <w:tcPr>
                  <w:tcW w:w="654" w:type="pct"/>
                  <w:vAlign w:val="center"/>
                </w:tcPr>
                <w:p>
                  <w:pPr>
                    <w:pStyle w:val="68"/>
                    <w:ind w:left="0"/>
                    <w:rPr>
                      <w:color w:val="auto"/>
                      <w:sz w:val="21"/>
                      <w:szCs w:val="16"/>
                    </w:rPr>
                  </w:pPr>
                  <w:r>
                    <w:rPr>
                      <w:rFonts w:hint="eastAsia"/>
                      <w:color w:val="auto"/>
                      <w:sz w:val="21"/>
                      <w:szCs w:val="16"/>
                    </w:rPr>
                    <w:t>医院</w:t>
                  </w:r>
                </w:p>
              </w:tc>
              <w:tc>
                <w:tcPr>
                  <w:tcW w:w="737" w:type="pct"/>
                  <w:vAlign w:val="center"/>
                </w:tcPr>
                <w:p>
                  <w:pPr>
                    <w:pStyle w:val="68"/>
                    <w:ind w:left="0"/>
                    <w:rPr>
                      <w:color w:val="auto"/>
                      <w:sz w:val="21"/>
                      <w:szCs w:val="16"/>
                    </w:rPr>
                  </w:pPr>
                  <w:r>
                    <w:rPr>
                      <w:rFonts w:hint="eastAsia"/>
                      <w:color w:val="auto"/>
                      <w:sz w:val="21"/>
                      <w:szCs w:val="16"/>
                    </w:rPr>
                    <w:t>5</w:t>
                  </w:r>
                  <w:r>
                    <w:rPr>
                      <w:color w:val="auto"/>
                      <w:sz w:val="21"/>
                      <w:szCs w:val="16"/>
                    </w:rPr>
                    <w:t>00</w:t>
                  </w:r>
                  <w:r>
                    <w:rPr>
                      <w:rFonts w:hint="eastAsia"/>
                      <w:color w:val="auto"/>
                      <w:sz w:val="21"/>
                      <w:szCs w:val="16"/>
                    </w:rPr>
                    <w:t>人</w:t>
                  </w:r>
                </w:p>
              </w:tc>
              <w:tc>
                <w:tcPr>
                  <w:tcW w:w="1044" w:type="pct"/>
                  <w:vMerge w:val="continue"/>
                  <w:vAlign w:val="center"/>
                </w:tcPr>
                <w:p>
                  <w:pPr>
                    <w:pStyle w:val="68"/>
                    <w:ind w:left="0"/>
                    <w:rPr>
                      <w:color w:val="auto"/>
                      <w:sz w:val="21"/>
                      <w:szCs w:val="1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410" w:type="pct"/>
                  <w:vMerge w:val="continue"/>
                  <w:vAlign w:val="center"/>
                </w:tcPr>
                <w:p>
                  <w:pPr>
                    <w:pStyle w:val="68"/>
                    <w:ind w:left="0"/>
                    <w:rPr>
                      <w:color w:val="auto"/>
                      <w:sz w:val="21"/>
                      <w:szCs w:val="16"/>
                    </w:rPr>
                  </w:pPr>
                </w:p>
              </w:tc>
              <w:tc>
                <w:tcPr>
                  <w:tcW w:w="301" w:type="pct"/>
                  <w:vAlign w:val="center"/>
                </w:tcPr>
                <w:p>
                  <w:pPr>
                    <w:pStyle w:val="68"/>
                    <w:ind w:left="0"/>
                    <w:rPr>
                      <w:color w:val="auto"/>
                      <w:sz w:val="21"/>
                      <w:szCs w:val="16"/>
                    </w:rPr>
                  </w:pPr>
                  <w:r>
                    <w:rPr>
                      <w:rFonts w:hint="eastAsia"/>
                      <w:color w:val="auto"/>
                      <w:sz w:val="21"/>
                      <w:szCs w:val="16"/>
                    </w:rPr>
                    <w:t>1</w:t>
                  </w:r>
                  <w:r>
                    <w:rPr>
                      <w:color w:val="auto"/>
                      <w:sz w:val="21"/>
                      <w:szCs w:val="16"/>
                    </w:rPr>
                    <w:t>3</w:t>
                  </w:r>
                </w:p>
              </w:tc>
              <w:tc>
                <w:tcPr>
                  <w:tcW w:w="765" w:type="pct"/>
                  <w:vAlign w:val="center"/>
                </w:tcPr>
                <w:p>
                  <w:pPr>
                    <w:pStyle w:val="68"/>
                    <w:ind w:left="0"/>
                    <w:rPr>
                      <w:color w:val="auto"/>
                      <w:sz w:val="21"/>
                      <w:szCs w:val="16"/>
                    </w:rPr>
                  </w:pPr>
                  <w:r>
                    <w:rPr>
                      <w:rFonts w:hint="eastAsia"/>
                      <w:color w:val="auto"/>
                      <w:sz w:val="21"/>
                      <w:szCs w:val="16"/>
                    </w:rPr>
                    <w:t>梅县区金盘桥幼儿园</w:t>
                  </w:r>
                </w:p>
              </w:tc>
              <w:tc>
                <w:tcPr>
                  <w:tcW w:w="598" w:type="pct"/>
                  <w:vAlign w:val="center"/>
                </w:tcPr>
                <w:p>
                  <w:pPr>
                    <w:pStyle w:val="68"/>
                    <w:ind w:left="0"/>
                    <w:rPr>
                      <w:color w:val="auto"/>
                      <w:sz w:val="21"/>
                      <w:szCs w:val="16"/>
                    </w:rPr>
                  </w:pPr>
                  <w:r>
                    <w:rPr>
                      <w:rFonts w:hint="eastAsia"/>
                      <w:color w:val="auto"/>
                      <w:sz w:val="21"/>
                      <w:szCs w:val="16"/>
                    </w:rPr>
                    <w:t>西</w:t>
                  </w:r>
                </w:p>
              </w:tc>
              <w:tc>
                <w:tcPr>
                  <w:tcW w:w="491" w:type="pct"/>
                  <w:vAlign w:val="center"/>
                </w:tcPr>
                <w:p>
                  <w:pPr>
                    <w:pStyle w:val="68"/>
                    <w:ind w:left="0"/>
                    <w:rPr>
                      <w:color w:val="auto"/>
                      <w:sz w:val="21"/>
                      <w:szCs w:val="16"/>
                    </w:rPr>
                  </w:pPr>
                  <w:r>
                    <w:rPr>
                      <w:rFonts w:hint="eastAsia"/>
                      <w:color w:val="auto"/>
                      <w:sz w:val="21"/>
                      <w:szCs w:val="16"/>
                    </w:rPr>
                    <w:t>8</w:t>
                  </w:r>
                </w:p>
              </w:tc>
              <w:tc>
                <w:tcPr>
                  <w:tcW w:w="654" w:type="pct"/>
                  <w:vAlign w:val="center"/>
                </w:tcPr>
                <w:p>
                  <w:pPr>
                    <w:pStyle w:val="68"/>
                    <w:ind w:left="0"/>
                    <w:rPr>
                      <w:color w:val="auto"/>
                      <w:sz w:val="21"/>
                      <w:szCs w:val="16"/>
                    </w:rPr>
                  </w:pPr>
                  <w:r>
                    <w:rPr>
                      <w:rFonts w:hint="eastAsia"/>
                      <w:color w:val="auto"/>
                      <w:sz w:val="21"/>
                      <w:szCs w:val="16"/>
                    </w:rPr>
                    <w:t>学校</w:t>
                  </w:r>
                </w:p>
              </w:tc>
              <w:tc>
                <w:tcPr>
                  <w:tcW w:w="737" w:type="pct"/>
                  <w:vAlign w:val="center"/>
                </w:tcPr>
                <w:p>
                  <w:pPr>
                    <w:pStyle w:val="68"/>
                    <w:ind w:left="0"/>
                    <w:rPr>
                      <w:color w:val="auto"/>
                      <w:sz w:val="21"/>
                      <w:szCs w:val="16"/>
                    </w:rPr>
                  </w:pPr>
                  <w:r>
                    <w:rPr>
                      <w:rFonts w:hint="eastAsia"/>
                      <w:color w:val="auto"/>
                      <w:sz w:val="21"/>
                      <w:szCs w:val="16"/>
                    </w:rPr>
                    <w:t>1</w:t>
                  </w:r>
                  <w:r>
                    <w:rPr>
                      <w:color w:val="auto"/>
                      <w:sz w:val="21"/>
                      <w:szCs w:val="16"/>
                    </w:rPr>
                    <w:t>80</w:t>
                  </w:r>
                  <w:r>
                    <w:rPr>
                      <w:rFonts w:hint="eastAsia"/>
                      <w:color w:val="auto"/>
                      <w:sz w:val="21"/>
                      <w:szCs w:val="16"/>
                    </w:rPr>
                    <w:t>人</w:t>
                  </w:r>
                </w:p>
              </w:tc>
              <w:tc>
                <w:tcPr>
                  <w:tcW w:w="1044" w:type="pct"/>
                  <w:vMerge w:val="continue"/>
                  <w:vAlign w:val="center"/>
                </w:tcPr>
                <w:p>
                  <w:pPr>
                    <w:pStyle w:val="68"/>
                    <w:ind w:left="0"/>
                    <w:rPr>
                      <w:color w:val="auto"/>
                      <w:sz w:val="21"/>
                      <w:szCs w:val="1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410" w:type="pct"/>
                  <w:vMerge w:val="continue"/>
                  <w:vAlign w:val="center"/>
                </w:tcPr>
                <w:p>
                  <w:pPr>
                    <w:pStyle w:val="68"/>
                    <w:ind w:left="0"/>
                    <w:rPr>
                      <w:color w:val="auto"/>
                      <w:sz w:val="21"/>
                      <w:szCs w:val="16"/>
                    </w:rPr>
                  </w:pPr>
                </w:p>
              </w:tc>
              <w:tc>
                <w:tcPr>
                  <w:tcW w:w="301" w:type="pct"/>
                  <w:vAlign w:val="center"/>
                </w:tcPr>
                <w:p>
                  <w:pPr>
                    <w:pStyle w:val="68"/>
                    <w:ind w:left="0"/>
                    <w:rPr>
                      <w:color w:val="auto"/>
                      <w:sz w:val="21"/>
                      <w:szCs w:val="16"/>
                    </w:rPr>
                  </w:pPr>
                  <w:r>
                    <w:rPr>
                      <w:rFonts w:hint="eastAsia"/>
                      <w:color w:val="auto"/>
                      <w:sz w:val="21"/>
                      <w:szCs w:val="16"/>
                    </w:rPr>
                    <w:t>1</w:t>
                  </w:r>
                  <w:r>
                    <w:rPr>
                      <w:color w:val="auto"/>
                      <w:sz w:val="21"/>
                      <w:szCs w:val="16"/>
                    </w:rPr>
                    <w:t>4</w:t>
                  </w:r>
                </w:p>
              </w:tc>
              <w:tc>
                <w:tcPr>
                  <w:tcW w:w="765" w:type="pct"/>
                  <w:vAlign w:val="center"/>
                </w:tcPr>
                <w:p>
                  <w:pPr>
                    <w:pStyle w:val="68"/>
                    <w:ind w:left="0"/>
                    <w:rPr>
                      <w:color w:val="auto"/>
                      <w:sz w:val="21"/>
                      <w:szCs w:val="16"/>
                    </w:rPr>
                  </w:pPr>
                  <w:r>
                    <w:rPr>
                      <w:rFonts w:hint="eastAsia"/>
                      <w:color w:val="auto"/>
                      <w:sz w:val="21"/>
                      <w:szCs w:val="16"/>
                    </w:rPr>
                    <w:t>谢田卫生站</w:t>
                  </w:r>
                </w:p>
              </w:tc>
              <w:tc>
                <w:tcPr>
                  <w:tcW w:w="598" w:type="pct"/>
                  <w:vAlign w:val="center"/>
                </w:tcPr>
                <w:p>
                  <w:pPr>
                    <w:pStyle w:val="68"/>
                    <w:ind w:left="0"/>
                    <w:rPr>
                      <w:color w:val="auto"/>
                      <w:sz w:val="21"/>
                      <w:szCs w:val="16"/>
                    </w:rPr>
                  </w:pPr>
                  <w:r>
                    <w:rPr>
                      <w:rFonts w:hint="eastAsia"/>
                      <w:color w:val="auto"/>
                      <w:sz w:val="21"/>
                      <w:szCs w:val="16"/>
                    </w:rPr>
                    <w:t>西</w:t>
                  </w:r>
                </w:p>
              </w:tc>
              <w:tc>
                <w:tcPr>
                  <w:tcW w:w="491" w:type="pct"/>
                  <w:vAlign w:val="center"/>
                </w:tcPr>
                <w:p>
                  <w:pPr>
                    <w:pStyle w:val="68"/>
                    <w:ind w:left="0"/>
                    <w:rPr>
                      <w:color w:val="auto"/>
                      <w:sz w:val="21"/>
                      <w:szCs w:val="16"/>
                    </w:rPr>
                  </w:pPr>
                  <w:r>
                    <w:rPr>
                      <w:rFonts w:hint="eastAsia"/>
                      <w:color w:val="auto"/>
                      <w:sz w:val="21"/>
                      <w:szCs w:val="16"/>
                    </w:rPr>
                    <w:t>4</w:t>
                  </w:r>
                  <w:r>
                    <w:rPr>
                      <w:color w:val="auto"/>
                      <w:sz w:val="21"/>
                      <w:szCs w:val="16"/>
                    </w:rPr>
                    <w:t>5</w:t>
                  </w:r>
                </w:p>
              </w:tc>
              <w:tc>
                <w:tcPr>
                  <w:tcW w:w="654" w:type="pct"/>
                  <w:vAlign w:val="center"/>
                </w:tcPr>
                <w:p>
                  <w:pPr>
                    <w:pStyle w:val="68"/>
                    <w:ind w:left="0"/>
                    <w:rPr>
                      <w:color w:val="auto"/>
                      <w:sz w:val="21"/>
                      <w:szCs w:val="16"/>
                    </w:rPr>
                  </w:pPr>
                  <w:r>
                    <w:rPr>
                      <w:rFonts w:hint="eastAsia"/>
                      <w:color w:val="auto"/>
                      <w:sz w:val="21"/>
                      <w:szCs w:val="16"/>
                    </w:rPr>
                    <w:t>医院</w:t>
                  </w:r>
                </w:p>
              </w:tc>
              <w:tc>
                <w:tcPr>
                  <w:tcW w:w="737" w:type="pct"/>
                  <w:vAlign w:val="center"/>
                </w:tcPr>
                <w:p>
                  <w:pPr>
                    <w:pStyle w:val="68"/>
                    <w:ind w:left="0"/>
                    <w:rPr>
                      <w:color w:val="auto"/>
                      <w:sz w:val="21"/>
                      <w:szCs w:val="16"/>
                    </w:rPr>
                  </w:pPr>
                  <w:r>
                    <w:rPr>
                      <w:rFonts w:hint="eastAsia"/>
                      <w:color w:val="auto"/>
                      <w:sz w:val="21"/>
                      <w:szCs w:val="16"/>
                    </w:rPr>
                    <w:t>3</w:t>
                  </w:r>
                  <w:r>
                    <w:rPr>
                      <w:color w:val="auto"/>
                      <w:sz w:val="21"/>
                      <w:szCs w:val="16"/>
                    </w:rPr>
                    <w:t>0</w:t>
                  </w:r>
                  <w:r>
                    <w:rPr>
                      <w:rFonts w:hint="eastAsia"/>
                      <w:color w:val="auto"/>
                      <w:sz w:val="21"/>
                      <w:szCs w:val="16"/>
                    </w:rPr>
                    <w:t>人</w:t>
                  </w:r>
                </w:p>
              </w:tc>
              <w:tc>
                <w:tcPr>
                  <w:tcW w:w="1044" w:type="pct"/>
                  <w:vMerge w:val="continue"/>
                  <w:vAlign w:val="center"/>
                </w:tcPr>
                <w:p>
                  <w:pPr>
                    <w:pStyle w:val="68"/>
                    <w:ind w:left="0"/>
                    <w:rPr>
                      <w:color w:val="auto"/>
                      <w:sz w:val="21"/>
                      <w:szCs w:val="1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410" w:type="pct"/>
                  <w:vMerge w:val="continue"/>
                  <w:vAlign w:val="center"/>
                </w:tcPr>
                <w:p>
                  <w:pPr>
                    <w:pStyle w:val="68"/>
                    <w:ind w:left="0"/>
                    <w:rPr>
                      <w:color w:val="auto"/>
                      <w:sz w:val="21"/>
                      <w:szCs w:val="16"/>
                    </w:rPr>
                  </w:pPr>
                </w:p>
              </w:tc>
              <w:tc>
                <w:tcPr>
                  <w:tcW w:w="301" w:type="pct"/>
                  <w:vAlign w:val="center"/>
                </w:tcPr>
                <w:p>
                  <w:pPr>
                    <w:pStyle w:val="68"/>
                    <w:ind w:left="0"/>
                    <w:rPr>
                      <w:color w:val="auto"/>
                      <w:sz w:val="21"/>
                      <w:szCs w:val="16"/>
                    </w:rPr>
                  </w:pPr>
                  <w:r>
                    <w:rPr>
                      <w:rFonts w:hint="eastAsia"/>
                      <w:color w:val="auto"/>
                      <w:sz w:val="21"/>
                      <w:szCs w:val="16"/>
                    </w:rPr>
                    <w:t>1</w:t>
                  </w:r>
                  <w:r>
                    <w:rPr>
                      <w:color w:val="auto"/>
                      <w:sz w:val="21"/>
                      <w:szCs w:val="16"/>
                    </w:rPr>
                    <w:t>5</w:t>
                  </w:r>
                </w:p>
              </w:tc>
              <w:tc>
                <w:tcPr>
                  <w:tcW w:w="765" w:type="pct"/>
                  <w:vAlign w:val="center"/>
                </w:tcPr>
                <w:p>
                  <w:pPr>
                    <w:pStyle w:val="68"/>
                    <w:ind w:left="0"/>
                    <w:rPr>
                      <w:color w:val="auto"/>
                      <w:sz w:val="21"/>
                      <w:szCs w:val="16"/>
                    </w:rPr>
                  </w:pPr>
                  <w:r>
                    <w:rPr>
                      <w:rFonts w:hint="eastAsia"/>
                      <w:color w:val="auto"/>
                      <w:sz w:val="21"/>
                      <w:szCs w:val="16"/>
                    </w:rPr>
                    <w:t>梅州市工业学校</w:t>
                  </w:r>
                </w:p>
              </w:tc>
              <w:tc>
                <w:tcPr>
                  <w:tcW w:w="598" w:type="pct"/>
                  <w:vAlign w:val="center"/>
                </w:tcPr>
                <w:p>
                  <w:pPr>
                    <w:pStyle w:val="68"/>
                    <w:ind w:left="0"/>
                    <w:rPr>
                      <w:color w:val="auto"/>
                      <w:sz w:val="21"/>
                      <w:szCs w:val="16"/>
                    </w:rPr>
                  </w:pPr>
                  <w:r>
                    <w:rPr>
                      <w:rFonts w:hint="eastAsia"/>
                      <w:color w:val="auto"/>
                      <w:sz w:val="21"/>
                      <w:szCs w:val="16"/>
                    </w:rPr>
                    <w:t>东</w:t>
                  </w:r>
                </w:p>
              </w:tc>
              <w:tc>
                <w:tcPr>
                  <w:tcW w:w="491" w:type="pct"/>
                  <w:vAlign w:val="center"/>
                </w:tcPr>
                <w:p>
                  <w:pPr>
                    <w:pStyle w:val="68"/>
                    <w:ind w:left="0"/>
                    <w:rPr>
                      <w:color w:val="auto"/>
                      <w:sz w:val="21"/>
                      <w:szCs w:val="16"/>
                    </w:rPr>
                  </w:pPr>
                  <w:r>
                    <w:rPr>
                      <w:rFonts w:hint="eastAsia"/>
                      <w:color w:val="auto"/>
                      <w:sz w:val="21"/>
                      <w:szCs w:val="16"/>
                    </w:rPr>
                    <w:t>1</w:t>
                  </w:r>
                  <w:r>
                    <w:rPr>
                      <w:color w:val="auto"/>
                      <w:sz w:val="21"/>
                      <w:szCs w:val="16"/>
                    </w:rPr>
                    <w:t>50</w:t>
                  </w:r>
                </w:p>
              </w:tc>
              <w:tc>
                <w:tcPr>
                  <w:tcW w:w="654" w:type="pct"/>
                  <w:vAlign w:val="center"/>
                </w:tcPr>
                <w:p>
                  <w:pPr>
                    <w:pStyle w:val="68"/>
                    <w:ind w:left="0"/>
                    <w:rPr>
                      <w:color w:val="auto"/>
                      <w:sz w:val="21"/>
                      <w:szCs w:val="16"/>
                    </w:rPr>
                  </w:pPr>
                  <w:r>
                    <w:rPr>
                      <w:rFonts w:hint="eastAsia"/>
                      <w:color w:val="auto"/>
                      <w:sz w:val="21"/>
                      <w:szCs w:val="16"/>
                    </w:rPr>
                    <w:t>学校</w:t>
                  </w:r>
                </w:p>
              </w:tc>
              <w:tc>
                <w:tcPr>
                  <w:tcW w:w="737" w:type="pct"/>
                  <w:vAlign w:val="center"/>
                </w:tcPr>
                <w:p>
                  <w:pPr>
                    <w:pStyle w:val="68"/>
                    <w:ind w:left="0"/>
                    <w:rPr>
                      <w:color w:val="auto"/>
                      <w:sz w:val="21"/>
                      <w:szCs w:val="16"/>
                    </w:rPr>
                  </w:pPr>
                  <w:r>
                    <w:rPr>
                      <w:rFonts w:hint="eastAsia"/>
                      <w:color w:val="auto"/>
                      <w:sz w:val="21"/>
                      <w:szCs w:val="16"/>
                    </w:rPr>
                    <w:t>2</w:t>
                  </w:r>
                  <w:r>
                    <w:rPr>
                      <w:color w:val="auto"/>
                      <w:sz w:val="21"/>
                      <w:szCs w:val="16"/>
                    </w:rPr>
                    <w:t>000</w:t>
                  </w:r>
                  <w:r>
                    <w:rPr>
                      <w:rFonts w:hint="eastAsia"/>
                      <w:color w:val="auto"/>
                      <w:sz w:val="21"/>
                      <w:szCs w:val="16"/>
                    </w:rPr>
                    <w:t>人</w:t>
                  </w:r>
                </w:p>
              </w:tc>
              <w:tc>
                <w:tcPr>
                  <w:tcW w:w="1044" w:type="pct"/>
                  <w:vMerge w:val="continue"/>
                  <w:vAlign w:val="center"/>
                </w:tcPr>
                <w:p>
                  <w:pPr>
                    <w:pStyle w:val="68"/>
                    <w:ind w:left="0"/>
                    <w:rPr>
                      <w:color w:val="auto"/>
                      <w:sz w:val="21"/>
                      <w:szCs w:val="1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410" w:type="pct"/>
                  <w:vMerge w:val="continue"/>
                  <w:vAlign w:val="center"/>
                </w:tcPr>
                <w:p>
                  <w:pPr>
                    <w:pStyle w:val="68"/>
                    <w:ind w:left="0"/>
                    <w:rPr>
                      <w:color w:val="auto"/>
                      <w:sz w:val="21"/>
                      <w:szCs w:val="16"/>
                    </w:rPr>
                  </w:pPr>
                </w:p>
              </w:tc>
              <w:tc>
                <w:tcPr>
                  <w:tcW w:w="301" w:type="pct"/>
                  <w:vAlign w:val="center"/>
                </w:tcPr>
                <w:p>
                  <w:pPr>
                    <w:pStyle w:val="68"/>
                    <w:ind w:left="0"/>
                    <w:rPr>
                      <w:color w:val="auto"/>
                      <w:sz w:val="21"/>
                      <w:szCs w:val="16"/>
                    </w:rPr>
                  </w:pPr>
                  <w:r>
                    <w:rPr>
                      <w:rFonts w:hint="eastAsia"/>
                      <w:color w:val="auto"/>
                      <w:sz w:val="21"/>
                      <w:szCs w:val="16"/>
                    </w:rPr>
                    <w:t>1</w:t>
                  </w:r>
                  <w:r>
                    <w:rPr>
                      <w:color w:val="auto"/>
                      <w:sz w:val="21"/>
                      <w:szCs w:val="16"/>
                    </w:rPr>
                    <w:t>6</w:t>
                  </w:r>
                </w:p>
              </w:tc>
              <w:tc>
                <w:tcPr>
                  <w:tcW w:w="765" w:type="pct"/>
                  <w:vAlign w:val="center"/>
                </w:tcPr>
                <w:p>
                  <w:pPr>
                    <w:pStyle w:val="68"/>
                    <w:ind w:left="0"/>
                    <w:rPr>
                      <w:color w:val="auto"/>
                      <w:sz w:val="21"/>
                      <w:szCs w:val="16"/>
                    </w:rPr>
                  </w:pPr>
                  <w:r>
                    <w:rPr>
                      <w:rFonts w:hint="eastAsia"/>
                      <w:color w:val="auto"/>
                      <w:sz w:val="21"/>
                      <w:szCs w:val="16"/>
                    </w:rPr>
                    <w:t>城东镇政府</w:t>
                  </w:r>
                </w:p>
              </w:tc>
              <w:tc>
                <w:tcPr>
                  <w:tcW w:w="598" w:type="pct"/>
                  <w:vAlign w:val="center"/>
                </w:tcPr>
                <w:p>
                  <w:pPr>
                    <w:pStyle w:val="68"/>
                    <w:ind w:left="0"/>
                    <w:rPr>
                      <w:color w:val="auto"/>
                      <w:sz w:val="21"/>
                      <w:szCs w:val="16"/>
                    </w:rPr>
                  </w:pPr>
                  <w:r>
                    <w:rPr>
                      <w:rFonts w:hint="eastAsia"/>
                      <w:color w:val="auto"/>
                      <w:sz w:val="21"/>
                      <w:szCs w:val="16"/>
                    </w:rPr>
                    <w:t>东</w:t>
                  </w:r>
                </w:p>
              </w:tc>
              <w:tc>
                <w:tcPr>
                  <w:tcW w:w="491" w:type="pct"/>
                  <w:vAlign w:val="center"/>
                </w:tcPr>
                <w:p>
                  <w:pPr>
                    <w:pStyle w:val="68"/>
                    <w:ind w:left="0"/>
                    <w:rPr>
                      <w:color w:val="auto"/>
                      <w:sz w:val="21"/>
                      <w:szCs w:val="16"/>
                    </w:rPr>
                  </w:pPr>
                  <w:r>
                    <w:rPr>
                      <w:rFonts w:hint="eastAsia"/>
                      <w:color w:val="auto"/>
                      <w:sz w:val="21"/>
                      <w:szCs w:val="16"/>
                    </w:rPr>
                    <w:t>2</w:t>
                  </w:r>
                  <w:r>
                    <w:rPr>
                      <w:color w:val="auto"/>
                      <w:sz w:val="21"/>
                      <w:szCs w:val="16"/>
                    </w:rPr>
                    <w:t>8</w:t>
                  </w:r>
                </w:p>
              </w:tc>
              <w:tc>
                <w:tcPr>
                  <w:tcW w:w="654" w:type="pct"/>
                  <w:vAlign w:val="center"/>
                </w:tcPr>
                <w:p>
                  <w:pPr>
                    <w:pStyle w:val="68"/>
                    <w:ind w:left="0"/>
                    <w:rPr>
                      <w:color w:val="auto"/>
                      <w:sz w:val="21"/>
                      <w:szCs w:val="16"/>
                    </w:rPr>
                  </w:pPr>
                  <w:r>
                    <w:rPr>
                      <w:rFonts w:hint="eastAsia"/>
                      <w:color w:val="auto"/>
                      <w:sz w:val="21"/>
                      <w:szCs w:val="16"/>
                    </w:rPr>
                    <w:t>政府单位</w:t>
                  </w:r>
                </w:p>
              </w:tc>
              <w:tc>
                <w:tcPr>
                  <w:tcW w:w="737" w:type="pct"/>
                  <w:vAlign w:val="center"/>
                </w:tcPr>
                <w:p>
                  <w:pPr>
                    <w:pStyle w:val="68"/>
                    <w:ind w:left="0"/>
                    <w:rPr>
                      <w:color w:val="auto"/>
                      <w:sz w:val="21"/>
                      <w:szCs w:val="16"/>
                    </w:rPr>
                  </w:pPr>
                  <w:r>
                    <w:rPr>
                      <w:rFonts w:hint="eastAsia"/>
                      <w:color w:val="auto"/>
                      <w:sz w:val="21"/>
                      <w:szCs w:val="16"/>
                    </w:rPr>
                    <w:t>2</w:t>
                  </w:r>
                  <w:r>
                    <w:rPr>
                      <w:color w:val="auto"/>
                      <w:sz w:val="21"/>
                      <w:szCs w:val="16"/>
                    </w:rPr>
                    <w:t>00</w:t>
                  </w:r>
                  <w:r>
                    <w:rPr>
                      <w:rFonts w:hint="eastAsia"/>
                      <w:color w:val="auto"/>
                      <w:sz w:val="21"/>
                      <w:szCs w:val="16"/>
                    </w:rPr>
                    <w:t>人</w:t>
                  </w:r>
                </w:p>
              </w:tc>
              <w:tc>
                <w:tcPr>
                  <w:tcW w:w="1044" w:type="pct"/>
                  <w:vMerge w:val="continue"/>
                  <w:vAlign w:val="center"/>
                </w:tcPr>
                <w:p>
                  <w:pPr>
                    <w:pStyle w:val="68"/>
                    <w:ind w:left="0"/>
                    <w:rPr>
                      <w:color w:val="auto"/>
                      <w:sz w:val="21"/>
                      <w:szCs w:val="1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410" w:type="pct"/>
                  <w:vMerge w:val="continue"/>
                  <w:vAlign w:val="center"/>
                </w:tcPr>
                <w:p>
                  <w:pPr>
                    <w:pStyle w:val="68"/>
                    <w:ind w:left="0"/>
                    <w:rPr>
                      <w:color w:val="auto"/>
                      <w:sz w:val="21"/>
                      <w:szCs w:val="16"/>
                    </w:rPr>
                  </w:pPr>
                </w:p>
              </w:tc>
              <w:tc>
                <w:tcPr>
                  <w:tcW w:w="301" w:type="pct"/>
                  <w:vAlign w:val="center"/>
                </w:tcPr>
                <w:p>
                  <w:pPr>
                    <w:pStyle w:val="68"/>
                    <w:ind w:left="0"/>
                    <w:rPr>
                      <w:color w:val="auto"/>
                      <w:sz w:val="21"/>
                      <w:szCs w:val="16"/>
                    </w:rPr>
                  </w:pPr>
                  <w:r>
                    <w:rPr>
                      <w:rFonts w:hint="eastAsia"/>
                      <w:color w:val="auto"/>
                      <w:sz w:val="21"/>
                      <w:szCs w:val="16"/>
                    </w:rPr>
                    <w:t>1</w:t>
                  </w:r>
                  <w:r>
                    <w:rPr>
                      <w:color w:val="auto"/>
                      <w:sz w:val="21"/>
                      <w:szCs w:val="16"/>
                    </w:rPr>
                    <w:t>7</w:t>
                  </w:r>
                </w:p>
              </w:tc>
              <w:tc>
                <w:tcPr>
                  <w:tcW w:w="765" w:type="pct"/>
                  <w:vAlign w:val="center"/>
                </w:tcPr>
                <w:p>
                  <w:pPr>
                    <w:pStyle w:val="68"/>
                    <w:ind w:left="0"/>
                    <w:rPr>
                      <w:color w:val="auto"/>
                      <w:sz w:val="21"/>
                      <w:szCs w:val="16"/>
                    </w:rPr>
                  </w:pPr>
                  <w:r>
                    <w:rPr>
                      <w:rFonts w:hint="eastAsia"/>
                      <w:color w:val="auto"/>
                      <w:sz w:val="21"/>
                      <w:szCs w:val="16"/>
                    </w:rPr>
                    <w:t>梅州市禁毒宣传教育基地</w:t>
                  </w:r>
                </w:p>
              </w:tc>
              <w:tc>
                <w:tcPr>
                  <w:tcW w:w="598" w:type="pct"/>
                  <w:vAlign w:val="center"/>
                </w:tcPr>
                <w:p>
                  <w:pPr>
                    <w:pStyle w:val="68"/>
                    <w:ind w:left="0"/>
                    <w:rPr>
                      <w:color w:val="auto"/>
                      <w:sz w:val="21"/>
                      <w:szCs w:val="16"/>
                    </w:rPr>
                  </w:pPr>
                  <w:r>
                    <w:rPr>
                      <w:rFonts w:hint="eastAsia"/>
                      <w:color w:val="auto"/>
                      <w:sz w:val="21"/>
                      <w:szCs w:val="16"/>
                    </w:rPr>
                    <w:t>西</w:t>
                  </w:r>
                </w:p>
              </w:tc>
              <w:tc>
                <w:tcPr>
                  <w:tcW w:w="491" w:type="pct"/>
                  <w:vAlign w:val="center"/>
                </w:tcPr>
                <w:p>
                  <w:pPr>
                    <w:pStyle w:val="68"/>
                    <w:ind w:left="0"/>
                    <w:rPr>
                      <w:color w:val="auto"/>
                      <w:sz w:val="21"/>
                      <w:szCs w:val="16"/>
                    </w:rPr>
                  </w:pPr>
                  <w:r>
                    <w:rPr>
                      <w:rFonts w:hint="eastAsia"/>
                      <w:color w:val="auto"/>
                      <w:sz w:val="21"/>
                      <w:szCs w:val="16"/>
                    </w:rPr>
                    <w:t>1</w:t>
                  </w:r>
                  <w:r>
                    <w:rPr>
                      <w:color w:val="auto"/>
                      <w:sz w:val="21"/>
                      <w:szCs w:val="16"/>
                    </w:rPr>
                    <w:t>3</w:t>
                  </w:r>
                </w:p>
              </w:tc>
              <w:tc>
                <w:tcPr>
                  <w:tcW w:w="654" w:type="pct"/>
                  <w:vAlign w:val="center"/>
                </w:tcPr>
                <w:p>
                  <w:pPr>
                    <w:pStyle w:val="68"/>
                    <w:ind w:left="0"/>
                    <w:rPr>
                      <w:color w:val="auto"/>
                      <w:sz w:val="21"/>
                      <w:szCs w:val="16"/>
                    </w:rPr>
                  </w:pPr>
                  <w:r>
                    <w:rPr>
                      <w:rFonts w:hint="eastAsia"/>
                      <w:color w:val="auto"/>
                      <w:sz w:val="21"/>
                      <w:szCs w:val="16"/>
                    </w:rPr>
                    <w:t>政府单位</w:t>
                  </w:r>
                </w:p>
              </w:tc>
              <w:tc>
                <w:tcPr>
                  <w:tcW w:w="737" w:type="pct"/>
                  <w:vAlign w:val="center"/>
                </w:tcPr>
                <w:p>
                  <w:pPr>
                    <w:pStyle w:val="68"/>
                    <w:ind w:left="0"/>
                    <w:rPr>
                      <w:color w:val="auto"/>
                      <w:sz w:val="21"/>
                      <w:szCs w:val="16"/>
                    </w:rPr>
                  </w:pPr>
                  <w:r>
                    <w:rPr>
                      <w:rFonts w:hint="eastAsia"/>
                      <w:color w:val="auto"/>
                      <w:sz w:val="21"/>
                      <w:szCs w:val="16"/>
                    </w:rPr>
                    <w:t>1</w:t>
                  </w:r>
                  <w:r>
                    <w:rPr>
                      <w:color w:val="auto"/>
                      <w:sz w:val="21"/>
                      <w:szCs w:val="16"/>
                    </w:rPr>
                    <w:t>10</w:t>
                  </w:r>
                  <w:r>
                    <w:rPr>
                      <w:rFonts w:hint="eastAsia"/>
                      <w:color w:val="auto"/>
                      <w:sz w:val="21"/>
                      <w:szCs w:val="16"/>
                    </w:rPr>
                    <w:t>人</w:t>
                  </w:r>
                </w:p>
              </w:tc>
              <w:tc>
                <w:tcPr>
                  <w:tcW w:w="1044" w:type="pct"/>
                  <w:vMerge w:val="continue"/>
                  <w:vAlign w:val="center"/>
                </w:tcPr>
                <w:p>
                  <w:pPr>
                    <w:pStyle w:val="68"/>
                    <w:ind w:left="0"/>
                    <w:rPr>
                      <w:color w:val="auto"/>
                      <w:sz w:val="21"/>
                      <w:szCs w:val="1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410" w:type="pct"/>
                  <w:vMerge w:val="restart"/>
                  <w:vAlign w:val="center"/>
                </w:tcPr>
                <w:p>
                  <w:pPr>
                    <w:pStyle w:val="68"/>
                    <w:ind w:left="0"/>
                    <w:rPr>
                      <w:color w:val="auto"/>
                      <w:sz w:val="21"/>
                      <w:szCs w:val="16"/>
                    </w:rPr>
                  </w:pPr>
                  <w:r>
                    <w:rPr>
                      <w:rFonts w:hint="eastAsia"/>
                      <w:color w:val="auto"/>
                      <w:sz w:val="21"/>
                      <w:szCs w:val="16"/>
                    </w:rPr>
                    <w:t>生态环境</w:t>
                  </w:r>
                </w:p>
              </w:tc>
              <w:tc>
                <w:tcPr>
                  <w:tcW w:w="301" w:type="pct"/>
                  <w:vAlign w:val="center"/>
                </w:tcPr>
                <w:p>
                  <w:pPr>
                    <w:pStyle w:val="68"/>
                    <w:ind w:left="0"/>
                    <w:rPr>
                      <w:color w:val="auto"/>
                      <w:sz w:val="21"/>
                      <w:szCs w:val="21"/>
                    </w:rPr>
                  </w:pPr>
                  <w:r>
                    <w:rPr>
                      <w:rFonts w:hint="eastAsia"/>
                      <w:color w:val="auto"/>
                      <w:sz w:val="21"/>
                      <w:szCs w:val="21"/>
                    </w:rPr>
                    <w:t>1</w:t>
                  </w:r>
                </w:p>
              </w:tc>
              <w:tc>
                <w:tcPr>
                  <w:tcW w:w="765" w:type="pct"/>
                  <w:vAlign w:val="center"/>
                </w:tcPr>
                <w:p>
                  <w:pPr>
                    <w:pStyle w:val="68"/>
                    <w:ind w:left="0"/>
                    <w:rPr>
                      <w:color w:val="auto"/>
                      <w:sz w:val="21"/>
                      <w:szCs w:val="21"/>
                    </w:rPr>
                  </w:pPr>
                  <w:r>
                    <w:rPr>
                      <w:color w:val="auto"/>
                      <w:spacing w:val="-6"/>
                      <w:kern w:val="0"/>
                      <w:sz w:val="21"/>
                      <w:szCs w:val="21"/>
                    </w:rPr>
                    <w:t>梅县佛子高市级自然保护区</w:t>
                  </w:r>
                </w:p>
              </w:tc>
              <w:tc>
                <w:tcPr>
                  <w:tcW w:w="598" w:type="pct"/>
                  <w:vAlign w:val="center"/>
                </w:tcPr>
                <w:p>
                  <w:pPr>
                    <w:pStyle w:val="68"/>
                    <w:ind w:left="0"/>
                    <w:rPr>
                      <w:color w:val="auto"/>
                      <w:sz w:val="21"/>
                      <w:szCs w:val="21"/>
                    </w:rPr>
                  </w:pPr>
                  <w:r>
                    <w:rPr>
                      <w:rFonts w:hint="eastAsia"/>
                      <w:color w:val="auto"/>
                      <w:sz w:val="21"/>
                      <w:szCs w:val="21"/>
                    </w:rPr>
                    <w:t>东</w:t>
                  </w:r>
                </w:p>
              </w:tc>
              <w:tc>
                <w:tcPr>
                  <w:tcW w:w="491" w:type="pct"/>
                  <w:vAlign w:val="center"/>
                </w:tcPr>
                <w:p>
                  <w:pPr>
                    <w:pStyle w:val="68"/>
                    <w:ind w:left="0"/>
                    <w:rPr>
                      <w:color w:val="auto"/>
                      <w:sz w:val="21"/>
                      <w:szCs w:val="21"/>
                    </w:rPr>
                  </w:pPr>
                  <w:r>
                    <w:rPr>
                      <w:rFonts w:hint="eastAsia"/>
                      <w:color w:val="auto"/>
                      <w:sz w:val="21"/>
                      <w:szCs w:val="21"/>
                    </w:rPr>
                    <w:t>1</w:t>
                  </w:r>
                </w:p>
              </w:tc>
              <w:tc>
                <w:tcPr>
                  <w:tcW w:w="654" w:type="pct"/>
                  <w:vAlign w:val="center"/>
                </w:tcPr>
                <w:p>
                  <w:pPr>
                    <w:pStyle w:val="68"/>
                    <w:ind w:left="0"/>
                    <w:rPr>
                      <w:color w:val="auto"/>
                      <w:sz w:val="21"/>
                      <w:szCs w:val="21"/>
                    </w:rPr>
                  </w:pPr>
                  <w:r>
                    <w:rPr>
                      <w:rFonts w:hint="eastAsia"/>
                      <w:color w:val="auto"/>
                      <w:sz w:val="21"/>
                      <w:szCs w:val="21"/>
                    </w:rPr>
                    <w:t>自然保护区</w:t>
                  </w:r>
                </w:p>
              </w:tc>
              <w:tc>
                <w:tcPr>
                  <w:tcW w:w="737" w:type="pct"/>
                  <w:vAlign w:val="center"/>
                </w:tcPr>
                <w:p>
                  <w:pPr>
                    <w:pStyle w:val="68"/>
                    <w:ind w:left="0"/>
                    <w:rPr>
                      <w:color w:val="auto"/>
                      <w:sz w:val="21"/>
                      <w:szCs w:val="21"/>
                    </w:rPr>
                  </w:pPr>
                  <w:r>
                    <w:rPr>
                      <w:rFonts w:hint="eastAsia"/>
                      <w:color w:val="auto"/>
                      <w:sz w:val="21"/>
                      <w:szCs w:val="21"/>
                    </w:rPr>
                    <w:t>——</w:t>
                  </w:r>
                </w:p>
              </w:tc>
              <w:tc>
                <w:tcPr>
                  <w:tcW w:w="1044" w:type="pct"/>
                  <w:vAlign w:val="center"/>
                </w:tcPr>
                <w:p>
                  <w:pPr>
                    <w:pStyle w:val="68"/>
                    <w:ind w:left="0"/>
                    <w:rPr>
                      <w:color w:val="auto"/>
                      <w:sz w:val="21"/>
                      <w:szCs w:val="21"/>
                    </w:rPr>
                  </w:pPr>
                  <w:r>
                    <w:rPr>
                      <w:rFonts w:hint="eastAsia"/>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410" w:type="pct"/>
                  <w:vMerge w:val="continue"/>
                  <w:vAlign w:val="center"/>
                </w:tcPr>
                <w:p>
                  <w:pPr>
                    <w:pStyle w:val="68"/>
                    <w:ind w:left="0"/>
                    <w:rPr>
                      <w:color w:val="auto"/>
                      <w:sz w:val="21"/>
                      <w:szCs w:val="16"/>
                    </w:rPr>
                  </w:pPr>
                </w:p>
              </w:tc>
              <w:tc>
                <w:tcPr>
                  <w:tcW w:w="301" w:type="pct"/>
                  <w:vAlign w:val="center"/>
                </w:tcPr>
                <w:p>
                  <w:pPr>
                    <w:pStyle w:val="68"/>
                    <w:ind w:left="0"/>
                    <w:rPr>
                      <w:color w:val="auto"/>
                      <w:sz w:val="21"/>
                      <w:szCs w:val="21"/>
                    </w:rPr>
                  </w:pPr>
                  <w:r>
                    <w:rPr>
                      <w:rFonts w:hint="eastAsia"/>
                      <w:color w:val="auto"/>
                      <w:sz w:val="21"/>
                      <w:szCs w:val="21"/>
                    </w:rPr>
                    <w:t>2</w:t>
                  </w:r>
                </w:p>
              </w:tc>
              <w:tc>
                <w:tcPr>
                  <w:tcW w:w="765" w:type="pct"/>
                  <w:vAlign w:val="center"/>
                </w:tcPr>
                <w:p>
                  <w:pPr>
                    <w:pStyle w:val="68"/>
                    <w:ind w:left="0"/>
                    <w:rPr>
                      <w:color w:val="auto"/>
                      <w:sz w:val="21"/>
                      <w:szCs w:val="21"/>
                    </w:rPr>
                  </w:pPr>
                  <w:r>
                    <w:rPr>
                      <w:color w:val="auto"/>
                      <w:spacing w:val="-6"/>
                      <w:kern w:val="0"/>
                      <w:sz w:val="21"/>
                      <w:szCs w:val="21"/>
                    </w:rPr>
                    <w:t>梅州天鹅山省级森林公园</w:t>
                  </w:r>
                </w:p>
              </w:tc>
              <w:tc>
                <w:tcPr>
                  <w:tcW w:w="598" w:type="pct"/>
                  <w:vAlign w:val="center"/>
                </w:tcPr>
                <w:p>
                  <w:pPr>
                    <w:pStyle w:val="68"/>
                    <w:ind w:left="0"/>
                    <w:rPr>
                      <w:color w:val="auto"/>
                      <w:sz w:val="21"/>
                      <w:szCs w:val="21"/>
                    </w:rPr>
                  </w:pPr>
                  <w:r>
                    <w:rPr>
                      <w:rFonts w:hint="eastAsia"/>
                      <w:color w:val="auto"/>
                      <w:sz w:val="21"/>
                      <w:szCs w:val="21"/>
                    </w:rPr>
                    <w:t>东南</w:t>
                  </w:r>
                </w:p>
              </w:tc>
              <w:tc>
                <w:tcPr>
                  <w:tcW w:w="491" w:type="pct"/>
                  <w:vAlign w:val="center"/>
                </w:tcPr>
                <w:p>
                  <w:pPr>
                    <w:pStyle w:val="68"/>
                    <w:ind w:left="0"/>
                    <w:rPr>
                      <w:color w:val="auto"/>
                      <w:sz w:val="21"/>
                      <w:szCs w:val="21"/>
                    </w:rPr>
                  </w:pPr>
                  <w:r>
                    <w:rPr>
                      <w:rFonts w:hint="eastAsia"/>
                      <w:color w:val="auto"/>
                      <w:sz w:val="21"/>
                      <w:szCs w:val="21"/>
                    </w:rPr>
                    <w:t>1</w:t>
                  </w:r>
                  <w:r>
                    <w:rPr>
                      <w:color w:val="auto"/>
                      <w:sz w:val="21"/>
                      <w:szCs w:val="21"/>
                    </w:rPr>
                    <w:t>460</w:t>
                  </w:r>
                </w:p>
              </w:tc>
              <w:tc>
                <w:tcPr>
                  <w:tcW w:w="654" w:type="pct"/>
                  <w:vAlign w:val="center"/>
                </w:tcPr>
                <w:p>
                  <w:pPr>
                    <w:pStyle w:val="68"/>
                    <w:ind w:left="0"/>
                    <w:rPr>
                      <w:color w:val="auto"/>
                      <w:sz w:val="21"/>
                      <w:szCs w:val="21"/>
                    </w:rPr>
                  </w:pPr>
                  <w:r>
                    <w:rPr>
                      <w:rFonts w:hint="eastAsia"/>
                      <w:color w:val="auto"/>
                      <w:sz w:val="21"/>
                      <w:szCs w:val="21"/>
                    </w:rPr>
                    <w:t>森林公园</w:t>
                  </w:r>
                </w:p>
              </w:tc>
              <w:tc>
                <w:tcPr>
                  <w:tcW w:w="737" w:type="pct"/>
                  <w:vAlign w:val="center"/>
                </w:tcPr>
                <w:p>
                  <w:pPr>
                    <w:pStyle w:val="68"/>
                    <w:ind w:left="0"/>
                    <w:rPr>
                      <w:color w:val="auto"/>
                      <w:sz w:val="21"/>
                      <w:szCs w:val="21"/>
                    </w:rPr>
                  </w:pPr>
                  <w:r>
                    <w:rPr>
                      <w:rFonts w:hint="eastAsia"/>
                      <w:color w:val="auto"/>
                      <w:sz w:val="21"/>
                      <w:szCs w:val="21"/>
                    </w:rPr>
                    <w:t>——</w:t>
                  </w:r>
                </w:p>
              </w:tc>
              <w:tc>
                <w:tcPr>
                  <w:tcW w:w="1044" w:type="pct"/>
                  <w:vAlign w:val="center"/>
                </w:tcPr>
                <w:p>
                  <w:pPr>
                    <w:pStyle w:val="68"/>
                    <w:ind w:left="0"/>
                    <w:rPr>
                      <w:color w:val="auto"/>
                      <w:sz w:val="21"/>
                      <w:szCs w:val="21"/>
                    </w:rPr>
                  </w:pPr>
                  <w:r>
                    <w:rPr>
                      <w:rFonts w:hint="eastAsia"/>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410" w:type="pct"/>
                  <w:vMerge w:val="continue"/>
                  <w:vAlign w:val="center"/>
                </w:tcPr>
                <w:p>
                  <w:pPr>
                    <w:pStyle w:val="68"/>
                    <w:ind w:left="0"/>
                    <w:rPr>
                      <w:color w:val="auto"/>
                      <w:sz w:val="21"/>
                      <w:szCs w:val="16"/>
                    </w:rPr>
                  </w:pPr>
                </w:p>
              </w:tc>
              <w:tc>
                <w:tcPr>
                  <w:tcW w:w="301" w:type="pct"/>
                  <w:vAlign w:val="center"/>
                </w:tcPr>
                <w:p>
                  <w:pPr>
                    <w:pStyle w:val="68"/>
                    <w:ind w:left="0"/>
                    <w:rPr>
                      <w:color w:val="auto"/>
                      <w:sz w:val="21"/>
                      <w:szCs w:val="21"/>
                    </w:rPr>
                  </w:pPr>
                  <w:r>
                    <w:rPr>
                      <w:rFonts w:hint="eastAsia"/>
                      <w:color w:val="auto"/>
                      <w:sz w:val="21"/>
                      <w:szCs w:val="21"/>
                    </w:rPr>
                    <w:t>3</w:t>
                  </w:r>
                </w:p>
              </w:tc>
              <w:tc>
                <w:tcPr>
                  <w:tcW w:w="765" w:type="pct"/>
                  <w:vAlign w:val="center"/>
                </w:tcPr>
                <w:p>
                  <w:pPr>
                    <w:pStyle w:val="68"/>
                    <w:ind w:left="0"/>
                    <w:rPr>
                      <w:color w:val="auto"/>
                      <w:spacing w:val="-6"/>
                      <w:kern w:val="0"/>
                      <w:sz w:val="21"/>
                      <w:szCs w:val="21"/>
                    </w:rPr>
                  </w:pPr>
                  <w:r>
                    <w:rPr>
                      <w:color w:val="auto"/>
                      <w:spacing w:val="-6"/>
                      <w:kern w:val="0"/>
                      <w:sz w:val="21"/>
                      <w:szCs w:val="21"/>
                    </w:rPr>
                    <w:t>梅县何坑口县级森林公园</w:t>
                  </w:r>
                </w:p>
              </w:tc>
              <w:tc>
                <w:tcPr>
                  <w:tcW w:w="598" w:type="pct"/>
                  <w:vAlign w:val="center"/>
                </w:tcPr>
                <w:p>
                  <w:pPr>
                    <w:pStyle w:val="68"/>
                    <w:ind w:left="0"/>
                    <w:rPr>
                      <w:color w:val="auto"/>
                      <w:sz w:val="21"/>
                      <w:szCs w:val="21"/>
                    </w:rPr>
                  </w:pPr>
                  <w:r>
                    <w:rPr>
                      <w:rFonts w:hint="eastAsia"/>
                      <w:color w:val="auto"/>
                      <w:sz w:val="21"/>
                      <w:szCs w:val="21"/>
                    </w:rPr>
                    <w:t>北</w:t>
                  </w:r>
                </w:p>
              </w:tc>
              <w:tc>
                <w:tcPr>
                  <w:tcW w:w="491" w:type="pct"/>
                  <w:vAlign w:val="center"/>
                </w:tcPr>
                <w:p>
                  <w:pPr>
                    <w:pStyle w:val="68"/>
                    <w:ind w:left="0"/>
                    <w:rPr>
                      <w:color w:val="auto"/>
                      <w:sz w:val="21"/>
                      <w:szCs w:val="21"/>
                    </w:rPr>
                  </w:pPr>
                  <w:r>
                    <w:rPr>
                      <w:rFonts w:hint="eastAsia"/>
                      <w:color w:val="auto"/>
                      <w:sz w:val="21"/>
                      <w:szCs w:val="21"/>
                    </w:rPr>
                    <w:t>6</w:t>
                  </w:r>
                  <w:r>
                    <w:rPr>
                      <w:color w:val="auto"/>
                      <w:sz w:val="21"/>
                      <w:szCs w:val="21"/>
                    </w:rPr>
                    <w:t>00</w:t>
                  </w:r>
                </w:p>
              </w:tc>
              <w:tc>
                <w:tcPr>
                  <w:tcW w:w="654" w:type="pct"/>
                  <w:vAlign w:val="center"/>
                </w:tcPr>
                <w:p>
                  <w:pPr>
                    <w:pStyle w:val="68"/>
                    <w:ind w:left="0"/>
                    <w:rPr>
                      <w:color w:val="auto"/>
                      <w:sz w:val="21"/>
                      <w:szCs w:val="21"/>
                    </w:rPr>
                  </w:pPr>
                  <w:r>
                    <w:rPr>
                      <w:rFonts w:hint="eastAsia"/>
                      <w:color w:val="auto"/>
                      <w:sz w:val="21"/>
                      <w:szCs w:val="21"/>
                    </w:rPr>
                    <w:t>森林公园</w:t>
                  </w:r>
                </w:p>
              </w:tc>
              <w:tc>
                <w:tcPr>
                  <w:tcW w:w="737" w:type="pct"/>
                  <w:vAlign w:val="center"/>
                </w:tcPr>
                <w:p>
                  <w:pPr>
                    <w:pStyle w:val="68"/>
                    <w:ind w:left="0"/>
                    <w:rPr>
                      <w:color w:val="auto"/>
                      <w:sz w:val="21"/>
                      <w:szCs w:val="21"/>
                    </w:rPr>
                  </w:pPr>
                  <w:r>
                    <w:rPr>
                      <w:rFonts w:hint="eastAsia"/>
                      <w:color w:val="auto"/>
                      <w:sz w:val="21"/>
                      <w:szCs w:val="21"/>
                    </w:rPr>
                    <w:t>——</w:t>
                  </w:r>
                </w:p>
              </w:tc>
              <w:tc>
                <w:tcPr>
                  <w:tcW w:w="1044" w:type="pct"/>
                  <w:vAlign w:val="center"/>
                </w:tcPr>
                <w:p>
                  <w:pPr>
                    <w:pStyle w:val="68"/>
                    <w:ind w:left="0"/>
                    <w:rPr>
                      <w:color w:val="auto"/>
                      <w:sz w:val="21"/>
                      <w:szCs w:val="21"/>
                    </w:rPr>
                  </w:pPr>
                  <w:r>
                    <w:rPr>
                      <w:rFonts w:hint="eastAsia"/>
                      <w:color w:val="auto"/>
                      <w:sz w:val="21"/>
                      <w:szCs w:val="21"/>
                    </w:rPr>
                    <w:t>——</w:t>
                  </w:r>
                </w:p>
              </w:tc>
            </w:tr>
          </w:tbl>
          <w:p>
            <w:pPr>
              <w:adjustRightInd w:val="0"/>
              <w:snapToGrid w:val="0"/>
              <w:spacing w:line="360" w:lineRule="auto"/>
              <w:ind w:firstLine="480" w:firstLineChars="200"/>
              <w:rPr>
                <w:color w:val="auto"/>
                <w:sz w:val="24"/>
              </w:rPr>
            </w:pPr>
          </w:p>
        </w:tc>
      </w:tr>
    </w:tbl>
    <w:p>
      <w:pPr>
        <w:spacing w:line="300" w:lineRule="auto"/>
        <w:rPr>
          <w:rFonts w:eastAsia="黑体"/>
          <w:color w:val="auto"/>
          <w:sz w:val="30"/>
        </w:rPr>
      </w:pPr>
    </w:p>
    <w:p>
      <w:pPr>
        <w:spacing w:line="300" w:lineRule="auto"/>
        <w:rPr>
          <w:rFonts w:eastAsia="黑体"/>
          <w:color w:val="auto"/>
          <w:sz w:val="30"/>
        </w:rPr>
      </w:pPr>
      <w:r>
        <w:rPr>
          <w:rFonts w:eastAsia="黑体"/>
          <w:color w:val="auto"/>
          <w:sz w:val="30"/>
        </w:rPr>
        <w:t>评价适用标准</w:t>
      </w:r>
    </w:p>
    <w:tbl>
      <w:tblPr>
        <w:tblStyle w:val="33"/>
        <w:tblW w:w="934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768"/>
        <w:gridCol w:w="8580"/>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6166" w:hRule="atLeast"/>
        </w:trPr>
        <w:tc>
          <w:tcPr>
            <w:tcW w:w="768" w:type="dxa"/>
            <w:vAlign w:val="center"/>
          </w:tcPr>
          <w:p>
            <w:pPr>
              <w:pStyle w:val="83"/>
              <w:topLinePunct w:val="0"/>
              <w:autoSpaceDE/>
              <w:autoSpaceDN/>
              <w:adjustRightInd/>
              <w:spacing w:before="120" w:line="300" w:lineRule="auto"/>
              <w:textAlignment w:val="auto"/>
              <w:rPr>
                <w:rFonts w:ascii="Times New Roman" w:hAnsi="Times New Roman"/>
                <w:color w:val="auto"/>
                <w:kern w:val="0"/>
                <w:sz w:val="24"/>
                <w:szCs w:val="24"/>
              </w:rPr>
            </w:pPr>
            <w:r>
              <w:rPr>
                <w:rFonts w:ascii="Times New Roman" w:hAnsi="Times New Roman"/>
                <w:color w:val="auto"/>
                <w:kern w:val="0"/>
                <w:sz w:val="24"/>
                <w:szCs w:val="24"/>
              </w:rPr>
              <w:t>环</w:t>
            </w:r>
          </w:p>
          <w:p>
            <w:pPr>
              <w:pStyle w:val="83"/>
              <w:topLinePunct w:val="0"/>
              <w:autoSpaceDE/>
              <w:autoSpaceDN/>
              <w:adjustRightInd/>
              <w:spacing w:before="120" w:line="300" w:lineRule="auto"/>
              <w:textAlignment w:val="auto"/>
              <w:rPr>
                <w:rFonts w:ascii="Times New Roman" w:hAnsi="Times New Roman"/>
                <w:color w:val="auto"/>
                <w:kern w:val="0"/>
                <w:sz w:val="24"/>
                <w:szCs w:val="24"/>
              </w:rPr>
            </w:pPr>
            <w:r>
              <w:rPr>
                <w:rFonts w:ascii="Times New Roman" w:hAnsi="Times New Roman"/>
                <w:color w:val="auto"/>
                <w:kern w:val="0"/>
                <w:sz w:val="24"/>
                <w:szCs w:val="24"/>
              </w:rPr>
              <w:t>境</w:t>
            </w:r>
          </w:p>
          <w:p>
            <w:pPr>
              <w:pStyle w:val="83"/>
              <w:topLinePunct w:val="0"/>
              <w:autoSpaceDE/>
              <w:autoSpaceDN/>
              <w:adjustRightInd/>
              <w:spacing w:before="120" w:line="300" w:lineRule="auto"/>
              <w:textAlignment w:val="auto"/>
              <w:rPr>
                <w:rFonts w:ascii="Times New Roman" w:hAnsi="Times New Roman"/>
                <w:color w:val="auto"/>
                <w:kern w:val="0"/>
                <w:sz w:val="24"/>
                <w:szCs w:val="24"/>
              </w:rPr>
            </w:pPr>
            <w:r>
              <w:rPr>
                <w:rFonts w:ascii="Times New Roman" w:hAnsi="Times New Roman"/>
                <w:color w:val="auto"/>
                <w:kern w:val="0"/>
                <w:sz w:val="24"/>
                <w:szCs w:val="24"/>
              </w:rPr>
              <w:t>质</w:t>
            </w:r>
          </w:p>
          <w:p>
            <w:pPr>
              <w:pStyle w:val="83"/>
              <w:topLinePunct w:val="0"/>
              <w:autoSpaceDE/>
              <w:autoSpaceDN/>
              <w:adjustRightInd/>
              <w:spacing w:before="120" w:line="300" w:lineRule="auto"/>
              <w:textAlignment w:val="auto"/>
              <w:rPr>
                <w:rFonts w:ascii="Times New Roman" w:hAnsi="Times New Roman"/>
                <w:color w:val="auto"/>
                <w:kern w:val="0"/>
                <w:sz w:val="24"/>
                <w:szCs w:val="24"/>
              </w:rPr>
            </w:pPr>
            <w:r>
              <w:rPr>
                <w:rFonts w:ascii="Times New Roman" w:hAnsi="Times New Roman"/>
                <w:color w:val="auto"/>
                <w:kern w:val="0"/>
                <w:sz w:val="24"/>
                <w:szCs w:val="24"/>
              </w:rPr>
              <w:t>量</w:t>
            </w:r>
          </w:p>
          <w:p>
            <w:pPr>
              <w:pStyle w:val="83"/>
              <w:topLinePunct w:val="0"/>
              <w:autoSpaceDE/>
              <w:autoSpaceDN/>
              <w:adjustRightInd/>
              <w:spacing w:before="120" w:line="300" w:lineRule="auto"/>
              <w:textAlignment w:val="auto"/>
              <w:rPr>
                <w:rFonts w:ascii="Times New Roman" w:hAnsi="Times New Roman"/>
                <w:color w:val="auto"/>
                <w:kern w:val="0"/>
                <w:sz w:val="24"/>
                <w:szCs w:val="24"/>
              </w:rPr>
            </w:pPr>
            <w:r>
              <w:rPr>
                <w:rFonts w:ascii="Times New Roman" w:hAnsi="Times New Roman"/>
                <w:color w:val="auto"/>
                <w:kern w:val="0"/>
                <w:sz w:val="24"/>
                <w:szCs w:val="24"/>
              </w:rPr>
              <w:t>标</w:t>
            </w:r>
          </w:p>
          <w:p>
            <w:pPr>
              <w:pStyle w:val="83"/>
              <w:topLinePunct w:val="0"/>
              <w:autoSpaceDE/>
              <w:autoSpaceDN/>
              <w:adjustRightInd/>
              <w:spacing w:before="120" w:line="300" w:lineRule="auto"/>
              <w:textAlignment w:val="auto"/>
              <w:rPr>
                <w:rFonts w:ascii="Times New Roman" w:hAnsi="Times New Roman"/>
                <w:color w:val="auto"/>
                <w:kern w:val="0"/>
                <w:sz w:val="24"/>
                <w:szCs w:val="24"/>
              </w:rPr>
            </w:pPr>
            <w:r>
              <w:rPr>
                <w:rFonts w:ascii="Times New Roman" w:hAnsi="Times New Roman"/>
                <w:color w:val="auto"/>
                <w:kern w:val="0"/>
                <w:sz w:val="24"/>
                <w:szCs w:val="24"/>
              </w:rPr>
              <w:t>准</w:t>
            </w:r>
          </w:p>
        </w:tc>
        <w:tc>
          <w:tcPr>
            <w:tcW w:w="8580" w:type="dxa"/>
            <w:vAlign w:val="center"/>
          </w:tcPr>
          <w:p>
            <w:pPr>
              <w:tabs>
                <w:tab w:val="left" w:pos="1770"/>
              </w:tabs>
              <w:adjustRightInd w:val="0"/>
              <w:snapToGrid w:val="0"/>
              <w:spacing w:line="360" w:lineRule="auto"/>
              <w:rPr>
                <w:color w:val="auto"/>
                <w:kern w:val="0"/>
                <w:sz w:val="24"/>
              </w:rPr>
            </w:pPr>
            <w:r>
              <w:rPr>
                <w:color w:val="auto"/>
                <w:kern w:val="0"/>
                <w:sz w:val="24"/>
              </w:rPr>
              <w:t>1、</w:t>
            </w:r>
            <w:r>
              <w:rPr>
                <w:rFonts w:hint="eastAsia"/>
                <w:color w:val="auto"/>
                <w:kern w:val="0"/>
                <w:sz w:val="24"/>
              </w:rPr>
              <w:t>项目附近的周溪河执行</w:t>
            </w:r>
            <w:r>
              <w:rPr>
                <w:color w:val="auto"/>
                <w:sz w:val="24"/>
              </w:rPr>
              <w:t>《地表水环境质量标准》（GB3838-2002）</w:t>
            </w:r>
            <w:r>
              <w:rPr>
                <w:rFonts w:hint="eastAsia" w:ascii="宋体" w:hAnsi="宋体" w:cs="宋体"/>
                <w:color w:val="auto"/>
                <w:sz w:val="24"/>
              </w:rPr>
              <w:t>Ⅲ类</w:t>
            </w:r>
            <w:r>
              <w:rPr>
                <w:color w:val="auto"/>
                <w:kern w:val="0"/>
                <w:sz w:val="24"/>
              </w:rPr>
              <w:t>标准；</w:t>
            </w:r>
          </w:p>
          <w:p>
            <w:pPr>
              <w:tabs>
                <w:tab w:val="left" w:pos="1770"/>
              </w:tabs>
              <w:adjustRightInd w:val="0"/>
              <w:snapToGrid w:val="0"/>
              <w:spacing w:line="360" w:lineRule="auto"/>
              <w:jc w:val="left"/>
              <w:rPr>
                <w:color w:val="auto"/>
                <w:kern w:val="0"/>
                <w:sz w:val="24"/>
              </w:rPr>
            </w:pPr>
            <w:r>
              <w:rPr>
                <w:color w:val="auto"/>
                <w:kern w:val="0"/>
                <w:sz w:val="24"/>
              </w:rPr>
              <w:t>2、</w:t>
            </w:r>
            <w:r>
              <w:rPr>
                <w:rFonts w:hint="eastAsia"/>
                <w:color w:val="auto"/>
                <w:sz w:val="24"/>
              </w:rPr>
              <w:t>执行</w:t>
            </w:r>
            <w:r>
              <w:rPr>
                <w:color w:val="auto"/>
                <w:sz w:val="24"/>
              </w:rPr>
              <w:t>《环境空气质量标准》(GB3095-2012)及2018年修改单</w:t>
            </w:r>
            <w:r>
              <w:rPr>
                <w:rFonts w:hint="eastAsia"/>
                <w:color w:val="auto"/>
                <w:sz w:val="24"/>
              </w:rPr>
              <w:t>中的二级标准</w:t>
            </w:r>
            <w:r>
              <w:rPr>
                <w:color w:val="auto"/>
                <w:kern w:val="0"/>
                <w:sz w:val="24"/>
              </w:rPr>
              <w:t>；</w:t>
            </w:r>
          </w:p>
          <w:p>
            <w:pPr>
              <w:tabs>
                <w:tab w:val="left" w:pos="402"/>
                <w:tab w:val="left" w:pos="1770"/>
              </w:tabs>
              <w:adjustRightInd w:val="0"/>
              <w:snapToGrid w:val="0"/>
              <w:spacing w:line="360" w:lineRule="auto"/>
              <w:jc w:val="left"/>
              <w:rPr>
                <w:color w:val="auto"/>
                <w:kern w:val="0"/>
                <w:sz w:val="24"/>
              </w:rPr>
            </w:pPr>
            <w:r>
              <w:rPr>
                <w:rFonts w:hint="eastAsia"/>
                <w:color w:val="auto"/>
                <w:kern w:val="0"/>
                <w:sz w:val="24"/>
              </w:rPr>
              <w:t>3</w:t>
            </w:r>
            <w:r>
              <w:rPr>
                <w:color w:val="auto"/>
                <w:kern w:val="0"/>
                <w:sz w:val="24"/>
              </w:rPr>
              <w:t>、</w:t>
            </w:r>
            <w:r>
              <w:rPr>
                <w:rFonts w:hint="eastAsia"/>
                <w:color w:val="auto"/>
                <w:kern w:val="0"/>
                <w:sz w:val="24"/>
              </w:rPr>
              <w:t>执行</w:t>
            </w:r>
            <w:r>
              <w:rPr>
                <w:color w:val="auto"/>
                <w:kern w:val="0"/>
                <w:sz w:val="24"/>
              </w:rPr>
              <w:t>《声环境质量标准》（GB3096-2008）</w:t>
            </w:r>
            <w:r>
              <w:rPr>
                <w:rFonts w:hint="eastAsia"/>
                <w:color w:val="auto"/>
                <w:kern w:val="0"/>
                <w:sz w:val="24"/>
              </w:rPr>
              <w:t>1，2，4a类</w:t>
            </w:r>
            <w:r>
              <w:rPr>
                <w:color w:val="auto"/>
                <w:kern w:val="0"/>
                <w:sz w:val="24"/>
              </w:rPr>
              <w:t>标准。</w:t>
            </w:r>
          </w:p>
          <w:p>
            <w:pPr>
              <w:pStyle w:val="14"/>
              <w:rPr>
                <w:rFonts w:cs="Arial"/>
                <w:bCs/>
                <w:color w:val="auto"/>
                <w:kern w:val="0"/>
                <w:sz w:val="21"/>
                <w:szCs w:val="21"/>
              </w:rPr>
            </w:pPr>
            <w:r>
              <w:rPr>
                <w:rFonts w:hint="eastAsia" w:cs="Arial"/>
                <w:color w:val="auto"/>
                <w:sz w:val="21"/>
                <w:szCs w:val="21"/>
              </w:rPr>
              <w:t>表</w:t>
            </w:r>
            <w:r>
              <w:rPr>
                <w:rFonts w:hint="eastAsia"/>
                <w:b w:val="0"/>
                <w:color w:val="auto"/>
                <w:sz w:val="21"/>
                <w:szCs w:val="21"/>
              </w:rPr>
              <w:t xml:space="preserve"> </w:t>
            </w:r>
            <w:r>
              <w:rPr>
                <w:b w:val="0"/>
                <w:color w:val="auto"/>
                <w:sz w:val="21"/>
                <w:szCs w:val="21"/>
              </w:rPr>
              <w:fldChar w:fldCharType="begin"/>
            </w:r>
            <w:r>
              <w:rPr>
                <w:b w:val="0"/>
                <w:color w:val="auto"/>
                <w:sz w:val="21"/>
                <w:szCs w:val="21"/>
              </w:rPr>
              <w:instrText xml:space="preserve"> </w:instrText>
            </w:r>
            <w:r>
              <w:rPr>
                <w:rFonts w:hint="eastAsia"/>
                <w:b w:val="0"/>
                <w:color w:val="auto"/>
                <w:sz w:val="21"/>
                <w:szCs w:val="21"/>
              </w:rPr>
              <w:instrText xml:space="preserve">SEQ 表 \* ARABIC</w:instrText>
            </w:r>
            <w:r>
              <w:rPr>
                <w:b w:val="0"/>
                <w:color w:val="auto"/>
                <w:sz w:val="21"/>
                <w:szCs w:val="21"/>
              </w:rPr>
              <w:instrText xml:space="preserve"> </w:instrText>
            </w:r>
            <w:r>
              <w:rPr>
                <w:b w:val="0"/>
                <w:color w:val="auto"/>
                <w:sz w:val="21"/>
                <w:szCs w:val="21"/>
              </w:rPr>
              <w:fldChar w:fldCharType="separate"/>
            </w:r>
            <w:r>
              <w:rPr>
                <w:b w:val="0"/>
                <w:color w:val="auto"/>
                <w:sz w:val="21"/>
                <w:szCs w:val="21"/>
              </w:rPr>
              <w:t>7</w:t>
            </w:r>
            <w:r>
              <w:rPr>
                <w:b w:val="0"/>
                <w:color w:val="auto"/>
                <w:sz w:val="21"/>
                <w:szCs w:val="21"/>
              </w:rPr>
              <w:fldChar w:fldCharType="end"/>
            </w:r>
            <w:r>
              <w:rPr>
                <w:rFonts w:hint="eastAsia" w:cs="Arial"/>
                <w:color w:val="auto"/>
                <w:sz w:val="21"/>
                <w:szCs w:val="21"/>
              </w:rPr>
              <w:t xml:space="preserve"> </w:t>
            </w:r>
            <w:r>
              <w:rPr>
                <w:rFonts w:cs="Arial"/>
                <w:color w:val="auto"/>
                <w:sz w:val="21"/>
                <w:szCs w:val="21"/>
              </w:rPr>
              <w:t>《地表水环境质量标准》（GB3838-2002）</w:t>
            </w:r>
            <w:r>
              <w:rPr>
                <w:rFonts w:cs="Arial"/>
                <w:bCs/>
                <w:color w:val="auto"/>
                <w:kern w:val="0"/>
                <w:sz w:val="21"/>
                <w:szCs w:val="21"/>
              </w:rPr>
              <w:t xml:space="preserve">  （单位：mg/L）</w:t>
            </w:r>
          </w:p>
          <w:tbl>
            <w:tblPr>
              <w:tblStyle w:val="3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53"/>
              <w:gridCol w:w="798"/>
              <w:gridCol w:w="798"/>
              <w:gridCol w:w="820"/>
              <w:gridCol w:w="777"/>
              <w:gridCol w:w="777"/>
              <w:gridCol w:w="777"/>
              <w:gridCol w:w="7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jc w:val="center"/>
              </w:trPr>
              <w:tc>
                <w:tcPr>
                  <w:tcW w:w="1253" w:type="dxa"/>
                  <w:vAlign w:val="center"/>
                </w:tcPr>
                <w:p>
                  <w:pPr>
                    <w:pStyle w:val="21"/>
                    <w:ind w:firstLine="0"/>
                    <w:jc w:val="center"/>
                    <w:rPr>
                      <w:color w:val="auto"/>
                      <w:sz w:val="21"/>
                      <w:szCs w:val="21"/>
                    </w:rPr>
                  </w:pPr>
                  <w:r>
                    <w:rPr>
                      <w:color w:val="auto"/>
                      <w:sz w:val="21"/>
                      <w:szCs w:val="21"/>
                    </w:rPr>
                    <w:t>项  目</w:t>
                  </w:r>
                </w:p>
              </w:tc>
              <w:tc>
                <w:tcPr>
                  <w:tcW w:w="798" w:type="dxa"/>
                  <w:vAlign w:val="center"/>
                </w:tcPr>
                <w:p>
                  <w:pPr>
                    <w:jc w:val="center"/>
                    <w:rPr>
                      <w:color w:val="auto"/>
                      <w:spacing w:val="-14"/>
                      <w:szCs w:val="21"/>
                    </w:rPr>
                  </w:pPr>
                  <w:r>
                    <w:rPr>
                      <w:rFonts w:hint="eastAsia"/>
                      <w:color w:val="auto"/>
                      <w:spacing w:val="-14"/>
                      <w:szCs w:val="21"/>
                    </w:rPr>
                    <w:t>pH</w:t>
                  </w:r>
                </w:p>
              </w:tc>
              <w:tc>
                <w:tcPr>
                  <w:tcW w:w="798" w:type="dxa"/>
                  <w:vAlign w:val="center"/>
                </w:tcPr>
                <w:p>
                  <w:pPr>
                    <w:jc w:val="center"/>
                    <w:rPr>
                      <w:color w:val="auto"/>
                      <w:spacing w:val="-14"/>
                      <w:szCs w:val="21"/>
                    </w:rPr>
                  </w:pPr>
                  <w:r>
                    <w:rPr>
                      <w:rFonts w:hint="eastAsia"/>
                      <w:color w:val="auto"/>
                      <w:spacing w:val="-14"/>
                      <w:szCs w:val="21"/>
                    </w:rPr>
                    <w:t>COD</w:t>
                  </w:r>
                </w:p>
              </w:tc>
              <w:tc>
                <w:tcPr>
                  <w:tcW w:w="820" w:type="dxa"/>
                  <w:vAlign w:val="center"/>
                </w:tcPr>
                <w:p>
                  <w:pPr>
                    <w:jc w:val="center"/>
                    <w:rPr>
                      <w:color w:val="auto"/>
                      <w:spacing w:val="-14"/>
                      <w:szCs w:val="21"/>
                    </w:rPr>
                  </w:pPr>
                  <w:r>
                    <w:rPr>
                      <w:rFonts w:hint="eastAsia"/>
                      <w:color w:val="auto"/>
                      <w:spacing w:val="-14"/>
                      <w:szCs w:val="21"/>
                    </w:rPr>
                    <w:t>BOD</w:t>
                  </w:r>
                  <w:r>
                    <w:rPr>
                      <w:rFonts w:hint="eastAsia"/>
                      <w:color w:val="auto"/>
                      <w:spacing w:val="-14"/>
                      <w:szCs w:val="21"/>
                      <w:vertAlign w:val="subscript"/>
                    </w:rPr>
                    <w:t>5</w:t>
                  </w:r>
                </w:p>
              </w:tc>
              <w:tc>
                <w:tcPr>
                  <w:tcW w:w="777" w:type="dxa"/>
                  <w:vAlign w:val="center"/>
                </w:tcPr>
                <w:p>
                  <w:pPr>
                    <w:jc w:val="center"/>
                    <w:rPr>
                      <w:color w:val="auto"/>
                      <w:spacing w:val="-14"/>
                      <w:szCs w:val="21"/>
                    </w:rPr>
                  </w:pPr>
                  <w:r>
                    <w:rPr>
                      <w:rFonts w:hint="eastAsia"/>
                      <w:color w:val="auto"/>
                      <w:spacing w:val="-14"/>
                      <w:szCs w:val="21"/>
                    </w:rPr>
                    <w:t>SS</w:t>
                  </w:r>
                </w:p>
              </w:tc>
              <w:tc>
                <w:tcPr>
                  <w:tcW w:w="777" w:type="dxa"/>
                  <w:vAlign w:val="center"/>
                </w:tcPr>
                <w:p>
                  <w:pPr>
                    <w:jc w:val="center"/>
                    <w:rPr>
                      <w:color w:val="auto"/>
                      <w:spacing w:val="-14"/>
                      <w:szCs w:val="21"/>
                    </w:rPr>
                  </w:pPr>
                  <w:r>
                    <w:rPr>
                      <w:rFonts w:hint="eastAsia"/>
                      <w:color w:val="auto"/>
                      <w:spacing w:val="-14"/>
                      <w:szCs w:val="21"/>
                    </w:rPr>
                    <w:t>氨氮</w:t>
                  </w:r>
                </w:p>
              </w:tc>
              <w:tc>
                <w:tcPr>
                  <w:tcW w:w="777" w:type="dxa"/>
                  <w:vAlign w:val="center"/>
                </w:tcPr>
                <w:p>
                  <w:pPr>
                    <w:jc w:val="center"/>
                    <w:rPr>
                      <w:color w:val="auto"/>
                      <w:spacing w:val="-14"/>
                      <w:szCs w:val="21"/>
                    </w:rPr>
                  </w:pPr>
                  <w:r>
                    <w:rPr>
                      <w:rFonts w:hint="eastAsia"/>
                      <w:color w:val="auto"/>
                      <w:spacing w:val="-14"/>
                      <w:szCs w:val="21"/>
                    </w:rPr>
                    <w:t>TP</w:t>
                  </w:r>
                </w:p>
              </w:tc>
              <w:tc>
                <w:tcPr>
                  <w:tcW w:w="777" w:type="dxa"/>
                  <w:vAlign w:val="center"/>
                </w:tcPr>
                <w:p>
                  <w:pPr>
                    <w:jc w:val="center"/>
                    <w:rPr>
                      <w:color w:val="auto"/>
                      <w:spacing w:val="-14"/>
                      <w:szCs w:val="21"/>
                    </w:rPr>
                  </w:pPr>
                  <w:r>
                    <w:rPr>
                      <w:rFonts w:hint="eastAsia"/>
                      <w:color w:val="auto"/>
                      <w:spacing w:val="-14"/>
                      <w:szCs w:val="21"/>
                    </w:rPr>
                    <w:t>LAS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253" w:type="dxa"/>
                  <w:vAlign w:val="center"/>
                </w:tcPr>
                <w:p>
                  <w:pPr>
                    <w:jc w:val="center"/>
                    <w:rPr>
                      <w:color w:val="auto"/>
                      <w:spacing w:val="-14"/>
                      <w:szCs w:val="21"/>
                    </w:rPr>
                  </w:pPr>
                  <w:r>
                    <w:rPr>
                      <w:rFonts w:hint="eastAsia"/>
                      <w:color w:val="auto"/>
                      <w:spacing w:val="-14"/>
                      <w:szCs w:val="21"/>
                    </w:rPr>
                    <w:t>Ⅲ类标准</w:t>
                  </w:r>
                </w:p>
              </w:tc>
              <w:tc>
                <w:tcPr>
                  <w:tcW w:w="798" w:type="dxa"/>
                  <w:vAlign w:val="center"/>
                </w:tcPr>
                <w:p>
                  <w:pPr>
                    <w:jc w:val="center"/>
                    <w:rPr>
                      <w:color w:val="auto"/>
                      <w:spacing w:val="-14"/>
                      <w:szCs w:val="21"/>
                    </w:rPr>
                  </w:pPr>
                  <w:r>
                    <w:rPr>
                      <w:rFonts w:hint="eastAsia"/>
                      <w:color w:val="auto"/>
                      <w:spacing w:val="-14"/>
                      <w:szCs w:val="21"/>
                    </w:rPr>
                    <w:t>6-9</w:t>
                  </w:r>
                </w:p>
              </w:tc>
              <w:tc>
                <w:tcPr>
                  <w:tcW w:w="798" w:type="dxa"/>
                  <w:vAlign w:val="center"/>
                </w:tcPr>
                <w:p>
                  <w:pPr>
                    <w:jc w:val="center"/>
                    <w:rPr>
                      <w:color w:val="auto"/>
                      <w:spacing w:val="-14"/>
                      <w:szCs w:val="21"/>
                    </w:rPr>
                  </w:pPr>
                  <w:r>
                    <w:rPr>
                      <w:rFonts w:hint="eastAsia"/>
                      <w:color w:val="auto"/>
                      <w:spacing w:val="-14"/>
                      <w:szCs w:val="21"/>
                    </w:rPr>
                    <w:t>≤</w:t>
                  </w:r>
                  <w:r>
                    <w:rPr>
                      <w:color w:val="auto"/>
                      <w:spacing w:val="-14"/>
                      <w:szCs w:val="21"/>
                    </w:rPr>
                    <w:t>15</w:t>
                  </w:r>
                </w:p>
              </w:tc>
              <w:tc>
                <w:tcPr>
                  <w:tcW w:w="820" w:type="dxa"/>
                  <w:vAlign w:val="center"/>
                </w:tcPr>
                <w:p>
                  <w:pPr>
                    <w:jc w:val="center"/>
                    <w:rPr>
                      <w:color w:val="auto"/>
                      <w:spacing w:val="-14"/>
                      <w:szCs w:val="21"/>
                    </w:rPr>
                  </w:pPr>
                  <w:r>
                    <w:rPr>
                      <w:rFonts w:hint="eastAsia"/>
                      <w:color w:val="auto"/>
                      <w:spacing w:val="-14"/>
                      <w:szCs w:val="21"/>
                    </w:rPr>
                    <w:t>≤</w:t>
                  </w:r>
                  <w:r>
                    <w:rPr>
                      <w:color w:val="auto"/>
                      <w:spacing w:val="-14"/>
                      <w:szCs w:val="21"/>
                    </w:rPr>
                    <w:t>3</w:t>
                  </w:r>
                </w:p>
              </w:tc>
              <w:tc>
                <w:tcPr>
                  <w:tcW w:w="777" w:type="dxa"/>
                  <w:vAlign w:val="center"/>
                </w:tcPr>
                <w:p>
                  <w:pPr>
                    <w:jc w:val="center"/>
                    <w:rPr>
                      <w:color w:val="auto"/>
                      <w:spacing w:val="-14"/>
                      <w:szCs w:val="21"/>
                    </w:rPr>
                  </w:pPr>
                  <w:r>
                    <w:rPr>
                      <w:rFonts w:hint="eastAsia"/>
                      <w:color w:val="auto"/>
                      <w:spacing w:val="-14"/>
                      <w:szCs w:val="21"/>
                    </w:rPr>
                    <w:t>—</w:t>
                  </w:r>
                </w:p>
              </w:tc>
              <w:tc>
                <w:tcPr>
                  <w:tcW w:w="777" w:type="dxa"/>
                  <w:vAlign w:val="center"/>
                </w:tcPr>
                <w:p>
                  <w:pPr>
                    <w:jc w:val="center"/>
                    <w:rPr>
                      <w:color w:val="auto"/>
                      <w:spacing w:val="-14"/>
                      <w:szCs w:val="21"/>
                    </w:rPr>
                  </w:pPr>
                  <w:r>
                    <w:rPr>
                      <w:rFonts w:hint="eastAsia"/>
                      <w:color w:val="auto"/>
                      <w:spacing w:val="-14"/>
                      <w:szCs w:val="21"/>
                    </w:rPr>
                    <w:t>≤</w:t>
                  </w:r>
                  <w:r>
                    <w:rPr>
                      <w:color w:val="auto"/>
                      <w:spacing w:val="-14"/>
                      <w:szCs w:val="21"/>
                    </w:rPr>
                    <w:t>0.5</w:t>
                  </w:r>
                </w:p>
              </w:tc>
              <w:tc>
                <w:tcPr>
                  <w:tcW w:w="777" w:type="dxa"/>
                  <w:vAlign w:val="center"/>
                </w:tcPr>
                <w:p>
                  <w:pPr>
                    <w:jc w:val="center"/>
                    <w:rPr>
                      <w:color w:val="auto"/>
                      <w:spacing w:val="-14"/>
                      <w:szCs w:val="21"/>
                    </w:rPr>
                  </w:pPr>
                  <w:r>
                    <w:rPr>
                      <w:rFonts w:hint="eastAsia"/>
                      <w:color w:val="auto"/>
                      <w:spacing w:val="-14"/>
                      <w:szCs w:val="21"/>
                    </w:rPr>
                    <w:t>≤0.</w:t>
                  </w:r>
                  <w:r>
                    <w:rPr>
                      <w:color w:val="auto"/>
                      <w:spacing w:val="-14"/>
                      <w:szCs w:val="21"/>
                    </w:rPr>
                    <w:t>1</w:t>
                  </w:r>
                </w:p>
              </w:tc>
              <w:tc>
                <w:tcPr>
                  <w:tcW w:w="777" w:type="dxa"/>
                  <w:vAlign w:val="center"/>
                </w:tcPr>
                <w:p>
                  <w:pPr>
                    <w:jc w:val="center"/>
                    <w:rPr>
                      <w:color w:val="auto"/>
                      <w:spacing w:val="-14"/>
                      <w:szCs w:val="21"/>
                    </w:rPr>
                  </w:pPr>
                  <w:r>
                    <w:rPr>
                      <w:rFonts w:hint="eastAsia"/>
                      <w:color w:val="auto"/>
                      <w:spacing w:val="-14"/>
                      <w:szCs w:val="21"/>
                    </w:rPr>
                    <w:t>≤0.2</w:t>
                  </w:r>
                </w:p>
              </w:tc>
            </w:tr>
          </w:tbl>
          <w:p>
            <w:pPr>
              <w:rPr>
                <w:color w:val="auto"/>
              </w:rPr>
            </w:pPr>
          </w:p>
          <w:p>
            <w:pPr>
              <w:pStyle w:val="14"/>
              <w:rPr>
                <w:rFonts w:cs="Arial"/>
                <w:color w:val="auto"/>
                <w:sz w:val="21"/>
                <w:szCs w:val="21"/>
              </w:rPr>
            </w:pPr>
            <w:r>
              <w:rPr>
                <w:rFonts w:hint="eastAsia" w:cs="Arial"/>
                <w:color w:val="auto"/>
                <w:sz w:val="21"/>
                <w:szCs w:val="21"/>
              </w:rPr>
              <w:t>表</w:t>
            </w:r>
            <w:r>
              <w:rPr>
                <w:b w:val="0"/>
                <w:color w:val="auto"/>
                <w:sz w:val="21"/>
                <w:szCs w:val="21"/>
              </w:rPr>
              <w:fldChar w:fldCharType="begin"/>
            </w:r>
            <w:r>
              <w:rPr>
                <w:b w:val="0"/>
                <w:color w:val="auto"/>
                <w:sz w:val="21"/>
                <w:szCs w:val="21"/>
              </w:rPr>
              <w:instrText xml:space="preserve"> </w:instrText>
            </w:r>
            <w:r>
              <w:rPr>
                <w:rFonts w:hint="eastAsia"/>
                <w:b w:val="0"/>
                <w:color w:val="auto"/>
                <w:sz w:val="21"/>
                <w:szCs w:val="21"/>
              </w:rPr>
              <w:instrText xml:space="preserve">SEQ 表 \* ARABIC</w:instrText>
            </w:r>
            <w:r>
              <w:rPr>
                <w:b w:val="0"/>
                <w:color w:val="auto"/>
                <w:sz w:val="21"/>
                <w:szCs w:val="21"/>
              </w:rPr>
              <w:instrText xml:space="preserve"> </w:instrText>
            </w:r>
            <w:r>
              <w:rPr>
                <w:b w:val="0"/>
                <w:color w:val="auto"/>
                <w:sz w:val="21"/>
                <w:szCs w:val="21"/>
              </w:rPr>
              <w:fldChar w:fldCharType="separate"/>
            </w:r>
            <w:r>
              <w:rPr>
                <w:b w:val="0"/>
                <w:color w:val="auto"/>
                <w:sz w:val="21"/>
                <w:szCs w:val="21"/>
              </w:rPr>
              <w:t>8</w:t>
            </w:r>
            <w:r>
              <w:rPr>
                <w:b w:val="0"/>
                <w:color w:val="auto"/>
                <w:sz w:val="21"/>
                <w:szCs w:val="21"/>
              </w:rPr>
              <w:fldChar w:fldCharType="end"/>
            </w:r>
            <w:r>
              <w:rPr>
                <w:rFonts w:hint="eastAsia" w:cs="Arial"/>
                <w:color w:val="auto"/>
                <w:sz w:val="21"/>
                <w:szCs w:val="21"/>
              </w:rPr>
              <w:t xml:space="preserve">  《环境空气质量标准》（单位：mg/m</w:t>
            </w:r>
            <w:r>
              <w:rPr>
                <w:rFonts w:hint="eastAsia" w:cs="Arial"/>
                <w:color w:val="auto"/>
                <w:sz w:val="21"/>
                <w:szCs w:val="21"/>
                <w:vertAlign w:val="superscript"/>
              </w:rPr>
              <w:t>3</w:t>
            </w:r>
            <w:r>
              <w:rPr>
                <w:rFonts w:hint="eastAsia" w:cs="Arial"/>
                <w:color w:val="auto"/>
                <w:sz w:val="21"/>
                <w:szCs w:val="21"/>
              </w:rPr>
              <w:t>）</w:t>
            </w:r>
          </w:p>
          <w:tbl>
            <w:tblPr>
              <w:tblStyle w:val="33"/>
              <w:tblW w:w="0" w:type="auto"/>
              <w:tblInd w:w="11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50"/>
              <w:gridCol w:w="1390"/>
              <w:gridCol w:w="1162"/>
              <w:gridCol w:w="1377"/>
              <w:gridCol w:w="6"/>
              <w:gridCol w:w="1168"/>
              <w:gridCol w:w="12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0" w:hRule="atLeast"/>
              </w:trPr>
              <w:tc>
                <w:tcPr>
                  <w:tcW w:w="1950" w:type="dxa"/>
                  <w:vMerge w:val="restart"/>
                  <w:vAlign w:val="center"/>
                </w:tcPr>
                <w:p>
                  <w:pPr>
                    <w:pStyle w:val="21"/>
                    <w:ind w:firstLine="0"/>
                    <w:jc w:val="center"/>
                    <w:rPr>
                      <w:color w:val="auto"/>
                      <w:sz w:val="21"/>
                      <w:szCs w:val="21"/>
                    </w:rPr>
                  </w:pPr>
                  <w:r>
                    <w:rPr>
                      <w:color w:val="auto"/>
                      <w:sz w:val="21"/>
                      <w:szCs w:val="21"/>
                    </w:rPr>
                    <w:t>项   目</w:t>
                  </w:r>
                </w:p>
              </w:tc>
              <w:tc>
                <w:tcPr>
                  <w:tcW w:w="2552" w:type="dxa"/>
                  <w:gridSpan w:val="2"/>
                  <w:vAlign w:val="center"/>
                </w:tcPr>
                <w:p>
                  <w:pPr>
                    <w:pStyle w:val="21"/>
                    <w:ind w:firstLine="0"/>
                    <w:jc w:val="center"/>
                    <w:rPr>
                      <w:color w:val="auto"/>
                      <w:sz w:val="21"/>
                      <w:szCs w:val="21"/>
                    </w:rPr>
                  </w:pPr>
                  <w:r>
                    <w:rPr>
                      <w:color w:val="auto"/>
                      <w:sz w:val="21"/>
                      <w:szCs w:val="21"/>
                    </w:rPr>
                    <w:t>SO</w:t>
                  </w:r>
                  <w:r>
                    <w:rPr>
                      <w:color w:val="auto"/>
                      <w:sz w:val="21"/>
                      <w:szCs w:val="21"/>
                      <w:vertAlign w:val="subscript"/>
                    </w:rPr>
                    <w:t>2</w:t>
                  </w:r>
                </w:p>
              </w:tc>
              <w:tc>
                <w:tcPr>
                  <w:tcW w:w="2551" w:type="dxa"/>
                  <w:gridSpan w:val="3"/>
                  <w:vAlign w:val="center"/>
                </w:tcPr>
                <w:p>
                  <w:pPr>
                    <w:pStyle w:val="21"/>
                    <w:ind w:firstLine="0"/>
                    <w:jc w:val="center"/>
                    <w:rPr>
                      <w:color w:val="auto"/>
                      <w:sz w:val="21"/>
                      <w:szCs w:val="21"/>
                    </w:rPr>
                  </w:pPr>
                  <w:r>
                    <w:rPr>
                      <w:color w:val="auto"/>
                      <w:sz w:val="21"/>
                      <w:szCs w:val="21"/>
                    </w:rPr>
                    <w:t>NO</w:t>
                  </w:r>
                  <w:r>
                    <w:rPr>
                      <w:color w:val="auto"/>
                      <w:sz w:val="21"/>
                      <w:szCs w:val="21"/>
                      <w:vertAlign w:val="subscript"/>
                    </w:rPr>
                    <w:t>2</w:t>
                  </w:r>
                </w:p>
              </w:tc>
              <w:tc>
                <w:tcPr>
                  <w:tcW w:w="1279" w:type="dxa"/>
                  <w:vAlign w:val="center"/>
                </w:tcPr>
                <w:p>
                  <w:pPr>
                    <w:pStyle w:val="21"/>
                    <w:ind w:firstLine="0"/>
                    <w:jc w:val="center"/>
                    <w:rPr>
                      <w:color w:val="auto"/>
                      <w:sz w:val="21"/>
                      <w:szCs w:val="21"/>
                    </w:rPr>
                  </w:pPr>
                  <w:r>
                    <w:rPr>
                      <w:color w:val="auto"/>
                      <w:sz w:val="21"/>
                      <w:szCs w:val="21"/>
                    </w:rPr>
                    <w:t>PM</w:t>
                  </w:r>
                  <w:r>
                    <w:rPr>
                      <w:color w:val="auto"/>
                      <w:sz w:val="21"/>
                      <w:szCs w:val="21"/>
                      <w:vertAlign w:val="subscript"/>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0" w:hRule="atLeast"/>
              </w:trPr>
              <w:tc>
                <w:tcPr>
                  <w:tcW w:w="1950" w:type="dxa"/>
                  <w:vMerge w:val="continue"/>
                  <w:vAlign w:val="center"/>
                </w:tcPr>
                <w:p>
                  <w:pPr>
                    <w:pStyle w:val="21"/>
                    <w:ind w:firstLine="0"/>
                    <w:jc w:val="center"/>
                    <w:rPr>
                      <w:color w:val="auto"/>
                      <w:sz w:val="21"/>
                      <w:szCs w:val="21"/>
                    </w:rPr>
                  </w:pPr>
                </w:p>
              </w:tc>
              <w:tc>
                <w:tcPr>
                  <w:tcW w:w="1390" w:type="dxa"/>
                  <w:vAlign w:val="center"/>
                </w:tcPr>
                <w:p>
                  <w:pPr>
                    <w:pStyle w:val="21"/>
                    <w:ind w:firstLine="0"/>
                    <w:jc w:val="center"/>
                    <w:rPr>
                      <w:color w:val="auto"/>
                      <w:sz w:val="21"/>
                      <w:szCs w:val="21"/>
                    </w:rPr>
                  </w:pPr>
                  <w:r>
                    <w:rPr>
                      <w:color w:val="auto"/>
                      <w:sz w:val="21"/>
                      <w:szCs w:val="21"/>
                    </w:rPr>
                    <w:t>1小时平均</w:t>
                  </w:r>
                </w:p>
              </w:tc>
              <w:tc>
                <w:tcPr>
                  <w:tcW w:w="1162" w:type="dxa"/>
                  <w:vAlign w:val="center"/>
                </w:tcPr>
                <w:p>
                  <w:pPr>
                    <w:pStyle w:val="21"/>
                    <w:ind w:firstLine="0"/>
                    <w:jc w:val="center"/>
                    <w:rPr>
                      <w:color w:val="auto"/>
                      <w:sz w:val="21"/>
                      <w:szCs w:val="21"/>
                    </w:rPr>
                  </w:pPr>
                  <w:r>
                    <w:rPr>
                      <w:color w:val="auto"/>
                      <w:sz w:val="21"/>
                      <w:szCs w:val="21"/>
                    </w:rPr>
                    <w:t>日平均</w:t>
                  </w:r>
                </w:p>
              </w:tc>
              <w:tc>
                <w:tcPr>
                  <w:tcW w:w="1383" w:type="dxa"/>
                  <w:gridSpan w:val="2"/>
                  <w:vAlign w:val="center"/>
                </w:tcPr>
                <w:p>
                  <w:pPr>
                    <w:pStyle w:val="21"/>
                    <w:ind w:firstLine="0"/>
                    <w:jc w:val="center"/>
                    <w:rPr>
                      <w:color w:val="auto"/>
                      <w:sz w:val="21"/>
                      <w:szCs w:val="21"/>
                    </w:rPr>
                  </w:pPr>
                  <w:r>
                    <w:rPr>
                      <w:color w:val="auto"/>
                      <w:sz w:val="21"/>
                      <w:szCs w:val="21"/>
                    </w:rPr>
                    <w:t>1小时平均</w:t>
                  </w:r>
                </w:p>
              </w:tc>
              <w:tc>
                <w:tcPr>
                  <w:tcW w:w="1168" w:type="dxa"/>
                  <w:vAlign w:val="center"/>
                </w:tcPr>
                <w:p>
                  <w:pPr>
                    <w:pStyle w:val="21"/>
                    <w:ind w:firstLine="0"/>
                    <w:jc w:val="center"/>
                    <w:rPr>
                      <w:color w:val="auto"/>
                      <w:sz w:val="21"/>
                      <w:szCs w:val="21"/>
                    </w:rPr>
                  </w:pPr>
                  <w:r>
                    <w:rPr>
                      <w:color w:val="auto"/>
                      <w:sz w:val="21"/>
                      <w:szCs w:val="21"/>
                    </w:rPr>
                    <w:t>日平均</w:t>
                  </w:r>
                </w:p>
              </w:tc>
              <w:tc>
                <w:tcPr>
                  <w:tcW w:w="1279" w:type="dxa"/>
                  <w:vAlign w:val="center"/>
                </w:tcPr>
                <w:p>
                  <w:pPr>
                    <w:pStyle w:val="21"/>
                    <w:ind w:firstLine="0"/>
                    <w:jc w:val="center"/>
                    <w:rPr>
                      <w:color w:val="auto"/>
                      <w:sz w:val="21"/>
                      <w:szCs w:val="21"/>
                    </w:rPr>
                  </w:pPr>
                  <w:r>
                    <w:rPr>
                      <w:color w:val="auto"/>
                      <w:sz w:val="21"/>
                      <w:szCs w:val="21"/>
                    </w:rPr>
                    <w:t>日平均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1950" w:type="dxa"/>
                  <w:vAlign w:val="center"/>
                </w:tcPr>
                <w:p>
                  <w:pPr>
                    <w:pStyle w:val="21"/>
                    <w:ind w:firstLine="0"/>
                    <w:jc w:val="center"/>
                    <w:rPr>
                      <w:color w:val="auto"/>
                      <w:sz w:val="21"/>
                      <w:szCs w:val="21"/>
                    </w:rPr>
                  </w:pPr>
                  <w:r>
                    <w:rPr>
                      <w:color w:val="auto"/>
                      <w:sz w:val="21"/>
                      <w:szCs w:val="21"/>
                    </w:rPr>
                    <w:t>GB3095-</w:t>
                  </w:r>
                  <w:r>
                    <w:rPr>
                      <w:rFonts w:hint="eastAsia"/>
                      <w:color w:val="auto"/>
                      <w:sz w:val="21"/>
                      <w:szCs w:val="21"/>
                    </w:rPr>
                    <w:t>2012</w:t>
                  </w:r>
                  <w:r>
                    <w:rPr>
                      <w:color w:val="auto"/>
                      <w:sz w:val="21"/>
                      <w:szCs w:val="21"/>
                    </w:rPr>
                    <w:t>二级标准值</w:t>
                  </w:r>
                </w:p>
              </w:tc>
              <w:tc>
                <w:tcPr>
                  <w:tcW w:w="1390" w:type="dxa"/>
                  <w:vAlign w:val="center"/>
                </w:tcPr>
                <w:p>
                  <w:pPr>
                    <w:pStyle w:val="21"/>
                    <w:ind w:firstLine="0"/>
                    <w:jc w:val="center"/>
                    <w:rPr>
                      <w:color w:val="auto"/>
                      <w:sz w:val="21"/>
                      <w:szCs w:val="21"/>
                    </w:rPr>
                  </w:pPr>
                  <w:r>
                    <w:rPr>
                      <w:rFonts w:hint="eastAsia"/>
                      <w:color w:val="auto"/>
                      <w:sz w:val="21"/>
                      <w:szCs w:val="21"/>
                    </w:rPr>
                    <w:t>0.50</w:t>
                  </w:r>
                </w:p>
              </w:tc>
              <w:tc>
                <w:tcPr>
                  <w:tcW w:w="1162" w:type="dxa"/>
                  <w:vAlign w:val="center"/>
                </w:tcPr>
                <w:p>
                  <w:pPr>
                    <w:pStyle w:val="21"/>
                    <w:ind w:firstLine="0"/>
                    <w:jc w:val="center"/>
                    <w:rPr>
                      <w:color w:val="auto"/>
                      <w:sz w:val="21"/>
                      <w:szCs w:val="21"/>
                    </w:rPr>
                  </w:pPr>
                  <w:r>
                    <w:rPr>
                      <w:rFonts w:hint="eastAsia"/>
                      <w:color w:val="auto"/>
                      <w:sz w:val="21"/>
                      <w:szCs w:val="21"/>
                    </w:rPr>
                    <w:t>0.15</w:t>
                  </w:r>
                </w:p>
              </w:tc>
              <w:tc>
                <w:tcPr>
                  <w:tcW w:w="1377" w:type="dxa"/>
                  <w:vAlign w:val="center"/>
                </w:tcPr>
                <w:p>
                  <w:pPr>
                    <w:pStyle w:val="21"/>
                    <w:ind w:firstLine="0"/>
                    <w:jc w:val="center"/>
                    <w:rPr>
                      <w:color w:val="auto"/>
                      <w:sz w:val="21"/>
                      <w:szCs w:val="21"/>
                    </w:rPr>
                  </w:pPr>
                  <w:r>
                    <w:rPr>
                      <w:rFonts w:hint="eastAsia"/>
                      <w:color w:val="auto"/>
                      <w:sz w:val="21"/>
                      <w:szCs w:val="21"/>
                    </w:rPr>
                    <w:t>0.20</w:t>
                  </w:r>
                </w:p>
              </w:tc>
              <w:tc>
                <w:tcPr>
                  <w:tcW w:w="1174" w:type="dxa"/>
                  <w:gridSpan w:val="2"/>
                  <w:vAlign w:val="center"/>
                </w:tcPr>
                <w:p>
                  <w:pPr>
                    <w:pStyle w:val="21"/>
                    <w:ind w:firstLine="0"/>
                    <w:jc w:val="center"/>
                    <w:rPr>
                      <w:color w:val="auto"/>
                      <w:sz w:val="21"/>
                      <w:szCs w:val="21"/>
                    </w:rPr>
                  </w:pPr>
                  <w:r>
                    <w:rPr>
                      <w:rFonts w:hint="eastAsia"/>
                      <w:color w:val="auto"/>
                      <w:sz w:val="21"/>
                      <w:szCs w:val="21"/>
                    </w:rPr>
                    <w:t>0.08</w:t>
                  </w:r>
                </w:p>
              </w:tc>
              <w:tc>
                <w:tcPr>
                  <w:tcW w:w="1279" w:type="dxa"/>
                  <w:vAlign w:val="center"/>
                </w:tcPr>
                <w:p>
                  <w:pPr>
                    <w:pStyle w:val="21"/>
                    <w:ind w:firstLine="0"/>
                    <w:jc w:val="center"/>
                    <w:rPr>
                      <w:color w:val="auto"/>
                      <w:sz w:val="21"/>
                      <w:szCs w:val="21"/>
                    </w:rPr>
                  </w:pPr>
                  <w:r>
                    <w:rPr>
                      <w:rFonts w:hint="eastAsia"/>
                      <w:color w:val="auto"/>
                      <w:sz w:val="21"/>
                      <w:szCs w:val="21"/>
                    </w:rPr>
                    <w:t>0.15</w:t>
                  </w:r>
                </w:p>
              </w:tc>
            </w:tr>
          </w:tbl>
          <w:p>
            <w:pPr>
              <w:pStyle w:val="14"/>
              <w:rPr>
                <w:rFonts w:cs="Arial"/>
                <w:color w:val="auto"/>
              </w:rPr>
            </w:pPr>
          </w:p>
          <w:p>
            <w:pPr>
              <w:pStyle w:val="14"/>
              <w:rPr>
                <w:rFonts w:cs="Arial"/>
                <w:color w:val="auto"/>
                <w:sz w:val="21"/>
                <w:szCs w:val="21"/>
              </w:rPr>
            </w:pPr>
            <w:r>
              <w:rPr>
                <w:rFonts w:hint="eastAsia" w:cs="Arial"/>
                <w:color w:val="auto"/>
                <w:sz w:val="21"/>
                <w:szCs w:val="21"/>
              </w:rPr>
              <w:t>表</w:t>
            </w:r>
            <w:r>
              <w:rPr>
                <w:b w:val="0"/>
                <w:color w:val="auto"/>
                <w:sz w:val="21"/>
                <w:szCs w:val="21"/>
              </w:rPr>
              <w:fldChar w:fldCharType="begin"/>
            </w:r>
            <w:r>
              <w:rPr>
                <w:b w:val="0"/>
                <w:color w:val="auto"/>
                <w:sz w:val="21"/>
                <w:szCs w:val="21"/>
              </w:rPr>
              <w:instrText xml:space="preserve"> </w:instrText>
            </w:r>
            <w:r>
              <w:rPr>
                <w:rFonts w:hint="eastAsia"/>
                <w:b w:val="0"/>
                <w:color w:val="auto"/>
                <w:sz w:val="21"/>
                <w:szCs w:val="21"/>
              </w:rPr>
              <w:instrText xml:space="preserve">SEQ 表 \* ARABIC</w:instrText>
            </w:r>
            <w:r>
              <w:rPr>
                <w:b w:val="0"/>
                <w:color w:val="auto"/>
                <w:sz w:val="21"/>
                <w:szCs w:val="21"/>
              </w:rPr>
              <w:instrText xml:space="preserve"> </w:instrText>
            </w:r>
            <w:r>
              <w:rPr>
                <w:b w:val="0"/>
                <w:color w:val="auto"/>
                <w:sz w:val="21"/>
                <w:szCs w:val="21"/>
              </w:rPr>
              <w:fldChar w:fldCharType="separate"/>
            </w:r>
            <w:r>
              <w:rPr>
                <w:b w:val="0"/>
                <w:color w:val="auto"/>
                <w:sz w:val="21"/>
                <w:szCs w:val="21"/>
              </w:rPr>
              <w:t>9</w:t>
            </w:r>
            <w:r>
              <w:rPr>
                <w:b w:val="0"/>
                <w:color w:val="auto"/>
                <w:sz w:val="21"/>
                <w:szCs w:val="21"/>
              </w:rPr>
              <w:fldChar w:fldCharType="end"/>
            </w:r>
            <w:r>
              <w:rPr>
                <w:rFonts w:hint="eastAsia" w:cs="Arial"/>
                <w:color w:val="auto"/>
                <w:sz w:val="21"/>
                <w:szCs w:val="21"/>
              </w:rPr>
              <w:t xml:space="preserve">  </w:t>
            </w:r>
            <w:r>
              <w:rPr>
                <w:rFonts w:cs="Arial"/>
                <w:color w:val="auto"/>
                <w:kern w:val="0"/>
                <w:sz w:val="21"/>
                <w:szCs w:val="21"/>
              </w:rPr>
              <w:t>《声环境质量标准》（GB3096-2008）</w:t>
            </w:r>
            <w:r>
              <w:rPr>
                <w:rFonts w:hint="eastAsia" w:cs="Arial"/>
                <w:color w:val="auto"/>
                <w:sz w:val="21"/>
                <w:szCs w:val="21"/>
              </w:rPr>
              <w:t xml:space="preserve"> 单位：dB（A）</w:t>
            </w:r>
          </w:p>
          <w:tbl>
            <w:tblPr>
              <w:tblStyle w:val="33"/>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3387"/>
              <w:gridCol w:w="1994"/>
              <w:gridCol w:w="1995"/>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2" w:hRule="atLeast"/>
                <w:jc w:val="center"/>
              </w:trPr>
              <w:tc>
                <w:tcPr>
                  <w:tcW w:w="3387" w:type="dxa"/>
                  <w:tcBorders>
                    <w:bottom w:val="single" w:color="auto" w:sz="6" w:space="0"/>
                  </w:tcBorders>
                  <w:vAlign w:val="center"/>
                </w:tcPr>
                <w:p>
                  <w:pPr>
                    <w:pStyle w:val="111"/>
                    <w:snapToGrid w:val="0"/>
                    <w:spacing w:line="240" w:lineRule="auto"/>
                    <w:rPr>
                      <w:rFonts w:ascii="Times New Roman" w:hAnsi="Times New Roman"/>
                      <w:color w:val="auto"/>
                      <w:sz w:val="21"/>
                      <w:szCs w:val="21"/>
                    </w:rPr>
                  </w:pPr>
                  <w:r>
                    <w:rPr>
                      <w:rFonts w:hint="eastAsia" w:ascii="Times New Roman" w:hAnsi="Times New Roman"/>
                      <w:color w:val="auto"/>
                      <w:sz w:val="21"/>
                      <w:szCs w:val="21"/>
                    </w:rPr>
                    <w:t>声环境功能区类别</w:t>
                  </w:r>
                </w:p>
              </w:tc>
              <w:tc>
                <w:tcPr>
                  <w:tcW w:w="1994" w:type="dxa"/>
                  <w:vAlign w:val="center"/>
                </w:tcPr>
                <w:p>
                  <w:pPr>
                    <w:pStyle w:val="111"/>
                    <w:snapToGrid w:val="0"/>
                    <w:spacing w:line="240" w:lineRule="auto"/>
                    <w:rPr>
                      <w:color w:val="auto"/>
                      <w:sz w:val="21"/>
                      <w:szCs w:val="21"/>
                    </w:rPr>
                  </w:pPr>
                  <w:r>
                    <w:rPr>
                      <w:color w:val="auto"/>
                      <w:sz w:val="21"/>
                      <w:szCs w:val="21"/>
                    </w:rPr>
                    <w:t>昼间</w:t>
                  </w:r>
                </w:p>
              </w:tc>
              <w:tc>
                <w:tcPr>
                  <w:tcW w:w="1995" w:type="dxa"/>
                  <w:vAlign w:val="center"/>
                </w:tcPr>
                <w:p>
                  <w:pPr>
                    <w:pStyle w:val="111"/>
                    <w:snapToGrid w:val="0"/>
                    <w:spacing w:line="240" w:lineRule="auto"/>
                    <w:rPr>
                      <w:color w:val="auto"/>
                      <w:sz w:val="21"/>
                      <w:szCs w:val="21"/>
                    </w:rPr>
                  </w:pPr>
                  <w:r>
                    <w:rPr>
                      <w:color w:val="auto"/>
                      <w:sz w:val="21"/>
                      <w:szCs w:val="21"/>
                    </w:rPr>
                    <w:t>夜间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2" w:hRule="atLeast"/>
                <w:jc w:val="center"/>
              </w:trPr>
              <w:tc>
                <w:tcPr>
                  <w:tcW w:w="3387" w:type="dxa"/>
                  <w:tcBorders>
                    <w:bottom w:val="single" w:color="auto" w:sz="6" w:space="0"/>
                  </w:tcBorders>
                  <w:vAlign w:val="center"/>
                </w:tcPr>
                <w:p>
                  <w:pPr>
                    <w:pStyle w:val="111"/>
                    <w:snapToGrid w:val="0"/>
                    <w:spacing w:line="240" w:lineRule="auto"/>
                    <w:rPr>
                      <w:rFonts w:hint="eastAsia" w:ascii="宋体" w:hAnsi="宋体" w:eastAsia="宋体" w:cs="宋体"/>
                      <w:color w:val="auto"/>
                      <w:sz w:val="21"/>
                      <w:szCs w:val="21"/>
                    </w:rPr>
                  </w:pPr>
                  <w:r>
                    <w:rPr>
                      <w:rFonts w:hint="eastAsia" w:ascii="宋体" w:hAnsi="宋体" w:eastAsia="宋体" w:cs="宋体"/>
                      <w:color w:val="auto"/>
                      <w:sz w:val="21"/>
                      <w:szCs w:val="21"/>
                    </w:rPr>
                    <w:t>1类</w:t>
                  </w:r>
                </w:p>
              </w:tc>
              <w:tc>
                <w:tcPr>
                  <w:tcW w:w="1994" w:type="dxa"/>
                  <w:vAlign w:val="center"/>
                </w:tcPr>
                <w:p>
                  <w:pPr>
                    <w:pStyle w:val="111"/>
                    <w:snapToGrid w:val="0"/>
                    <w:spacing w:line="240" w:lineRule="auto"/>
                    <w:rPr>
                      <w:rFonts w:hint="eastAsia" w:ascii="宋体" w:hAnsi="宋体" w:eastAsia="宋体" w:cs="宋体"/>
                      <w:color w:val="auto"/>
                      <w:sz w:val="21"/>
                      <w:szCs w:val="21"/>
                    </w:rPr>
                  </w:pPr>
                  <w:r>
                    <w:rPr>
                      <w:rFonts w:hint="eastAsia" w:ascii="宋体" w:hAnsi="宋体" w:eastAsia="宋体" w:cs="宋体"/>
                      <w:color w:val="auto"/>
                      <w:sz w:val="21"/>
                      <w:szCs w:val="21"/>
                    </w:rPr>
                    <w:t>55</w:t>
                  </w:r>
                </w:p>
              </w:tc>
              <w:tc>
                <w:tcPr>
                  <w:tcW w:w="1995" w:type="dxa"/>
                  <w:vAlign w:val="center"/>
                </w:tcPr>
                <w:p>
                  <w:pPr>
                    <w:pStyle w:val="111"/>
                    <w:snapToGrid w:val="0"/>
                    <w:spacing w:line="240" w:lineRule="auto"/>
                    <w:rPr>
                      <w:rFonts w:hint="eastAsia" w:ascii="宋体" w:hAnsi="宋体" w:eastAsia="宋体" w:cs="宋体"/>
                      <w:color w:val="auto"/>
                      <w:sz w:val="21"/>
                      <w:szCs w:val="21"/>
                    </w:rPr>
                  </w:pPr>
                  <w:r>
                    <w:rPr>
                      <w:rFonts w:hint="eastAsia" w:ascii="宋体" w:hAnsi="宋体" w:eastAsia="宋体" w:cs="宋体"/>
                      <w:color w:val="auto"/>
                      <w:sz w:val="21"/>
                      <w:szCs w:val="21"/>
                    </w:rPr>
                    <w:t>45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2" w:hRule="atLeast"/>
                <w:jc w:val="center"/>
              </w:trPr>
              <w:tc>
                <w:tcPr>
                  <w:tcW w:w="3387" w:type="dxa"/>
                  <w:tcBorders>
                    <w:top w:val="single" w:color="auto" w:sz="6" w:space="0"/>
                    <w:bottom w:val="single" w:color="auto" w:sz="6" w:space="0"/>
                  </w:tcBorders>
                  <w:vAlign w:val="center"/>
                </w:tcPr>
                <w:p>
                  <w:pPr>
                    <w:pStyle w:val="111"/>
                    <w:snapToGrid w:val="0"/>
                    <w:spacing w:line="240" w:lineRule="auto"/>
                    <w:rPr>
                      <w:rFonts w:hint="eastAsia" w:ascii="宋体" w:hAnsi="宋体" w:eastAsia="宋体" w:cs="宋体"/>
                      <w:color w:val="auto"/>
                      <w:sz w:val="21"/>
                      <w:szCs w:val="21"/>
                    </w:rPr>
                  </w:pPr>
                  <w:r>
                    <w:rPr>
                      <w:rFonts w:hint="eastAsia" w:ascii="宋体" w:hAnsi="宋体" w:eastAsia="宋体" w:cs="宋体"/>
                      <w:color w:val="auto"/>
                      <w:sz w:val="21"/>
                      <w:szCs w:val="21"/>
                    </w:rPr>
                    <w:t>2类</w:t>
                  </w:r>
                </w:p>
              </w:tc>
              <w:tc>
                <w:tcPr>
                  <w:tcW w:w="1994" w:type="dxa"/>
                  <w:vAlign w:val="center"/>
                </w:tcPr>
                <w:p>
                  <w:pPr>
                    <w:pStyle w:val="111"/>
                    <w:snapToGrid w:val="0"/>
                    <w:spacing w:line="240" w:lineRule="auto"/>
                    <w:rPr>
                      <w:rFonts w:hint="eastAsia" w:ascii="宋体" w:hAnsi="宋体" w:eastAsia="宋体" w:cs="宋体"/>
                      <w:color w:val="auto"/>
                      <w:sz w:val="21"/>
                      <w:szCs w:val="21"/>
                    </w:rPr>
                  </w:pPr>
                  <w:r>
                    <w:rPr>
                      <w:rFonts w:hint="eastAsia" w:ascii="宋体" w:hAnsi="宋体" w:eastAsia="宋体" w:cs="宋体"/>
                      <w:color w:val="auto"/>
                      <w:sz w:val="21"/>
                      <w:szCs w:val="21"/>
                    </w:rPr>
                    <w:t>60</w:t>
                  </w:r>
                </w:p>
              </w:tc>
              <w:tc>
                <w:tcPr>
                  <w:tcW w:w="1995" w:type="dxa"/>
                  <w:vAlign w:val="center"/>
                </w:tcPr>
                <w:p>
                  <w:pPr>
                    <w:pStyle w:val="111"/>
                    <w:snapToGrid w:val="0"/>
                    <w:spacing w:line="240" w:lineRule="auto"/>
                    <w:rPr>
                      <w:rFonts w:hint="eastAsia" w:ascii="宋体" w:hAnsi="宋体" w:eastAsia="宋体" w:cs="宋体"/>
                      <w:color w:val="auto"/>
                      <w:sz w:val="21"/>
                      <w:szCs w:val="21"/>
                    </w:rPr>
                  </w:pPr>
                  <w:r>
                    <w:rPr>
                      <w:rFonts w:hint="eastAsia" w:ascii="宋体" w:hAnsi="宋体" w:eastAsia="宋体" w:cs="宋体"/>
                      <w:color w:val="auto"/>
                      <w:sz w:val="21"/>
                      <w:szCs w:val="21"/>
                    </w:rPr>
                    <w:t>50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2" w:hRule="atLeast"/>
                <w:jc w:val="center"/>
              </w:trPr>
              <w:tc>
                <w:tcPr>
                  <w:tcW w:w="3387" w:type="dxa"/>
                  <w:tcBorders>
                    <w:top w:val="single" w:color="auto" w:sz="6" w:space="0"/>
                    <w:bottom w:val="single" w:color="auto" w:sz="6" w:space="0"/>
                  </w:tcBorders>
                  <w:vAlign w:val="center"/>
                </w:tcPr>
                <w:p>
                  <w:pPr>
                    <w:pStyle w:val="111"/>
                    <w:snapToGrid w:val="0"/>
                    <w:spacing w:line="240" w:lineRule="auto"/>
                    <w:rPr>
                      <w:rFonts w:hint="eastAsia" w:ascii="宋体" w:hAnsi="宋体" w:eastAsia="宋体" w:cs="宋体"/>
                      <w:color w:val="auto"/>
                      <w:sz w:val="21"/>
                      <w:szCs w:val="21"/>
                    </w:rPr>
                  </w:pPr>
                  <w:r>
                    <w:rPr>
                      <w:rFonts w:hint="eastAsia" w:ascii="宋体" w:hAnsi="宋体" w:eastAsia="宋体" w:cs="宋体"/>
                      <w:color w:val="auto"/>
                      <w:sz w:val="21"/>
                      <w:szCs w:val="21"/>
                    </w:rPr>
                    <w:t>4a类</w:t>
                  </w:r>
                </w:p>
              </w:tc>
              <w:tc>
                <w:tcPr>
                  <w:tcW w:w="1994" w:type="dxa"/>
                  <w:vAlign w:val="center"/>
                </w:tcPr>
                <w:p>
                  <w:pPr>
                    <w:pStyle w:val="111"/>
                    <w:snapToGrid w:val="0"/>
                    <w:spacing w:line="240" w:lineRule="auto"/>
                    <w:rPr>
                      <w:rFonts w:hint="eastAsia" w:ascii="宋体" w:hAnsi="宋体" w:eastAsia="宋体" w:cs="宋体"/>
                      <w:color w:val="auto"/>
                      <w:sz w:val="21"/>
                      <w:szCs w:val="21"/>
                    </w:rPr>
                  </w:pPr>
                  <w:r>
                    <w:rPr>
                      <w:rFonts w:hint="eastAsia" w:ascii="宋体" w:hAnsi="宋体" w:eastAsia="宋体" w:cs="宋体"/>
                      <w:color w:val="auto"/>
                      <w:sz w:val="21"/>
                      <w:szCs w:val="21"/>
                    </w:rPr>
                    <w:t>70</w:t>
                  </w:r>
                </w:p>
              </w:tc>
              <w:tc>
                <w:tcPr>
                  <w:tcW w:w="1995" w:type="dxa"/>
                  <w:vAlign w:val="center"/>
                </w:tcPr>
                <w:p>
                  <w:pPr>
                    <w:pStyle w:val="111"/>
                    <w:snapToGrid w:val="0"/>
                    <w:spacing w:line="240" w:lineRule="auto"/>
                    <w:rPr>
                      <w:rFonts w:hint="eastAsia" w:ascii="宋体" w:hAnsi="宋体" w:eastAsia="宋体" w:cs="宋体"/>
                      <w:color w:val="auto"/>
                      <w:sz w:val="21"/>
                      <w:szCs w:val="21"/>
                    </w:rPr>
                  </w:pPr>
                  <w:r>
                    <w:rPr>
                      <w:rFonts w:hint="eastAsia" w:ascii="宋体" w:hAnsi="宋体" w:eastAsia="宋体" w:cs="宋体"/>
                      <w:color w:val="auto"/>
                      <w:sz w:val="21"/>
                      <w:szCs w:val="21"/>
                    </w:rPr>
                    <w:t>55</w:t>
                  </w:r>
                </w:p>
              </w:tc>
            </w:tr>
          </w:tbl>
          <w:p>
            <w:pPr>
              <w:tabs>
                <w:tab w:val="left" w:pos="402"/>
                <w:tab w:val="left" w:pos="1770"/>
              </w:tabs>
              <w:adjustRightInd w:val="0"/>
              <w:snapToGrid w:val="0"/>
              <w:spacing w:line="360" w:lineRule="auto"/>
              <w:rPr>
                <w:color w:val="auto"/>
                <w:kern w:val="0"/>
                <w:sz w:val="24"/>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648" w:hRule="atLeast"/>
        </w:trPr>
        <w:tc>
          <w:tcPr>
            <w:tcW w:w="768" w:type="dxa"/>
            <w:vAlign w:val="center"/>
          </w:tcPr>
          <w:p>
            <w:pPr>
              <w:pStyle w:val="83"/>
              <w:topLinePunct w:val="0"/>
              <w:autoSpaceDE/>
              <w:autoSpaceDN/>
              <w:adjustRightInd/>
              <w:spacing w:before="120" w:line="300" w:lineRule="auto"/>
              <w:textAlignment w:val="auto"/>
              <w:rPr>
                <w:rFonts w:ascii="Times New Roman" w:hAnsi="Times New Roman"/>
                <w:color w:val="auto"/>
                <w:kern w:val="0"/>
                <w:sz w:val="24"/>
                <w:szCs w:val="24"/>
              </w:rPr>
            </w:pPr>
            <w:r>
              <w:rPr>
                <w:rFonts w:ascii="Times New Roman" w:hAnsi="Times New Roman"/>
                <w:color w:val="auto"/>
                <w:kern w:val="0"/>
                <w:sz w:val="24"/>
                <w:szCs w:val="24"/>
              </w:rPr>
              <w:t>污</w:t>
            </w:r>
          </w:p>
          <w:p>
            <w:pPr>
              <w:pStyle w:val="83"/>
              <w:topLinePunct w:val="0"/>
              <w:autoSpaceDE/>
              <w:autoSpaceDN/>
              <w:adjustRightInd/>
              <w:spacing w:before="120" w:line="300" w:lineRule="auto"/>
              <w:textAlignment w:val="auto"/>
              <w:rPr>
                <w:rFonts w:ascii="Times New Roman" w:hAnsi="Times New Roman"/>
                <w:color w:val="auto"/>
                <w:kern w:val="0"/>
                <w:sz w:val="24"/>
                <w:szCs w:val="24"/>
              </w:rPr>
            </w:pPr>
            <w:r>
              <w:rPr>
                <w:rFonts w:ascii="Times New Roman" w:hAnsi="Times New Roman"/>
                <w:color w:val="auto"/>
                <w:kern w:val="0"/>
                <w:sz w:val="24"/>
                <w:szCs w:val="24"/>
              </w:rPr>
              <w:t>染</w:t>
            </w:r>
          </w:p>
          <w:p>
            <w:pPr>
              <w:pStyle w:val="83"/>
              <w:topLinePunct w:val="0"/>
              <w:autoSpaceDE/>
              <w:autoSpaceDN/>
              <w:adjustRightInd/>
              <w:spacing w:before="120" w:line="300" w:lineRule="auto"/>
              <w:textAlignment w:val="auto"/>
              <w:rPr>
                <w:rFonts w:ascii="Times New Roman" w:hAnsi="Times New Roman"/>
                <w:color w:val="auto"/>
                <w:kern w:val="0"/>
                <w:sz w:val="24"/>
                <w:szCs w:val="24"/>
              </w:rPr>
            </w:pPr>
            <w:r>
              <w:rPr>
                <w:rFonts w:ascii="Times New Roman" w:hAnsi="Times New Roman"/>
                <w:color w:val="auto"/>
                <w:kern w:val="0"/>
                <w:sz w:val="24"/>
                <w:szCs w:val="24"/>
              </w:rPr>
              <w:t>物</w:t>
            </w:r>
          </w:p>
          <w:p>
            <w:pPr>
              <w:pStyle w:val="83"/>
              <w:topLinePunct w:val="0"/>
              <w:autoSpaceDE/>
              <w:autoSpaceDN/>
              <w:adjustRightInd/>
              <w:spacing w:before="120" w:line="300" w:lineRule="auto"/>
              <w:textAlignment w:val="auto"/>
              <w:rPr>
                <w:rFonts w:ascii="Times New Roman" w:hAnsi="Times New Roman"/>
                <w:color w:val="auto"/>
                <w:kern w:val="0"/>
                <w:sz w:val="24"/>
                <w:szCs w:val="24"/>
              </w:rPr>
            </w:pPr>
            <w:r>
              <w:rPr>
                <w:rFonts w:ascii="Times New Roman" w:hAnsi="Times New Roman"/>
                <w:color w:val="auto"/>
                <w:kern w:val="0"/>
                <w:sz w:val="24"/>
                <w:szCs w:val="24"/>
              </w:rPr>
              <w:t>排</w:t>
            </w:r>
          </w:p>
          <w:p>
            <w:pPr>
              <w:pStyle w:val="83"/>
              <w:topLinePunct w:val="0"/>
              <w:autoSpaceDE/>
              <w:autoSpaceDN/>
              <w:adjustRightInd/>
              <w:spacing w:before="120" w:line="300" w:lineRule="auto"/>
              <w:textAlignment w:val="auto"/>
              <w:rPr>
                <w:rFonts w:ascii="Times New Roman" w:hAnsi="Times New Roman"/>
                <w:color w:val="auto"/>
                <w:kern w:val="0"/>
                <w:sz w:val="24"/>
                <w:szCs w:val="24"/>
              </w:rPr>
            </w:pPr>
            <w:r>
              <w:rPr>
                <w:rFonts w:ascii="Times New Roman" w:hAnsi="Times New Roman"/>
                <w:color w:val="auto"/>
                <w:kern w:val="0"/>
                <w:sz w:val="24"/>
                <w:szCs w:val="24"/>
              </w:rPr>
              <w:t>放</w:t>
            </w:r>
          </w:p>
          <w:p>
            <w:pPr>
              <w:pStyle w:val="83"/>
              <w:topLinePunct w:val="0"/>
              <w:autoSpaceDE/>
              <w:autoSpaceDN/>
              <w:adjustRightInd/>
              <w:spacing w:before="120" w:line="300" w:lineRule="auto"/>
              <w:textAlignment w:val="auto"/>
              <w:rPr>
                <w:rFonts w:ascii="Times New Roman" w:hAnsi="Times New Roman"/>
                <w:color w:val="auto"/>
                <w:kern w:val="0"/>
                <w:sz w:val="24"/>
                <w:szCs w:val="24"/>
              </w:rPr>
            </w:pPr>
            <w:r>
              <w:rPr>
                <w:rFonts w:ascii="Times New Roman" w:hAnsi="Times New Roman"/>
                <w:color w:val="auto"/>
                <w:kern w:val="0"/>
                <w:sz w:val="24"/>
                <w:szCs w:val="24"/>
              </w:rPr>
              <w:t>标</w:t>
            </w:r>
          </w:p>
          <w:p>
            <w:pPr>
              <w:pStyle w:val="83"/>
              <w:topLinePunct w:val="0"/>
              <w:autoSpaceDE/>
              <w:autoSpaceDN/>
              <w:adjustRightInd/>
              <w:spacing w:before="120" w:line="300" w:lineRule="auto"/>
              <w:textAlignment w:val="auto"/>
              <w:rPr>
                <w:rFonts w:ascii="Times New Roman" w:hAnsi="Times New Roman"/>
                <w:color w:val="auto"/>
                <w:kern w:val="2"/>
                <w:szCs w:val="24"/>
              </w:rPr>
            </w:pPr>
            <w:r>
              <w:rPr>
                <w:rFonts w:ascii="Times New Roman" w:hAnsi="Times New Roman"/>
                <w:color w:val="auto"/>
                <w:kern w:val="0"/>
                <w:sz w:val="24"/>
                <w:szCs w:val="24"/>
              </w:rPr>
              <w:t>准</w:t>
            </w:r>
          </w:p>
        </w:tc>
        <w:tc>
          <w:tcPr>
            <w:tcW w:w="8580" w:type="dxa"/>
            <w:vAlign w:val="center"/>
          </w:tcPr>
          <w:p>
            <w:pPr>
              <w:spacing w:line="360" w:lineRule="auto"/>
              <w:ind w:firstLine="480" w:firstLineChars="200"/>
              <w:rPr>
                <w:color w:val="auto"/>
                <w:sz w:val="24"/>
              </w:rPr>
            </w:pPr>
          </w:p>
          <w:p>
            <w:pPr>
              <w:spacing w:line="360" w:lineRule="auto"/>
              <w:ind w:firstLine="480" w:firstLineChars="200"/>
              <w:rPr>
                <w:color w:val="auto"/>
                <w:sz w:val="24"/>
              </w:rPr>
            </w:pPr>
            <w:r>
              <w:rPr>
                <w:color w:val="auto"/>
                <w:sz w:val="24"/>
              </w:rPr>
              <w:t>1、</w:t>
            </w:r>
            <w:r>
              <w:rPr>
                <w:rFonts w:hint="eastAsia"/>
                <w:color w:val="auto"/>
                <w:sz w:val="24"/>
              </w:rPr>
              <w:t>废水</w:t>
            </w:r>
          </w:p>
          <w:p>
            <w:pPr>
              <w:spacing w:line="360" w:lineRule="auto"/>
              <w:ind w:firstLine="480" w:firstLineChars="200"/>
              <w:rPr>
                <w:color w:val="auto"/>
                <w:sz w:val="24"/>
              </w:rPr>
            </w:pPr>
            <w:r>
              <w:rPr>
                <w:rFonts w:hint="eastAsia"/>
                <w:color w:val="auto"/>
                <w:sz w:val="24"/>
              </w:rPr>
              <w:t>施工期生活污水</w:t>
            </w:r>
            <w:r>
              <w:rPr>
                <w:color w:val="auto"/>
                <w:sz w:val="24"/>
              </w:rPr>
              <w:t>排放执行广东省《水污染排放限值》（DB44/26-2001）中第二时段三级标准。运营期</w:t>
            </w:r>
            <w:r>
              <w:rPr>
                <w:rFonts w:hint="eastAsia"/>
                <w:color w:val="auto"/>
                <w:sz w:val="24"/>
              </w:rPr>
              <w:t>生活污水执行《农田灌溉水质标准》（GB</w:t>
            </w:r>
            <w:r>
              <w:rPr>
                <w:color w:val="auto"/>
                <w:sz w:val="24"/>
              </w:rPr>
              <w:t>5084-2005</w:t>
            </w:r>
            <w:r>
              <w:rPr>
                <w:rFonts w:hint="eastAsia"/>
                <w:color w:val="auto"/>
                <w:sz w:val="24"/>
              </w:rPr>
              <w:t>）旱作标准</w:t>
            </w:r>
            <w:r>
              <w:rPr>
                <w:color w:val="auto"/>
                <w:sz w:val="24"/>
              </w:rPr>
              <w:t>。</w:t>
            </w:r>
          </w:p>
          <w:p>
            <w:pPr>
              <w:spacing w:line="480" w:lineRule="exact"/>
              <w:jc w:val="center"/>
              <w:rPr>
                <w:b/>
                <w:bCs/>
                <w:color w:val="auto"/>
                <w:sz w:val="24"/>
              </w:rPr>
            </w:pPr>
            <w:r>
              <w:rPr>
                <w:b/>
                <w:bCs/>
                <w:color w:val="auto"/>
                <w:sz w:val="24"/>
              </w:rPr>
              <w:t>表</w:t>
            </w:r>
            <w:r>
              <w:rPr>
                <w:b/>
                <w:color w:val="auto"/>
                <w:szCs w:val="21"/>
              </w:rPr>
              <w:fldChar w:fldCharType="begin"/>
            </w:r>
            <w:r>
              <w:rPr>
                <w:color w:val="auto"/>
                <w:szCs w:val="21"/>
              </w:rPr>
              <w:instrText xml:space="preserve"> </w:instrText>
            </w:r>
            <w:r>
              <w:rPr>
                <w:rFonts w:hint="eastAsia"/>
                <w:color w:val="auto"/>
                <w:szCs w:val="21"/>
              </w:rPr>
              <w:instrText xml:space="preserve">SEQ 表 \* ARABIC</w:instrText>
            </w:r>
            <w:r>
              <w:rPr>
                <w:color w:val="auto"/>
                <w:szCs w:val="21"/>
              </w:rPr>
              <w:instrText xml:space="preserve"> </w:instrText>
            </w:r>
            <w:r>
              <w:rPr>
                <w:b/>
                <w:color w:val="auto"/>
                <w:szCs w:val="21"/>
              </w:rPr>
              <w:fldChar w:fldCharType="separate"/>
            </w:r>
            <w:r>
              <w:rPr>
                <w:color w:val="auto"/>
                <w:szCs w:val="21"/>
              </w:rPr>
              <w:t>10</w:t>
            </w:r>
            <w:r>
              <w:rPr>
                <w:b/>
                <w:color w:val="auto"/>
                <w:szCs w:val="21"/>
              </w:rPr>
              <w:fldChar w:fldCharType="end"/>
            </w:r>
            <w:r>
              <w:rPr>
                <w:b/>
                <w:color w:val="auto"/>
                <w:szCs w:val="21"/>
              </w:rPr>
              <w:t xml:space="preserve"> </w:t>
            </w:r>
            <w:r>
              <w:rPr>
                <w:b/>
                <w:bCs/>
                <w:color w:val="auto"/>
                <w:sz w:val="24"/>
              </w:rPr>
              <w:t>水污染物排放标准     单位：mg/l，pH除外</w:t>
            </w:r>
          </w:p>
          <w:tbl>
            <w:tblPr>
              <w:tblStyle w:val="33"/>
              <w:tblW w:w="7439" w:type="dxa"/>
              <w:jc w:val="center"/>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Layout w:type="fixed"/>
              <w:tblCellMar>
                <w:top w:w="0" w:type="dxa"/>
                <w:left w:w="108" w:type="dxa"/>
                <w:bottom w:w="0" w:type="dxa"/>
                <w:right w:w="108" w:type="dxa"/>
              </w:tblCellMar>
            </w:tblPr>
            <w:tblGrid>
              <w:gridCol w:w="2790"/>
              <w:gridCol w:w="835"/>
              <w:gridCol w:w="908"/>
              <w:gridCol w:w="856"/>
              <w:gridCol w:w="1030"/>
              <w:gridCol w:w="1020"/>
            </w:tblGrid>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cantSplit/>
                <w:trHeight w:val="207" w:hRule="atLeast"/>
                <w:jc w:val="center"/>
              </w:trPr>
              <w:tc>
                <w:tcPr>
                  <w:tcW w:w="2790" w:type="dxa"/>
                  <w:tcBorders>
                    <w:tl2br w:val="nil"/>
                    <w:tr2bl w:val="nil"/>
                  </w:tcBorders>
                  <w:vAlign w:val="center"/>
                </w:tcPr>
                <w:p>
                  <w:pPr>
                    <w:jc w:val="center"/>
                    <w:rPr>
                      <w:color w:val="auto"/>
                    </w:rPr>
                  </w:pPr>
                  <w:r>
                    <w:rPr>
                      <w:color w:val="auto"/>
                    </w:rPr>
                    <w:t>级别</w:t>
                  </w:r>
                </w:p>
              </w:tc>
              <w:tc>
                <w:tcPr>
                  <w:tcW w:w="835" w:type="dxa"/>
                  <w:tcBorders>
                    <w:tl2br w:val="nil"/>
                    <w:tr2bl w:val="nil"/>
                  </w:tcBorders>
                  <w:vAlign w:val="center"/>
                </w:tcPr>
                <w:p>
                  <w:pPr>
                    <w:jc w:val="center"/>
                    <w:rPr>
                      <w:color w:val="auto"/>
                    </w:rPr>
                  </w:pPr>
                  <w:r>
                    <w:rPr>
                      <w:color w:val="auto"/>
                    </w:rPr>
                    <w:t>pH</w:t>
                  </w:r>
                </w:p>
              </w:tc>
              <w:tc>
                <w:tcPr>
                  <w:tcW w:w="908" w:type="dxa"/>
                  <w:tcBorders>
                    <w:tl2br w:val="nil"/>
                    <w:tr2bl w:val="nil"/>
                  </w:tcBorders>
                  <w:vAlign w:val="center"/>
                </w:tcPr>
                <w:p>
                  <w:pPr>
                    <w:jc w:val="center"/>
                    <w:rPr>
                      <w:color w:val="auto"/>
                    </w:rPr>
                  </w:pPr>
                  <w:r>
                    <w:rPr>
                      <w:color w:val="auto"/>
                    </w:rPr>
                    <w:t>CODcr</w:t>
                  </w:r>
                </w:p>
              </w:tc>
              <w:tc>
                <w:tcPr>
                  <w:tcW w:w="856" w:type="dxa"/>
                  <w:tcBorders>
                    <w:tl2br w:val="nil"/>
                    <w:tr2bl w:val="nil"/>
                  </w:tcBorders>
                  <w:vAlign w:val="center"/>
                </w:tcPr>
                <w:p>
                  <w:pPr>
                    <w:jc w:val="center"/>
                    <w:rPr>
                      <w:color w:val="auto"/>
                    </w:rPr>
                  </w:pPr>
                  <w:r>
                    <w:rPr>
                      <w:color w:val="auto"/>
                    </w:rPr>
                    <w:t>SS</w:t>
                  </w:r>
                </w:p>
              </w:tc>
              <w:tc>
                <w:tcPr>
                  <w:tcW w:w="1030" w:type="dxa"/>
                  <w:tcBorders>
                    <w:tl2br w:val="nil"/>
                    <w:tr2bl w:val="nil"/>
                  </w:tcBorders>
                  <w:vAlign w:val="center"/>
                </w:tcPr>
                <w:p>
                  <w:pPr>
                    <w:jc w:val="center"/>
                    <w:rPr>
                      <w:color w:val="auto"/>
                    </w:rPr>
                  </w:pPr>
                  <w:r>
                    <w:rPr>
                      <w:color w:val="auto"/>
                    </w:rPr>
                    <w:t>BOD</w:t>
                  </w:r>
                  <w:r>
                    <w:rPr>
                      <w:color w:val="auto"/>
                      <w:vertAlign w:val="subscript"/>
                    </w:rPr>
                    <w:t>5</w:t>
                  </w:r>
                </w:p>
              </w:tc>
              <w:tc>
                <w:tcPr>
                  <w:tcW w:w="1020" w:type="dxa"/>
                  <w:tcBorders>
                    <w:tl2br w:val="nil"/>
                    <w:tr2bl w:val="nil"/>
                  </w:tcBorders>
                  <w:vAlign w:val="center"/>
                </w:tcPr>
                <w:p>
                  <w:pPr>
                    <w:jc w:val="center"/>
                    <w:rPr>
                      <w:color w:val="auto"/>
                    </w:rPr>
                  </w:pPr>
                  <w:r>
                    <w:rPr>
                      <w:color w:val="auto"/>
                    </w:rPr>
                    <w:t>NH</w:t>
                  </w:r>
                  <w:r>
                    <w:rPr>
                      <w:color w:val="auto"/>
                      <w:vertAlign w:val="subscript"/>
                    </w:rPr>
                    <w:t>3</w:t>
                  </w:r>
                  <w:r>
                    <w:rPr>
                      <w:color w:val="auto"/>
                    </w:rPr>
                    <w:t>-N</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cantSplit/>
                <w:trHeight w:val="307" w:hRule="atLeast"/>
                <w:jc w:val="center"/>
              </w:trPr>
              <w:tc>
                <w:tcPr>
                  <w:tcW w:w="2790" w:type="dxa"/>
                  <w:tcBorders>
                    <w:tl2br w:val="nil"/>
                    <w:tr2bl w:val="nil"/>
                  </w:tcBorders>
                  <w:vAlign w:val="center"/>
                </w:tcPr>
                <w:p>
                  <w:pPr>
                    <w:jc w:val="center"/>
                    <w:rPr>
                      <w:color w:val="auto"/>
                    </w:rPr>
                  </w:pPr>
                  <w:r>
                    <w:rPr>
                      <w:color w:val="auto"/>
                      <w:lang w:val="zh-CN"/>
                    </w:rPr>
                    <w:t>广东省《水污染物排放限值》第二时段三级</w:t>
                  </w:r>
                </w:p>
              </w:tc>
              <w:tc>
                <w:tcPr>
                  <w:tcW w:w="835" w:type="dxa"/>
                  <w:tcBorders>
                    <w:tl2br w:val="nil"/>
                    <w:tr2bl w:val="nil"/>
                  </w:tcBorders>
                  <w:vAlign w:val="center"/>
                </w:tcPr>
                <w:p>
                  <w:pPr>
                    <w:jc w:val="center"/>
                    <w:rPr>
                      <w:color w:val="auto"/>
                    </w:rPr>
                  </w:pPr>
                  <w:r>
                    <w:rPr>
                      <w:color w:val="auto"/>
                    </w:rPr>
                    <w:t>6~9</w:t>
                  </w:r>
                </w:p>
              </w:tc>
              <w:tc>
                <w:tcPr>
                  <w:tcW w:w="908" w:type="dxa"/>
                  <w:tcBorders>
                    <w:tl2br w:val="nil"/>
                    <w:tr2bl w:val="nil"/>
                  </w:tcBorders>
                  <w:vAlign w:val="center"/>
                </w:tcPr>
                <w:p>
                  <w:pPr>
                    <w:jc w:val="center"/>
                    <w:rPr>
                      <w:color w:val="auto"/>
                    </w:rPr>
                  </w:pPr>
                  <w:r>
                    <w:rPr>
                      <w:color w:val="auto"/>
                    </w:rPr>
                    <w:t>≤500</w:t>
                  </w:r>
                </w:p>
              </w:tc>
              <w:tc>
                <w:tcPr>
                  <w:tcW w:w="856" w:type="dxa"/>
                  <w:tcBorders>
                    <w:tl2br w:val="nil"/>
                    <w:tr2bl w:val="nil"/>
                  </w:tcBorders>
                  <w:vAlign w:val="center"/>
                </w:tcPr>
                <w:p>
                  <w:pPr>
                    <w:jc w:val="center"/>
                    <w:rPr>
                      <w:color w:val="auto"/>
                    </w:rPr>
                  </w:pPr>
                  <w:r>
                    <w:rPr>
                      <w:color w:val="auto"/>
                    </w:rPr>
                    <w:t>≤400</w:t>
                  </w:r>
                </w:p>
              </w:tc>
              <w:tc>
                <w:tcPr>
                  <w:tcW w:w="1030" w:type="dxa"/>
                  <w:tcBorders>
                    <w:tl2br w:val="nil"/>
                    <w:tr2bl w:val="nil"/>
                  </w:tcBorders>
                  <w:vAlign w:val="center"/>
                </w:tcPr>
                <w:p>
                  <w:pPr>
                    <w:jc w:val="center"/>
                    <w:rPr>
                      <w:color w:val="auto"/>
                    </w:rPr>
                  </w:pPr>
                  <w:r>
                    <w:rPr>
                      <w:color w:val="auto"/>
                    </w:rPr>
                    <w:t>≤300</w:t>
                  </w:r>
                </w:p>
              </w:tc>
              <w:tc>
                <w:tcPr>
                  <w:tcW w:w="1020" w:type="dxa"/>
                  <w:tcBorders>
                    <w:tl2br w:val="nil"/>
                    <w:tr2bl w:val="nil"/>
                  </w:tcBorders>
                  <w:vAlign w:val="center"/>
                </w:tcPr>
                <w:p>
                  <w:pPr>
                    <w:jc w:val="center"/>
                    <w:rPr>
                      <w:color w:val="auto"/>
                    </w:rPr>
                  </w:pPr>
                  <w:r>
                    <w:rPr>
                      <w:rFonts w:hint="eastAsia"/>
                      <w:color w:val="auto"/>
                    </w:rPr>
                    <w:t>——</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cantSplit/>
                <w:trHeight w:val="307" w:hRule="atLeast"/>
                <w:jc w:val="center"/>
              </w:trPr>
              <w:tc>
                <w:tcPr>
                  <w:tcW w:w="2790" w:type="dxa"/>
                  <w:tcBorders>
                    <w:tl2br w:val="nil"/>
                    <w:tr2bl w:val="nil"/>
                  </w:tcBorders>
                  <w:vAlign w:val="center"/>
                </w:tcPr>
                <w:p>
                  <w:pPr>
                    <w:jc w:val="center"/>
                    <w:rPr>
                      <w:color w:val="auto"/>
                      <w:lang w:val="zh-CN"/>
                    </w:rPr>
                  </w:pPr>
                  <w:r>
                    <w:rPr>
                      <w:rFonts w:hint="eastAsia"/>
                      <w:color w:val="auto"/>
                      <w:lang w:val="zh-CN"/>
                    </w:rPr>
                    <w:t>《农田灌溉水质标准》（GB5084-2005）旱作标准</w:t>
                  </w:r>
                </w:p>
              </w:tc>
              <w:tc>
                <w:tcPr>
                  <w:tcW w:w="835" w:type="dxa"/>
                  <w:tcBorders>
                    <w:tl2br w:val="nil"/>
                    <w:tr2bl w:val="nil"/>
                  </w:tcBorders>
                  <w:vAlign w:val="center"/>
                </w:tcPr>
                <w:p>
                  <w:pPr>
                    <w:jc w:val="center"/>
                    <w:rPr>
                      <w:color w:val="auto"/>
                    </w:rPr>
                  </w:pPr>
                  <w:r>
                    <w:rPr>
                      <w:rFonts w:hint="eastAsia"/>
                      <w:color w:val="auto"/>
                    </w:rPr>
                    <w:t>5</w:t>
                  </w:r>
                  <w:r>
                    <w:rPr>
                      <w:color w:val="auto"/>
                    </w:rPr>
                    <w:t>.5-8.5</w:t>
                  </w:r>
                </w:p>
              </w:tc>
              <w:tc>
                <w:tcPr>
                  <w:tcW w:w="908" w:type="dxa"/>
                  <w:tcBorders>
                    <w:tl2br w:val="nil"/>
                    <w:tr2bl w:val="nil"/>
                  </w:tcBorders>
                  <w:vAlign w:val="center"/>
                </w:tcPr>
                <w:p>
                  <w:pPr>
                    <w:jc w:val="center"/>
                    <w:rPr>
                      <w:color w:val="auto"/>
                    </w:rPr>
                  </w:pPr>
                  <w:r>
                    <w:rPr>
                      <w:rFonts w:hint="eastAsia"/>
                      <w:color w:val="auto"/>
                      <w:szCs w:val="21"/>
                    </w:rPr>
                    <w:t>200</w:t>
                  </w:r>
                </w:p>
              </w:tc>
              <w:tc>
                <w:tcPr>
                  <w:tcW w:w="856" w:type="dxa"/>
                  <w:tcBorders>
                    <w:tl2br w:val="nil"/>
                    <w:tr2bl w:val="nil"/>
                  </w:tcBorders>
                  <w:vAlign w:val="center"/>
                </w:tcPr>
                <w:p>
                  <w:pPr>
                    <w:jc w:val="center"/>
                    <w:rPr>
                      <w:color w:val="auto"/>
                    </w:rPr>
                  </w:pPr>
                  <w:r>
                    <w:rPr>
                      <w:rFonts w:hint="eastAsia"/>
                      <w:color w:val="auto"/>
                      <w:szCs w:val="21"/>
                    </w:rPr>
                    <w:t>100</w:t>
                  </w:r>
                </w:p>
              </w:tc>
              <w:tc>
                <w:tcPr>
                  <w:tcW w:w="1030" w:type="dxa"/>
                  <w:tcBorders>
                    <w:tl2br w:val="nil"/>
                    <w:tr2bl w:val="nil"/>
                  </w:tcBorders>
                  <w:vAlign w:val="center"/>
                </w:tcPr>
                <w:p>
                  <w:pPr>
                    <w:jc w:val="center"/>
                    <w:rPr>
                      <w:color w:val="auto"/>
                    </w:rPr>
                  </w:pPr>
                  <w:r>
                    <w:rPr>
                      <w:rFonts w:hint="eastAsia"/>
                      <w:color w:val="auto"/>
                      <w:szCs w:val="21"/>
                    </w:rPr>
                    <w:t>100</w:t>
                  </w:r>
                </w:p>
              </w:tc>
              <w:tc>
                <w:tcPr>
                  <w:tcW w:w="1020" w:type="dxa"/>
                  <w:tcBorders>
                    <w:tl2br w:val="nil"/>
                    <w:tr2bl w:val="nil"/>
                  </w:tcBorders>
                  <w:vAlign w:val="center"/>
                </w:tcPr>
                <w:p>
                  <w:pPr>
                    <w:jc w:val="center"/>
                    <w:rPr>
                      <w:color w:val="auto"/>
                    </w:rPr>
                  </w:pPr>
                  <w:r>
                    <w:rPr>
                      <w:rFonts w:hint="eastAsia"/>
                      <w:color w:val="auto"/>
                    </w:rPr>
                    <w:t>——</w:t>
                  </w:r>
                </w:p>
              </w:tc>
            </w:tr>
          </w:tbl>
          <w:p>
            <w:pPr>
              <w:pStyle w:val="120"/>
              <w:rPr>
                <w:rFonts w:cs="宋体"/>
                <w:color w:val="auto"/>
              </w:rPr>
            </w:pPr>
          </w:p>
          <w:p>
            <w:pPr>
              <w:spacing w:line="360" w:lineRule="auto"/>
              <w:ind w:firstLine="480" w:firstLineChars="200"/>
              <w:rPr>
                <w:b/>
                <w:bCs/>
                <w:color w:val="auto"/>
                <w:sz w:val="24"/>
              </w:rPr>
            </w:pPr>
            <w:r>
              <w:rPr>
                <w:rFonts w:hint="eastAsia"/>
                <w:color w:val="auto"/>
                <w:sz w:val="24"/>
              </w:rPr>
              <w:t>2、</w:t>
            </w:r>
            <w:r>
              <w:rPr>
                <w:color w:val="auto"/>
                <w:sz w:val="24"/>
              </w:rPr>
              <w:t>废气</w:t>
            </w:r>
          </w:p>
          <w:p>
            <w:pPr>
              <w:spacing w:line="360" w:lineRule="auto"/>
              <w:ind w:firstLine="480" w:firstLineChars="200"/>
              <w:rPr>
                <w:color w:val="auto"/>
                <w:sz w:val="24"/>
              </w:rPr>
            </w:pPr>
            <w:r>
              <w:rPr>
                <w:color w:val="auto"/>
                <w:sz w:val="24"/>
              </w:rPr>
              <w:t>施工期扬尘废气排放执行广东省地方标准《大气污染物排放限值》（DB44/27-2001）第二时段二级标准。</w:t>
            </w:r>
          </w:p>
          <w:p>
            <w:pPr>
              <w:spacing w:line="480" w:lineRule="exact"/>
              <w:jc w:val="center"/>
              <w:rPr>
                <w:b/>
                <w:bCs/>
                <w:color w:val="auto"/>
                <w:sz w:val="24"/>
              </w:rPr>
            </w:pPr>
            <w:r>
              <w:rPr>
                <w:b/>
                <w:bCs/>
                <w:color w:val="auto"/>
                <w:sz w:val="24"/>
              </w:rPr>
              <w:t>表</w:t>
            </w:r>
            <w:r>
              <w:rPr>
                <w:b/>
                <w:color w:val="auto"/>
                <w:szCs w:val="21"/>
              </w:rPr>
              <w:fldChar w:fldCharType="begin"/>
            </w:r>
            <w:r>
              <w:rPr>
                <w:color w:val="auto"/>
                <w:szCs w:val="21"/>
              </w:rPr>
              <w:instrText xml:space="preserve"> </w:instrText>
            </w:r>
            <w:r>
              <w:rPr>
                <w:rFonts w:hint="eastAsia"/>
                <w:color w:val="auto"/>
                <w:szCs w:val="21"/>
              </w:rPr>
              <w:instrText xml:space="preserve">SEQ 表 \* ARABIC</w:instrText>
            </w:r>
            <w:r>
              <w:rPr>
                <w:color w:val="auto"/>
                <w:szCs w:val="21"/>
              </w:rPr>
              <w:instrText xml:space="preserve"> </w:instrText>
            </w:r>
            <w:r>
              <w:rPr>
                <w:b/>
                <w:color w:val="auto"/>
                <w:szCs w:val="21"/>
              </w:rPr>
              <w:fldChar w:fldCharType="separate"/>
            </w:r>
            <w:r>
              <w:rPr>
                <w:color w:val="auto"/>
                <w:szCs w:val="21"/>
              </w:rPr>
              <w:t>11</w:t>
            </w:r>
            <w:r>
              <w:rPr>
                <w:b/>
                <w:color w:val="auto"/>
                <w:szCs w:val="21"/>
              </w:rPr>
              <w:fldChar w:fldCharType="end"/>
            </w:r>
            <w:r>
              <w:rPr>
                <w:b/>
                <w:bCs/>
                <w:color w:val="auto"/>
                <w:sz w:val="24"/>
              </w:rPr>
              <w:t xml:space="preserve">   大气污染排放限值标准</w:t>
            </w:r>
          </w:p>
          <w:tbl>
            <w:tblPr>
              <w:tblStyle w:val="33"/>
              <w:tblW w:w="0" w:type="auto"/>
              <w:jc w:val="center"/>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Layout w:type="fixed"/>
              <w:tblCellMar>
                <w:top w:w="0" w:type="dxa"/>
                <w:left w:w="108" w:type="dxa"/>
                <w:bottom w:w="0" w:type="dxa"/>
                <w:right w:w="108" w:type="dxa"/>
              </w:tblCellMar>
            </w:tblPr>
            <w:tblGrid>
              <w:gridCol w:w="4231"/>
              <w:gridCol w:w="2265"/>
            </w:tblGrid>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cantSplit/>
                <w:trHeight w:val="336" w:hRule="atLeast"/>
                <w:jc w:val="center"/>
              </w:trPr>
              <w:tc>
                <w:tcPr>
                  <w:tcW w:w="4231" w:type="dxa"/>
                  <w:tcBorders>
                    <w:tl2br w:val="nil"/>
                    <w:tr2bl w:val="nil"/>
                  </w:tcBorders>
                  <w:vAlign w:val="center"/>
                </w:tcPr>
                <w:p>
                  <w:pPr>
                    <w:jc w:val="center"/>
                    <w:rPr>
                      <w:color w:val="auto"/>
                    </w:rPr>
                  </w:pPr>
                  <w:r>
                    <w:rPr>
                      <w:color w:val="auto"/>
                    </w:rPr>
                    <w:t>级别</w:t>
                  </w:r>
                </w:p>
              </w:tc>
              <w:tc>
                <w:tcPr>
                  <w:tcW w:w="2265" w:type="dxa"/>
                  <w:tcBorders>
                    <w:tl2br w:val="nil"/>
                    <w:tr2bl w:val="nil"/>
                  </w:tcBorders>
                  <w:vAlign w:val="center"/>
                </w:tcPr>
                <w:p>
                  <w:pPr>
                    <w:jc w:val="center"/>
                    <w:rPr>
                      <w:color w:val="auto"/>
                    </w:rPr>
                  </w:pPr>
                  <w:r>
                    <w:rPr>
                      <w:color w:val="auto"/>
                    </w:rPr>
                    <w:t>颗粒物（无组织排放）</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cantSplit/>
                <w:trHeight w:val="345" w:hRule="atLeast"/>
                <w:jc w:val="center"/>
              </w:trPr>
              <w:tc>
                <w:tcPr>
                  <w:tcW w:w="4231" w:type="dxa"/>
                  <w:tcBorders>
                    <w:tl2br w:val="nil"/>
                    <w:tr2bl w:val="nil"/>
                  </w:tcBorders>
                  <w:vAlign w:val="center"/>
                </w:tcPr>
                <w:p>
                  <w:pPr>
                    <w:jc w:val="center"/>
                    <w:rPr>
                      <w:color w:val="auto"/>
                    </w:rPr>
                  </w:pPr>
                  <w:r>
                    <w:rPr>
                      <w:color w:val="auto"/>
                      <w:lang w:val="zh-CN"/>
                    </w:rPr>
                    <w:t>《大气污染排放限值》（DB44/27-2001）第二时段二级标准</w:t>
                  </w:r>
                </w:p>
              </w:tc>
              <w:tc>
                <w:tcPr>
                  <w:tcW w:w="2265" w:type="dxa"/>
                  <w:tcBorders>
                    <w:tl2br w:val="nil"/>
                    <w:tr2bl w:val="nil"/>
                  </w:tcBorders>
                  <w:vAlign w:val="center"/>
                </w:tcPr>
                <w:p>
                  <w:pPr>
                    <w:jc w:val="center"/>
                    <w:rPr>
                      <w:color w:val="auto"/>
                    </w:rPr>
                  </w:pPr>
                  <w:r>
                    <w:rPr>
                      <w:color w:val="auto"/>
                    </w:rPr>
                    <w:t>≤1.0mg/m</w:t>
                  </w:r>
                  <w:r>
                    <w:rPr>
                      <w:color w:val="auto"/>
                      <w:vertAlign w:val="superscript"/>
                    </w:rPr>
                    <w:t>3</w:t>
                  </w:r>
                </w:p>
              </w:tc>
            </w:tr>
          </w:tbl>
          <w:p>
            <w:pPr>
              <w:adjustRightInd w:val="0"/>
              <w:spacing w:line="312" w:lineRule="auto"/>
              <w:ind w:firstLine="480" w:firstLineChars="200"/>
              <w:rPr>
                <w:color w:val="auto"/>
                <w:sz w:val="24"/>
              </w:rPr>
            </w:pPr>
          </w:p>
          <w:p>
            <w:pPr>
              <w:spacing w:line="360" w:lineRule="auto"/>
              <w:ind w:firstLine="480" w:firstLineChars="200"/>
              <w:rPr>
                <w:color w:val="auto"/>
                <w:sz w:val="24"/>
              </w:rPr>
            </w:pPr>
            <w:r>
              <w:rPr>
                <w:rFonts w:hint="eastAsia"/>
                <w:color w:val="auto"/>
                <w:sz w:val="24"/>
              </w:rPr>
              <w:t>3</w:t>
            </w:r>
            <w:r>
              <w:rPr>
                <w:color w:val="auto"/>
                <w:sz w:val="24"/>
              </w:rPr>
              <w:t>、噪声</w:t>
            </w:r>
          </w:p>
          <w:p>
            <w:pPr>
              <w:spacing w:line="360" w:lineRule="auto"/>
              <w:ind w:firstLine="480" w:firstLineChars="200"/>
              <w:rPr>
                <w:color w:val="auto"/>
                <w:sz w:val="24"/>
              </w:rPr>
            </w:pPr>
            <w:r>
              <w:rPr>
                <w:color w:val="auto"/>
                <w:sz w:val="24"/>
              </w:rPr>
              <w:t>施工期噪声执行《建筑施工场界环境噪声排放标准》（GB12523-2011）。</w:t>
            </w:r>
            <w:r>
              <w:rPr>
                <w:rFonts w:hint="eastAsia"/>
                <w:color w:val="auto"/>
                <w:sz w:val="24"/>
              </w:rPr>
              <w:t>运营期加压泵站边界噪声执行《工业企业厂界环境噪声排放标准》（GB12348-2008）2类标准。</w:t>
            </w:r>
          </w:p>
          <w:p>
            <w:pPr>
              <w:spacing w:line="480" w:lineRule="exact"/>
              <w:jc w:val="center"/>
              <w:rPr>
                <w:b/>
                <w:bCs/>
                <w:color w:val="auto"/>
                <w:sz w:val="24"/>
              </w:rPr>
            </w:pPr>
            <w:r>
              <w:rPr>
                <w:b/>
                <w:bCs/>
                <w:color w:val="auto"/>
                <w:sz w:val="24"/>
              </w:rPr>
              <w:t>表</w:t>
            </w:r>
            <w:r>
              <w:rPr>
                <w:b/>
                <w:color w:val="auto"/>
                <w:szCs w:val="21"/>
              </w:rPr>
              <w:fldChar w:fldCharType="begin"/>
            </w:r>
            <w:r>
              <w:rPr>
                <w:color w:val="auto"/>
                <w:szCs w:val="21"/>
              </w:rPr>
              <w:instrText xml:space="preserve"> </w:instrText>
            </w:r>
            <w:r>
              <w:rPr>
                <w:rFonts w:hint="eastAsia"/>
                <w:color w:val="auto"/>
                <w:szCs w:val="21"/>
              </w:rPr>
              <w:instrText xml:space="preserve">SEQ 表 \* ARABIC</w:instrText>
            </w:r>
            <w:r>
              <w:rPr>
                <w:color w:val="auto"/>
                <w:szCs w:val="21"/>
              </w:rPr>
              <w:instrText xml:space="preserve"> </w:instrText>
            </w:r>
            <w:r>
              <w:rPr>
                <w:b/>
                <w:color w:val="auto"/>
                <w:szCs w:val="21"/>
              </w:rPr>
              <w:fldChar w:fldCharType="separate"/>
            </w:r>
            <w:r>
              <w:rPr>
                <w:color w:val="auto"/>
                <w:szCs w:val="21"/>
              </w:rPr>
              <w:t>12</w:t>
            </w:r>
            <w:r>
              <w:rPr>
                <w:b/>
                <w:color w:val="auto"/>
                <w:szCs w:val="21"/>
              </w:rPr>
              <w:fldChar w:fldCharType="end"/>
            </w:r>
            <w:r>
              <w:rPr>
                <w:b/>
                <w:bCs/>
                <w:color w:val="auto"/>
                <w:sz w:val="24"/>
              </w:rPr>
              <w:t xml:space="preserve">  </w:t>
            </w:r>
            <w:r>
              <w:rPr>
                <w:rFonts w:hint="eastAsia"/>
                <w:b/>
                <w:bCs/>
                <w:color w:val="auto"/>
                <w:sz w:val="24"/>
              </w:rPr>
              <w:t>厂界环境噪声标准</w:t>
            </w:r>
            <w:r>
              <w:rPr>
                <w:b/>
                <w:bCs/>
                <w:color w:val="auto"/>
                <w:sz w:val="24"/>
              </w:rPr>
              <w:t xml:space="preserve">  单位：dB(A)</w:t>
            </w:r>
          </w:p>
          <w:tbl>
            <w:tblPr>
              <w:tblStyle w:val="33"/>
              <w:tblW w:w="849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20"/>
              <w:gridCol w:w="1350"/>
              <w:gridCol w:w="1350"/>
              <w:gridCol w:w="42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20" w:type="dxa"/>
                  <w:vAlign w:val="center"/>
                </w:tcPr>
                <w:p>
                  <w:pPr>
                    <w:adjustRightInd w:val="0"/>
                    <w:snapToGrid w:val="0"/>
                    <w:jc w:val="center"/>
                    <w:rPr>
                      <w:b/>
                      <w:color w:val="auto"/>
                      <w:szCs w:val="21"/>
                    </w:rPr>
                  </w:pPr>
                  <w:r>
                    <w:rPr>
                      <w:b/>
                      <w:color w:val="auto"/>
                      <w:szCs w:val="21"/>
                    </w:rPr>
                    <w:t>评价时段</w:t>
                  </w:r>
                </w:p>
              </w:tc>
              <w:tc>
                <w:tcPr>
                  <w:tcW w:w="1350" w:type="dxa"/>
                  <w:vAlign w:val="center"/>
                </w:tcPr>
                <w:p>
                  <w:pPr>
                    <w:adjustRightInd w:val="0"/>
                    <w:snapToGrid w:val="0"/>
                    <w:jc w:val="center"/>
                    <w:rPr>
                      <w:b/>
                      <w:color w:val="auto"/>
                      <w:szCs w:val="21"/>
                    </w:rPr>
                  </w:pPr>
                  <w:r>
                    <w:rPr>
                      <w:b/>
                      <w:color w:val="auto"/>
                      <w:szCs w:val="21"/>
                    </w:rPr>
                    <w:t>昼间</w:t>
                  </w:r>
                </w:p>
              </w:tc>
              <w:tc>
                <w:tcPr>
                  <w:tcW w:w="1350" w:type="dxa"/>
                  <w:vAlign w:val="center"/>
                </w:tcPr>
                <w:p>
                  <w:pPr>
                    <w:pStyle w:val="137"/>
                    <w:adjustRightInd w:val="0"/>
                    <w:spacing w:before="0" w:after="0" w:afterAutospacing="0" w:line="240" w:lineRule="auto"/>
                    <w:ind w:firstLine="422"/>
                    <w:rPr>
                      <w:b/>
                      <w:color w:val="auto"/>
                      <w:sz w:val="21"/>
                      <w:szCs w:val="21"/>
                    </w:rPr>
                  </w:pPr>
                  <w:r>
                    <w:rPr>
                      <w:b/>
                      <w:color w:val="auto"/>
                      <w:sz w:val="21"/>
                      <w:szCs w:val="21"/>
                    </w:rPr>
                    <w:t>夜间</w:t>
                  </w:r>
                </w:p>
              </w:tc>
              <w:tc>
                <w:tcPr>
                  <w:tcW w:w="4271" w:type="dxa"/>
                  <w:vAlign w:val="center"/>
                </w:tcPr>
                <w:p>
                  <w:pPr>
                    <w:adjustRightInd w:val="0"/>
                    <w:snapToGrid w:val="0"/>
                    <w:jc w:val="center"/>
                    <w:rPr>
                      <w:b/>
                      <w:color w:val="auto"/>
                      <w:szCs w:val="21"/>
                    </w:rPr>
                  </w:pPr>
                  <w:r>
                    <w:rPr>
                      <w:b/>
                      <w:color w:val="auto"/>
                      <w:szCs w:val="21"/>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20" w:type="dxa"/>
                  <w:vAlign w:val="center"/>
                </w:tcPr>
                <w:p>
                  <w:pPr>
                    <w:adjustRightInd w:val="0"/>
                    <w:snapToGrid w:val="0"/>
                    <w:jc w:val="center"/>
                    <w:rPr>
                      <w:color w:val="auto"/>
                      <w:szCs w:val="21"/>
                    </w:rPr>
                  </w:pPr>
                  <w:r>
                    <w:rPr>
                      <w:color w:val="auto"/>
                      <w:szCs w:val="21"/>
                    </w:rPr>
                    <w:t>营运期</w:t>
                  </w:r>
                </w:p>
              </w:tc>
              <w:tc>
                <w:tcPr>
                  <w:tcW w:w="1350" w:type="dxa"/>
                  <w:vAlign w:val="center"/>
                </w:tcPr>
                <w:p>
                  <w:pPr>
                    <w:adjustRightInd w:val="0"/>
                    <w:snapToGrid w:val="0"/>
                    <w:jc w:val="center"/>
                    <w:rPr>
                      <w:rFonts w:eastAsia="Calibri"/>
                      <w:color w:val="auto"/>
                      <w:szCs w:val="21"/>
                    </w:rPr>
                  </w:pPr>
                  <w:r>
                    <w:rPr>
                      <w:color w:val="auto"/>
                      <w:szCs w:val="21"/>
                    </w:rPr>
                    <w:t>6</w:t>
                  </w:r>
                  <w:r>
                    <w:rPr>
                      <w:rFonts w:hint="eastAsia"/>
                      <w:color w:val="auto"/>
                      <w:szCs w:val="21"/>
                    </w:rPr>
                    <w:t>0</w:t>
                  </w:r>
                </w:p>
              </w:tc>
              <w:tc>
                <w:tcPr>
                  <w:tcW w:w="1350" w:type="dxa"/>
                  <w:vAlign w:val="center"/>
                </w:tcPr>
                <w:p>
                  <w:pPr>
                    <w:adjustRightInd w:val="0"/>
                    <w:snapToGrid w:val="0"/>
                    <w:jc w:val="center"/>
                    <w:rPr>
                      <w:rFonts w:eastAsia="Calibri"/>
                      <w:color w:val="auto"/>
                      <w:szCs w:val="21"/>
                    </w:rPr>
                  </w:pPr>
                  <w:r>
                    <w:rPr>
                      <w:color w:val="auto"/>
                      <w:szCs w:val="21"/>
                    </w:rPr>
                    <w:t>5</w:t>
                  </w:r>
                  <w:r>
                    <w:rPr>
                      <w:rFonts w:hint="eastAsia"/>
                      <w:color w:val="auto"/>
                      <w:szCs w:val="21"/>
                    </w:rPr>
                    <w:t>0</w:t>
                  </w:r>
                </w:p>
              </w:tc>
              <w:tc>
                <w:tcPr>
                  <w:tcW w:w="4271" w:type="dxa"/>
                  <w:vAlign w:val="center"/>
                </w:tcPr>
                <w:p>
                  <w:pPr>
                    <w:pStyle w:val="137"/>
                    <w:adjustRightInd w:val="0"/>
                    <w:spacing w:before="0" w:after="0" w:afterAutospacing="0" w:line="240" w:lineRule="auto"/>
                    <w:ind w:firstLine="420"/>
                    <w:jc w:val="center"/>
                    <w:rPr>
                      <w:color w:val="auto"/>
                      <w:sz w:val="21"/>
                      <w:szCs w:val="21"/>
                    </w:rPr>
                  </w:pPr>
                  <w:r>
                    <w:rPr>
                      <w:color w:val="auto"/>
                      <w:sz w:val="21"/>
                      <w:szCs w:val="21"/>
                    </w:rPr>
                    <w:t>《工业企业厂界环境噪声排放标准》（GB12348—2008）</w:t>
                  </w:r>
                  <w:r>
                    <w:rPr>
                      <w:rFonts w:hint="eastAsia"/>
                      <w:color w:val="auto"/>
                      <w:sz w:val="21"/>
                      <w:szCs w:val="21"/>
                    </w:rPr>
                    <w:t>2</w:t>
                  </w:r>
                  <w:r>
                    <w:rPr>
                      <w:color w:val="auto"/>
                      <w:sz w:val="21"/>
                      <w:szCs w:val="21"/>
                    </w:rP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20" w:type="dxa"/>
                  <w:vAlign w:val="center"/>
                </w:tcPr>
                <w:p>
                  <w:pPr>
                    <w:adjustRightInd w:val="0"/>
                    <w:snapToGrid w:val="0"/>
                    <w:jc w:val="center"/>
                    <w:rPr>
                      <w:color w:val="auto"/>
                      <w:szCs w:val="21"/>
                    </w:rPr>
                  </w:pPr>
                  <w:r>
                    <w:rPr>
                      <w:color w:val="auto"/>
                      <w:szCs w:val="21"/>
                    </w:rPr>
                    <w:t>施工期</w:t>
                  </w:r>
                </w:p>
              </w:tc>
              <w:tc>
                <w:tcPr>
                  <w:tcW w:w="1350" w:type="dxa"/>
                  <w:vAlign w:val="center"/>
                </w:tcPr>
                <w:p>
                  <w:pPr>
                    <w:adjustRightInd w:val="0"/>
                    <w:snapToGrid w:val="0"/>
                    <w:jc w:val="center"/>
                    <w:rPr>
                      <w:color w:val="auto"/>
                      <w:szCs w:val="21"/>
                    </w:rPr>
                  </w:pPr>
                  <w:r>
                    <w:rPr>
                      <w:color w:val="auto"/>
                      <w:spacing w:val="9"/>
                      <w:szCs w:val="21"/>
                    </w:rPr>
                    <w:t>70</w:t>
                  </w:r>
                </w:p>
              </w:tc>
              <w:tc>
                <w:tcPr>
                  <w:tcW w:w="1350" w:type="dxa"/>
                  <w:vAlign w:val="center"/>
                </w:tcPr>
                <w:p>
                  <w:pPr>
                    <w:adjustRightInd w:val="0"/>
                    <w:snapToGrid w:val="0"/>
                    <w:jc w:val="center"/>
                    <w:rPr>
                      <w:color w:val="auto"/>
                      <w:szCs w:val="21"/>
                    </w:rPr>
                  </w:pPr>
                  <w:r>
                    <w:rPr>
                      <w:color w:val="auto"/>
                      <w:spacing w:val="9"/>
                      <w:szCs w:val="21"/>
                    </w:rPr>
                    <w:t>55</w:t>
                  </w:r>
                </w:p>
              </w:tc>
              <w:tc>
                <w:tcPr>
                  <w:tcW w:w="4271" w:type="dxa"/>
                  <w:vAlign w:val="center"/>
                </w:tcPr>
                <w:p>
                  <w:pPr>
                    <w:pStyle w:val="137"/>
                    <w:adjustRightInd w:val="0"/>
                    <w:spacing w:before="0" w:after="0" w:afterAutospacing="0" w:line="240" w:lineRule="auto"/>
                    <w:ind w:firstLine="420"/>
                    <w:jc w:val="center"/>
                    <w:rPr>
                      <w:color w:val="auto"/>
                      <w:sz w:val="21"/>
                      <w:szCs w:val="21"/>
                    </w:rPr>
                  </w:pPr>
                  <w:r>
                    <w:rPr>
                      <w:color w:val="auto"/>
                      <w:sz w:val="21"/>
                      <w:szCs w:val="21"/>
                    </w:rPr>
                    <w:t>《建筑施工场界环境噪声排放标准》(GB12523-2011)</w:t>
                  </w:r>
                </w:p>
              </w:tc>
            </w:tr>
          </w:tbl>
          <w:p>
            <w:pPr>
              <w:adjustRightInd w:val="0"/>
              <w:snapToGrid w:val="0"/>
              <w:ind w:firstLine="360" w:firstLineChars="200"/>
              <w:rPr>
                <w:color w:val="auto"/>
                <w:sz w:val="18"/>
                <w:szCs w:val="18"/>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7784" w:hRule="atLeast"/>
        </w:trPr>
        <w:tc>
          <w:tcPr>
            <w:tcW w:w="768" w:type="dxa"/>
            <w:tcBorders>
              <w:bottom w:val="single" w:color="000000" w:sz="6" w:space="0"/>
            </w:tcBorders>
            <w:vAlign w:val="center"/>
          </w:tcPr>
          <w:p>
            <w:pPr>
              <w:pStyle w:val="83"/>
              <w:topLinePunct w:val="0"/>
              <w:autoSpaceDE/>
              <w:autoSpaceDN/>
              <w:adjustRightInd/>
              <w:spacing w:before="120" w:line="300" w:lineRule="auto"/>
              <w:textAlignment w:val="auto"/>
              <w:rPr>
                <w:rFonts w:ascii="Times New Roman" w:hAnsi="Times New Roman"/>
                <w:color w:val="auto"/>
                <w:kern w:val="0"/>
                <w:sz w:val="24"/>
                <w:szCs w:val="24"/>
              </w:rPr>
            </w:pPr>
            <w:r>
              <w:rPr>
                <w:rFonts w:ascii="Times New Roman" w:hAnsi="Times New Roman"/>
                <w:color w:val="auto"/>
                <w:kern w:val="0"/>
                <w:sz w:val="24"/>
                <w:szCs w:val="24"/>
              </w:rPr>
              <w:t>总</w:t>
            </w:r>
          </w:p>
          <w:p>
            <w:pPr>
              <w:pStyle w:val="83"/>
              <w:topLinePunct w:val="0"/>
              <w:autoSpaceDE/>
              <w:autoSpaceDN/>
              <w:adjustRightInd/>
              <w:spacing w:before="120" w:line="300" w:lineRule="auto"/>
              <w:textAlignment w:val="auto"/>
              <w:rPr>
                <w:rFonts w:ascii="Times New Roman" w:hAnsi="Times New Roman"/>
                <w:color w:val="auto"/>
                <w:kern w:val="0"/>
                <w:sz w:val="24"/>
                <w:szCs w:val="24"/>
              </w:rPr>
            </w:pPr>
            <w:r>
              <w:rPr>
                <w:rFonts w:ascii="Times New Roman" w:hAnsi="Times New Roman"/>
                <w:color w:val="auto"/>
                <w:kern w:val="0"/>
                <w:sz w:val="24"/>
                <w:szCs w:val="24"/>
              </w:rPr>
              <w:t>量</w:t>
            </w:r>
          </w:p>
          <w:p>
            <w:pPr>
              <w:pStyle w:val="83"/>
              <w:topLinePunct w:val="0"/>
              <w:autoSpaceDE/>
              <w:autoSpaceDN/>
              <w:adjustRightInd/>
              <w:spacing w:before="120" w:line="300" w:lineRule="auto"/>
              <w:textAlignment w:val="auto"/>
              <w:rPr>
                <w:rFonts w:ascii="Times New Roman" w:hAnsi="Times New Roman"/>
                <w:color w:val="auto"/>
                <w:kern w:val="0"/>
                <w:sz w:val="24"/>
                <w:szCs w:val="24"/>
              </w:rPr>
            </w:pPr>
            <w:r>
              <w:rPr>
                <w:rFonts w:ascii="Times New Roman" w:hAnsi="Times New Roman"/>
                <w:color w:val="auto"/>
                <w:kern w:val="0"/>
                <w:sz w:val="24"/>
                <w:szCs w:val="24"/>
              </w:rPr>
              <w:t>控</w:t>
            </w:r>
          </w:p>
          <w:p>
            <w:pPr>
              <w:pStyle w:val="83"/>
              <w:topLinePunct w:val="0"/>
              <w:autoSpaceDE/>
              <w:autoSpaceDN/>
              <w:adjustRightInd/>
              <w:spacing w:before="120" w:line="300" w:lineRule="auto"/>
              <w:textAlignment w:val="auto"/>
              <w:rPr>
                <w:rFonts w:ascii="Times New Roman" w:hAnsi="Times New Roman"/>
                <w:color w:val="auto"/>
                <w:kern w:val="0"/>
                <w:sz w:val="24"/>
                <w:szCs w:val="24"/>
              </w:rPr>
            </w:pPr>
            <w:r>
              <w:rPr>
                <w:rFonts w:ascii="Times New Roman" w:hAnsi="Times New Roman"/>
                <w:color w:val="auto"/>
                <w:kern w:val="0"/>
                <w:sz w:val="24"/>
                <w:szCs w:val="24"/>
              </w:rPr>
              <w:t>制</w:t>
            </w:r>
          </w:p>
          <w:p>
            <w:pPr>
              <w:pStyle w:val="83"/>
              <w:topLinePunct w:val="0"/>
              <w:autoSpaceDE/>
              <w:autoSpaceDN/>
              <w:adjustRightInd/>
              <w:spacing w:before="120" w:line="300" w:lineRule="auto"/>
              <w:textAlignment w:val="auto"/>
              <w:rPr>
                <w:rFonts w:ascii="Times New Roman" w:hAnsi="Times New Roman"/>
                <w:color w:val="auto"/>
                <w:kern w:val="0"/>
                <w:sz w:val="24"/>
                <w:szCs w:val="24"/>
              </w:rPr>
            </w:pPr>
            <w:r>
              <w:rPr>
                <w:rFonts w:ascii="Times New Roman" w:hAnsi="Times New Roman"/>
                <w:color w:val="auto"/>
                <w:kern w:val="0"/>
                <w:sz w:val="24"/>
                <w:szCs w:val="24"/>
              </w:rPr>
              <w:t>标</w:t>
            </w:r>
          </w:p>
          <w:p>
            <w:pPr>
              <w:pStyle w:val="83"/>
              <w:topLinePunct w:val="0"/>
              <w:autoSpaceDE/>
              <w:autoSpaceDN/>
              <w:adjustRightInd/>
              <w:spacing w:before="120" w:line="300" w:lineRule="auto"/>
              <w:textAlignment w:val="auto"/>
              <w:rPr>
                <w:rFonts w:ascii="Times New Roman" w:hAnsi="Times New Roman"/>
                <w:color w:val="auto"/>
              </w:rPr>
            </w:pPr>
            <w:r>
              <w:rPr>
                <w:rFonts w:ascii="Times New Roman" w:hAnsi="Times New Roman"/>
                <w:color w:val="auto"/>
                <w:kern w:val="0"/>
                <w:sz w:val="24"/>
                <w:szCs w:val="24"/>
              </w:rPr>
              <w:t>准</w:t>
            </w:r>
          </w:p>
        </w:tc>
        <w:tc>
          <w:tcPr>
            <w:tcW w:w="8580" w:type="dxa"/>
            <w:tcBorders>
              <w:bottom w:val="single" w:color="000000" w:sz="6" w:space="0"/>
            </w:tcBorders>
          </w:tcPr>
          <w:p>
            <w:pPr>
              <w:adjustRightInd w:val="0"/>
              <w:snapToGrid w:val="0"/>
              <w:spacing w:line="360" w:lineRule="auto"/>
              <w:ind w:firstLine="480" w:firstLineChars="200"/>
              <w:rPr>
                <w:color w:val="auto"/>
                <w:sz w:val="24"/>
              </w:rPr>
            </w:pPr>
          </w:p>
          <w:p>
            <w:pPr>
              <w:adjustRightInd w:val="0"/>
              <w:snapToGrid w:val="0"/>
              <w:spacing w:line="360" w:lineRule="auto"/>
              <w:ind w:firstLine="480" w:firstLineChars="200"/>
              <w:rPr>
                <w:color w:val="auto"/>
                <w:sz w:val="24"/>
              </w:rPr>
            </w:pPr>
          </w:p>
          <w:p>
            <w:pPr>
              <w:adjustRightInd w:val="0"/>
              <w:snapToGrid w:val="0"/>
              <w:spacing w:line="360" w:lineRule="auto"/>
              <w:ind w:firstLine="480" w:firstLineChars="200"/>
              <w:rPr>
                <w:color w:val="auto"/>
                <w:sz w:val="24"/>
              </w:rPr>
            </w:pPr>
          </w:p>
          <w:p>
            <w:pPr>
              <w:widowControl/>
              <w:snapToGrid w:val="0"/>
              <w:spacing w:line="360" w:lineRule="auto"/>
              <w:ind w:firstLine="480" w:firstLineChars="200"/>
              <w:rPr>
                <w:color w:val="auto"/>
                <w:sz w:val="24"/>
              </w:rPr>
            </w:pPr>
            <w:r>
              <w:rPr>
                <w:rFonts w:hint="eastAsia" w:ascii="宋体" w:hAnsi="宋体" w:cs="宋体"/>
                <w:color w:val="auto"/>
                <w:sz w:val="24"/>
              </w:rPr>
              <w:t>本项目属于加压泵站和市政供水管网建设工程</w:t>
            </w:r>
            <w:r>
              <w:rPr>
                <w:rFonts w:hint="eastAsia" w:ascii="宋体" w:hAnsi="宋体" w:cs="宋体"/>
                <w:color w:val="auto"/>
                <w:spacing w:val="-38"/>
                <w:sz w:val="24"/>
              </w:rPr>
              <w:t>，</w:t>
            </w:r>
            <w:r>
              <w:rPr>
                <w:rFonts w:hint="eastAsia" w:ascii="宋体" w:hAnsi="宋体" w:cs="宋体"/>
                <w:color w:val="auto"/>
                <w:sz w:val="24"/>
              </w:rPr>
              <w:t>主要的环境影响发生在施工期阶段</w:t>
            </w:r>
            <w:r>
              <w:rPr>
                <w:rFonts w:hint="eastAsia" w:ascii="宋体" w:hAnsi="宋体" w:cs="宋体"/>
                <w:color w:val="auto"/>
                <w:spacing w:val="-40"/>
                <w:sz w:val="24"/>
              </w:rPr>
              <w:t>，</w:t>
            </w:r>
            <w:r>
              <w:rPr>
                <w:rFonts w:hint="eastAsia" w:ascii="宋体" w:hAnsi="宋体" w:cs="宋体"/>
                <w:color w:val="auto"/>
                <w:sz w:val="24"/>
              </w:rPr>
              <w:t>营运期基本没有污染物产生，因此本项目不分配总量指标。</w:t>
            </w:r>
          </w:p>
          <w:p>
            <w:pPr>
              <w:adjustRightInd w:val="0"/>
              <w:snapToGrid w:val="0"/>
              <w:spacing w:line="360" w:lineRule="auto"/>
              <w:ind w:firstLine="480" w:firstLineChars="200"/>
              <w:rPr>
                <w:color w:val="auto"/>
                <w:sz w:val="24"/>
              </w:rPr>
            </w:pPr>
          </w:p>
        </w:tc>
      </w:tr>
    </w:tbl>
    <w:p>
      <w:pPr>
        <w:spacing w:line="300" w:lineRule="auto"/>
        <w:rPr>
          <w:rFonts w:eastAsia="黑体"/>
          <w:color w:val="auto"/>
          <w:sz w:val="30"/>
        </w:rPr>
      </w:pPr>
    </w:p>
    <w:p>
      <w:pPr>
        <w:spacing w:line="300" w:lineRule="auto"/>
        <w:rPr>
          <w:rFonts w:eastAsia="黑体"/>
          <w:color w:val="auto"/>
          <w:sz w:val="30"/>
        </w:rPr>
      </w:pPr>
      <w:r>
        <w:rPr>
          <w:rFonts w:eastAsia="黑体"/>
          <w:color w:val="auto"/>
          <w:sz w:val="30"/>
        </w:rPr>
        <w:t>建设项目工程分析</w:t>
      </w:r>
    </w:p>
    <w:tbl>
      <w:tblPr>
        <w:tblStyle w:val="33"/>
        <w:tblW w:w="9348"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9348"/>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13593" w:hRule="atLeast"/>
          <w:jc w:val="center"/>
        </w:trPr>
        <w:tc>
          <w:tcPr>
            <w:tcW w:w="9348" w:type="dxa"/>
            <w:tcBorders>
              <w:bottom w:val="single" w:color="auto" w:sz="4" w:space="0"/>
            </w:tcBorders>
          </w:tcPr>
          <w:p>
            <w:pPr>
              <w:pStyle w:val="103"/>
              <w:autoSpaceDE/>
              <w:autoSpaceDN/>
              <w:snapToGrid w:val="0"/>
              <w:spacing w:line="360" w:lineRule="auto"/>
              <w:ind w:firstLine="482" w:firstLineChars="200"/>
              <w:textAlignment w:val="auto"/>
              <w:rPr>
                <w:rFonts w:eastAsia="宋体"/>
                <w:b/>
                <w:color w:val="auto"/>
                <w:kern w:val="2"/>
                <w:szCs w:val="24"/>
              </w:rPr>
            </w:pPr>
            <w:r>
              <w:rPr>
                <w:rFonts w:hint="eastAsia" w:eastAsia="宋体"/>
                <w:b/>
                <w:color w:val="auto"/>
                <w:kern w:val="2"/>
                <w:szCs w:val="24"/>
              </w:rPr>
              <w:t>一、施工</w:t>
            </w:r>
            <w:r>
              <w:rPr>
                <w:rFonts w:eastAsia="宋体"/>
                <w:b/>
                <w:color w:val="auto"/>
                <w:kern w:val="2"/>
                <w:szCs w:val="24"/>
              </w:rPr>
              <w:t>期工艺流程简述</w:t>
            </w:r>
          </w:p>
          <w:p>
            <w:pPr>
              <w:widowControl/>
              <w:spacing w:line="360" w:lineRule="auto"/>
              <w:ind w:firstLine="482" w:firstLineChars="200"/>
              <w:jc w:val="center"/>
              <w:rPr>
                <w:color w:val="auto"/>
              </w:rPr>
            </w:pPr>
            <w:r>
              <w:rPr>
                <w:b/>
                <w:color w:val="auto"/>
                <w:sz w:val="24"/>
              </w:rPr>
              <w:drawing>
                <wp:inline distT="0" distB="0" distL="0" distR="0">
                  <wp:extent cx="4793615" cy="1709420"/>
                  <wp:effectExtent l="0" t="0" r="0" b="0"/>
                  <wp:docPr id="7" name="图片 7" descr="QQ截图20180618015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QQ截图2018061801533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4828855" cy="1722089"/>
                          </a:xfrm>
                          <a:prstGeom prst="rect">
                            <a:avLst/>
                          </a:prstGeom>
                          <a:noFill/>
                          <a:ln>
                            <a:noFill/>
                          </a:ln>
                        </pic:spPr>
                      </pic:pic>
                    </a:graphicData>
                  </a:graphic>
                </wp:inline>
              </w:drawing>
            </w:r>
          </w:p>
          <w:p>
            <w:pPr>
              <w:widowControl/>
              <w:spacing w:line="360" w:lineRule="auto"/>
              <w:jc w:val="center"/>
              <w:rPr>
                <w:b/>
                <w:color w:val="auto"/>
                <w:kern w:val="0"/>
                <w:sz w:val="24"/>
              </w:rPr>
            </w:pPr>
            <w:r>
              <w:rPr>
                <w:rFonts w:hint="eastAsia"/>
                <w:b/>
                <w:color w:val="auto"/>
                <w:sz w:val="24"/>
              </w:rPr>
              <w:t>图</w:t>
            </w:r>
            <w:r>
              <w:rPr>
                <w:b/>
                <w:color w:val="auto"/>
                <w:sz w:val="24"/>
              </w:rPr>
              <w:t>3</w:t>
            </w:r>
            <w:r>
              <w:rPr>
                <w:rFonts w:hint="eastAsia"/>
                <w:b/>
                <w:color w:val="auto"/>
                <w:sz w:val="24"/>
              </w:rPr>
              <w:t xml:space="preserve"> 施工期工艺流程图</w:t>
            </w:r>
          </w:p>
          <w:p>
            <w:pPr>
              <w:spacing w:line="360" w:lineRule="auto"/>
              <w:ind w:firstLine="482" w:firstLineChars="200"/>
              <w:rPr>
                <w:color w:val="auto"/>
                <w:sz w:val="24"/>
              </w:rPr>
            </w:pPr>
            <w:r>
              <w:rPr>
                <w:rFonts w:hint="eastAsia"/>
                <w:b/>
                <w:color w:val="auto"/>
                <w:sz w:val="24"/>
              </w:rPr>
              <w:t>施工期工艺流程说明：</w:t>
            </w:r>
            <w:r>
              <w:rPr>
                <w:rFonts w:hint="eastAsia"/>
                <w:color w:val="auto"/>
                <w:sz w:val="24"/>
              </w:rPr>
              <w:t>项目施工先进行泵站场地平整施工，包括推土、挖土、填土，平整后进行打桩和添基，然后进行泵房主体工程施工，主要为项目主体结构施工，混凝土浇注等；项目主体建成后再进行泵房装修和各种设备安装，安装完调试正常后即可投入运营。</w:t>
            </w:r>
          </w:p>
          <w:p>
            <w:pPr>
              <w:spacing w:line="360" w:lineRule="auto"/>
              <w:jc w:val="center"/>
              <w:rPr>
                <w:color w:val="auto"/>
                <w:sz w:val="24"/>
              </w:rPr>
            </w:pPr>
            <w:r>
              <w:rPr>
                <w:rFonts w:ascii="宋体" w:hAnsi="宋体" w:cs="宋体"/>
                <w:color w:val="auto"/>
                <w:kern w:val="0"/>
                <w:sz w:val="24"/>
              </w:rPr>
              <w:drawing>
                <wp:inline distT="0" distB="0" distL="0" distR="0">
                  <wp:extent cx="4876800" cy="2279015"/>
                  <wp:effectExtent l="0" t="0" r="0" b="0"/>
                  <wp:docPr id="6" name="图片 6" descr="snip_2019070617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snip_2019070617434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4885773" cy="2283208"/>
                          </a:xfrm>
                          <a:prstGeom prst="rect">
                            <a:avLst/>
                          </a:prstGeom>
                          <a:noFill/>
                        </pic:spPr>
                      </pic:pic>
                    </a:graphicData>
                  </a:graphic>
                </wp:inline>
              </w:drawing>
            </w:r>
          </w:p>
          <w:p>
            <w:pPr>
              <w:widowControl/>
              <w:spacing w:line="360" w:lineRule="auto"/>
              <w:jc w:val="center"/>
              <w:rPr>
                <w:b/>
                <w:color w:val="auto"/>
                <w:kern w:val="0"/>
                <w:sz w:val="24"/>
              </w:rPr>
            </w:pPr>
            <w:r>
              <w:rPr>
                <w:rFonts w:hint="eastAsia"/>
                <w:b/>
                <w:color w:val="auto"/>
                <w:sz w:val="24"/>
              </w:rPr>
              <w:t>图</w:t>
            </w:r>
            <w:r>
              <w:rPr>
                <w:b/>
                <w:color w:val="auto"/>
                <w:sz w:val="24"/>
              </w:rPr>
              <w:t>4</w:t>
            </w:r>
            <w:r>
              <w:rPr>
                <w:rFonts w:hint="eastAsia"/>
                <w:b/>
                <w:color w:val="auto"/>
                <w:sz w:val="24"/>
              </w:rPr>
              <w:t xml:space="preserve"> </w:t>
            </w:r>
            <w:r>
              <w:rPr>
                <w:rFonts w:hint="eastAsia"/>
                <w:b/>
                <w:bCs/>
                <w:color w:val="auto"/>
                <w:sz w:val="24"/>
              </w:rPr>
              <w:t>管道敷设施工工艺流程</w:t>
            </w:r>
            <w:r>
              <w:rPr>
                <w:rFonts w:hint="eastAsia"/>
                <w:b/>
                <w:color w:val="auto"/>
                <w:sz w:val="24"/>
              </w:rPr>
              <w:t>图</w:t>
            </w:r>
          </w:p>
          <w:p>
            <w:pPr>
              <w:spacing w:line="360" w:lineRule="auto"/>
              <w:jc w:val="center"/>
              <w:rPr>
                <w:rFonts w:hint="eastAsia"/>
                <w:color w:val="auto"/>
                <w:sz w:val="24"/>
              </w:rPr>
            </w:pPr>
          </w:p>
          <w:p>
            <w:pPr>
              <w:adjustRightInd w:val="0"/>
              <w:snapToGrid w:val="0"/>
              <w:spacing w:line="360" w:lineRule="auto"/>
              <w:ind w:firstLine="482" w:firstLineChars="200"/>
              <w:rPr>
                <w:b/>
                <w:bCs/>
                <w:color w:val="auto"/>
                <w:sz w:val="24"/>
              </w:rPr>
            </w:pPr>
            <w:r>
              <w:rPr>
                <w:rFonts w:hint="eastAsia"/>
                <w:b/>
                <w:bCs/>
                <w:color w:val="auto"/>
                <w:sz w:val="24"/>
              </w:rPr>
              <w:t>管道敷设施工工艺流程说明：</w:t>
            </w:r>
          </w:p>
          <w:p>
            <w:pPr>
              <w:adjustRightInd w:val="0"/>
              <w:snapToGrid w:val="0"/>
              <w:spacing w:line="360" w:lineRule="auto"/>
              <w:ind w:firstLine="480" w:firstLineChars="200"/>
              <w:rPr>
                <w:color w:val="auto"/>
                <w:sz w:val="24"/>
              </w:rPr>
            </w:pPr>
            <w:r>
              <w:rPr>
                <w:color w:val="auto"/>
                <w:sz w:val="24"/>
              </w:rPr>
              <w:t>1</w:t>
            </w:r>
            <w:r>
              <w:rPr>
                <w:rFonts w:hint="eastAsia"/>
                <w:color w:val="auto"/>
                <w:sz w:val="24"/>
              </w:rPr>
              <w:t>、施工现场准备：根据现场的实际条件整理出存放给水管道的场地及便道，确保场地平整、坚固。给水管道施工位置主要为兴佛路、兴东路、东城路，开挖管沟全部为混凝土路面。根据现场用电，埋设施工现场临时用电管线。</w:t>
            </w:r>
          </w:p>
          <w:p>
            <w:pPr>
              <w:adjustRightInd w:val="0"/>
              <w:snapToGrid w:val="0"/>
              <w:spacing w:line="360" w:lineRule="auto"/>
              <w:ind w:firstLine="480" w:firstLineChars="200"/>
              <w:rPr>
                <w:color w:val="auto"/>
                <w:sz w:val="24"/>
              </w:rPr>
            </w:pPr>
            <w:r>
              <w:rPr>
                <w:color w:val="auto"/>
                <w:sz w:val="24"/>
              </w:rPr>
              <w:t>2</w:t>
            </w:r>
            <w:r>
              <w:rPr>
                <w:rFonts w:hint="eastAsia"/>
                <w:color w:val="auto"/>
                <w:sz w:val="24"/>
              </w:rPr>
              <w:t>、测量放线：采用合格的测量仪器进行测量放线。</w:t>
            </w:r>
            <w:r>
              <w:rPr>
                <w:color w:val="auto"/>
                <w:sz w:val="24"/>
              </w:rPr>
              <w:t xml:space="preserve"> </w:t>
            </w:r>
          </w:p>
          <w:p>
            <w:pPr>
              <w:adjustRightInd w:val="0"/>
              <w:snapToGrid w:val="0"/>
              <w:spacing w:line="360" w:lineRule="auto"/>
              <w:ind w:firstLine="480" w:firstLineChars="200"/>
              <w:rPr>
                <w:color w:val="auto"/>
                <w:sz w:val="24"/>
              </w:rPr>
            </w:pPr>
            <w:r>
              <w:rPr>
                <w:color w:val="auto"/>
                <w:sz w:val="24"/>
              </w:rPr>
              <w:t>3</w:t>
            </w:r>
            <w:r>
              <w:rPr>
                <w:rFonts w:hint="eastAsia"/>
                <w:color w:val="auto"/>
                <w:sz w:val="24"/>
              </w:rPr>
              <w:t>、材料的验收：在管材、管件运输到现场后进行验收，检查管材、外表面及接口是否符合质量要求，所有进场的管道、阀件等材料必须有与批量批号相符的出厂合格证、产品说明书、质量检验证。不得采用有任何损坏迹象的管道。</w:t>
            </w:r>
            <w:r>
              <w:rPr>
                <w:color w:val="auto"/>
                <w:sz w:val="24"/>
              </w:rPr>
              <w:t xml:space="preserve"> </w:t>
            </w:r>
          </w:p>
          <w:p>
            <w:pPr>
              <w:adjustRightInd w:val="0"/>
              <w:snapToGrid w:val="0"/>
              <w:spacing w:line="360" w:lineRule="auto"/>
              <w:ind w:firstLine="480" w:firstLineChars="200"/>
              <w:rPr>
                <w:color w:val="auto"/>
                <w:sz w:val="24"/>
              </w:rPr>
            </w:pPr>
            <w:r>
              <w:rPr>
                <w:color w:val="auto"/>
                <w:sz w:val="24"/>
              </w:rPr>
              <w:t>4</w:t>
            </w:r>
            <w:r>
              <w:rPr>
                <w:rFonts w:hint="eastAsia"/>
                <w:color w:val="auto"/>
                <w:sz w:val="24"/>
              </w:rPr>
              <w:t>、沟槽开挖：本项目沟槽开挖、管道安装、沟槽回填全部采用机械施工，辅以人工配合作业。沟槽开挖方法采用端部开挖法与侧边开挖法相结合，分段开挖、流水作业。</w:t>
            </w:r>
          </w:p>
          <w:p>
            <w:pPr>
              <w:adjustRightInd w:val="0"/>
              <w:snapToGrid w:val="0"/>
              <w:spacing w:line="360" w:lineRule="auto"/>
              <w:ind w:firstLine="480" w:firstLineChars="200"/>
              <w:rPr>
                <w:color w:val="auto"/>
                <w:sz w:val="24"/>
              </w:rPr>
            </w:pPr>
            <w:r>
              <w:rPr>
                <w:color w:val="auto"/>
                <w:sz w:val="24"/>
              </w:rPr>
              <w:t>5</w:t>
            </w:r>
            <w:r>
              <w:rPr>
                <w:rFonts w:hint="eastAsia"/>
                <w:color w:val="auto"/>
                <w:sz w:val="24"/>
              </w:rPr>
              <w:t>、管道敷设：供水管道采用</w:t>
            </w:r>
            <w:r>
              <w:rPr>
                <w:color w:val="auto"/>
                <w:sz w:val="24"/>
              </w:rPr>
              <w:t>PE</w:t>
            </w:r>
            <w:r>
              <w:rPr>
                <w:rFonts w:hint="eastAsia"/>
                <w:color w:val="auto"/>
                <w:sz w:val="24"/>
              </w:rPr>
              <w:t>塑料管，下管前再次检查确认沟槽底尺寸、高程、坡度、地基的基础质量等。单管或管段须平稳下沟，不得与沟壁或沟底碰撞，下管后对管膛认真清理，不允许有异物存在。给水管道与现状管道相交相接处，施工前应先复测现状管线位置及标高。安装后及时回填。</w:t>
            </w:r>
            <w:r>
              <w:rPr>
                <w:color w:val="auto"/>
                <w:sz w:val="24"/>
              </w:rPr>
              <w:t xml:space="preserve"> </w:t>
            </w:r>
          </w:p>
          <w:p>
            <w:pPr>
              <w:adjustRightInd w:val="0"/>
              <w:snapToGrid w:val="0"/>
              <w:spacing w:line="360" w:lineRule="auto"/>
              <w:ind w:firstLine="480" w:firstLineChars="200"/>
              <w:rPr>
                <w:color w:val="auto"/>
                <w:sz w:val="24"/>
              </w:rPr>
            </w:pPr>
            <w:r>
              <w:rPr>
                <w:color w:val="auto"/>
                <w:sz w:val="24"/>
              </w:rPr>
              <w:t>6</w:t>
            </w:r>
            <w:r>
              <w:rPr>
                <w:rFonts w:hint="eastAsia"/>
                <w:color w:val="auto"/>
                <w:sz w:val="24"/>
              </w:rPr>
              <w:t>、阀门安装：管道敷设后进行阀门安装。安装前核对阀门的型号及法兰的规格和数量，不得有裂纹、气孔、砂眼等缺陷，应在阀门关闭状态下安装，按介质流动方向确</w:t>
            </w:r>
            <w:r>
              <w:rPr>
                <w:color w:val="auto"/>
                <w:sz w:val="24"/>
              </w:rPr>
              <w:t xml:space="preserve"> </w:t>
            </w:r>
            <w:r>
              <w:rPr>
                <w:rFonts w:hint="eastAsia"/>
                <w:color w:val="auto"/>
                <w:sz w:val="24"/>
              </w:rPr>
              <w:t>定其安装方位。阀门安装应牢固、紧密、启闭灵活、与管道轴线垂直。</w:t>
            </w:r>
            <w:r>
              <w:rPr>
                <w:color w:val="auto"/>
                <w:sz w:val="24"/>
              </w:rPr>
              <w:t xml:space="preserve"> </w:t>
            </w:r>
          </w:p>
          <w:p>
            <w:pPr>
              <w:adjustRightInd w:val="0"/>
              <w:snapToGrid w:val="0"/>
              <w:spacing w:line="360" w:lineRule="auto"/>
              <w:ind w:firstLine="480" w:firstLineChars="200"/>
              <w:rPr>
                <w:color w:val="auto"/>
                <w:sz w:val="24"/>
              </w:rPr>
            </w:pPr>
            <w:r>
              <w:rPr>
                <w:color w:val="auto"/>
                <w:sz w:val="24"/>
              </w:rPr>
              <w:t>7</w:t>
            </w:r>
            <w:r>
              <w:rPr>
                <w:rFonts w:hint="eastAsia"/>
                <w:color w:val="auto"/>
                <w:sz w:val="24"/>
              </w:rPr>
              <w:t>、阀门井施工：本项目采用砖砌立式阀门井，各阀门井按照相关标准进行施工，注意砖砌时灰缝应饱满，抹灰均匀密实，预埋件位置准确，阀门与管道的连接应紧密牢</w:t>
            </w:r>
            <w:r>
              <w:rPr>
                <w:color w:val="auto"/>
                <w:sz w:val="24"/>
              </w:rPr>
              <w:t xml:space="preserve"> </w:t>
            </w:r>
            <w:r>
              <w:rPr>
                <w:rFonts w:hint="eastAsia"/>
                <w:color w:val="auto"/>
                <w:sz w:val="24"/>
              </w:rPr>
              <w:t>固。</w:t>
            </w:r>
            <w:r>
              <w:rPr>
                <w:color w:val="auto"/>
                <w:sz w:val="24"/>
              </w:rPr>
              <w:t xml:space="preserve"> </w:t>
            </w:r>
          </w:p>
          <w:p>
            <w:pPr>
              <w:adjustRightInd w:val="0"/>
              <w:snapToGrid w:val="0"/>
              <w:spacing w:line="360" w:lineRule="auto"/>
              <w:ind w:firstLine="480" w:firstLineChars="200"/>
              <w:rPr>
                <w:color w:val="auto"/>
                <w:sz w:val="24"/>
              </w:rPr>
            </w:pPr>
            <w:r>
              <w:rPr>
                <w:color w:val="auto"/>
                <w:sz w:val="24"/>
              </w:rPr>
              <w:t>8</w:t>
            </w:r>
            <w:r>
              <w:rPr>
                <w:rFonts w:hint="eastAsia"/>
                <w:color w:val="auto"/>
                <w:sz w:val="24"/>
              </w:rPr>
              <w:t>、管道试压：给水管道安装完毕后，须按照相关规范进行水压试验及严密性试验，</w:t>
            </w:r>
            <w:r>
              <w:rPr>
                <w:color w:val="auto"/>
                <w:sz w:val="24"/>
              </w:rPr>
              <w:t xml:space="preserve"> </w:t>
            </w:r>
            <w:r>
              <w:rPr>
                <w:rFonts w:hint="eastAsia"/>
                <w:color w:val="auto"/>
                <w:sz w:val="24"/>
              </w:rPr>
              <w:t>试验压力为</w:t>
            </w:r>
            <w:r>
              <w:rPr>
                <w:color w:val="auto"/>
                <w:sz w:val="24"/>
              </w:rPr>
              <w:t>1.0MPa</w:t>
            </w:r>
            <w:r>
              <w:rPr>
                <w:rFonts w:hint="eastAsia"/>
                <w:color w:val="auto"/>
                <w:sz w:val="24"/>
              </w:rPr>
              <w:t>。</w:t>
            </w:r>
            <w:r>
              <w:rPr>
                <w:color w:val="auto"/>
                <w:sz w:val="24"/>
              </w:rPr>
              <w:t xml:space="preserve"> </w:t>
            </w:r>
          </w:p>
          <w:p>
            <w:pPr>
              <w:adjustRightInd w:val="0"/>
              <w:snapToGrid w:val="0"/>
              <w:spacing w:line="360" w:lineRule="auto"/>
              <w:ind w:firstLine="480" w:firstLineChars="200"/>
              <w:rPr>
                <w:color w:val="auto"/>
                <w:sz w:val="24"/>
              </w:rPr>
            </w:pPr>
            <w:r>
              <w:rPr>
                <w:color w:val="auto"/>
                <w:sz w:val="24"/>
              </w:rPr>
              <w:t>9</w:t>
            </w:r>
            <w:r>
              <w:rPr>
                <w:rFonts w:hint="eastAsia"/>
                <w:color w:val="auto"/>
                <w:sz w:val="24"/>
              </w:rPr>
              <w:t>、清洗消毒：管道试压合格后，以不小于设计流量的冲洗流量对管道进行一次通水冲洗，当排出口的水色、透明度与入口处目测一致时停止。经冲洗后，采用含量不低</w:t>
            </w:r>
            <w:r>
              <w:rPr>
                <w:color w:val="auto"/>
                <w:sz w:val="24"/>
              </w:rPr>
              <w:t xml:space="preserve"> </w:t>
            </w:r>
            <w:r>
              <w:rPr>
                <w:rFonts w:hint="eastAsia"/>
                <w:color w:val="auto"/>
                <w:sz w:val="24"/>
              </w:rPr>
              <w:t>于</w:t>
            </w:r>
            <w:r>
              <w:rPr>
                <w:color w:val="auto"/>
                <w:sz w:val="24"/>
              </w:rPr>
              <w:t>20mg/L</w:t>
            </w:r>
            <w:r>
              <w:rPr>
                <w:rFonts w:hint="eastAsia"/>
                <w:color w:val="auto"/>
                <w:sz w:val="24"/>
              </w:rPr>
              <w:t>氯离子浓度的清洁水浸泡</w:t>
            </w:r>
            <w:r>
              <w:rPr>
                <w:color w:val="auto"/>
                <w:sz w:val="24"/>
              </w:rPr>
              <w:t>24h</w:t>
            </w:r>
            <w:r>
              <w:rPr>
                <w:rFonts w:hint="eastAsia"/>
                <w:color w:val="auto"/>
                <w:sz w:val="24"/>
              </w:rPr>
              <w:t>，再次冲洗，直至符合饮用水水质要求。</w:t>
            </w:r>
            <w:r>
              <w:rPr>
                <w:color w:val="auto"/>
                <w:sz w:val="24"/>
              </w:rPr>
              <w:t xml:space="preserve"> </w:t>
            </w:r>
          </w:p>
          <w:p>
            <w:pPr>
              <w:adjustRightInd w:val="0"/>
              <w:snapToGrid w:val="0"/>
              <w:spacing w:line="360" w:lineRule="auto"/>
              <w:ind w:firstLine="480" w:firstLineChars="200"/>
              <w:rPr>
                <w:color w:val="auto"/>
                <w:sz w:val="24"/>
              </w:rPr>
            </w:pPr>
            <w:r>
              <w:rPr>
                <w:color w:val="auto"/>
                <w:sz w:val="24"/>
              </w:rPr>
              <w:t>10</w:t>
            </w:r>
            <w:r>
              <w:rPr>
                <w:rFonts w:hint="eastAsia"/>
                <w:color w:val="auto"/>
                <w:sz w:val="24"/>
              </w:rPr>
              <w:t>、沟槽回填：水压试验完成后，验收合格方可回填土方。回填前要先排除积水，</w:t>
            </w:r>
            <w:r>
              <w:rPr>
                <w:color w:val="auto"/>
                <w:sz w:val="24"/>
              </w:rPr>
              <w:t xml:space="preserve"> </w:t>
            </w:r>
            <w:r>
              <w:rPr>
                <w:rFonts w:hint="eastAsia"/>
                <w:color w:val="auto"/>
                <w:sz w:val="24"/>
              </w:rPr>
              <w:t>车行道下管道以石粉渣回填至管顶</w:t>
            </w:r>
            <w:r>
              <w:rPr>
                <w:color w:val="auto"/>
                <w:sz w:val="24"/>
              </w:rPr>
              <w:t>50cm</w:t>
            </w:r>
            <w:r>
              <w:rPr>
                <w:rFonts w:hint="eastAsia"/>
                <w:color w:val="auto"/>
                <w:sz w:val="24"/>
              </w:rPr>
              <w:t>处以水罐实，再以素土回填至路面层，人行道及绿化带下的管道以素土回填，回填石管道两侧应同时进行，分层夯实。</w:t>
            </w:r>
          </w:p>
          <w:p>
            <w:pPr>
              <w:pStyle w:val="126"/>
              <w:ind w:left="420" w:leftChars="200"/>
              <w:rPr>
                <w:rFonts w:ascii="Times New Roman" w:hAnsi="Times New Roman" w:cs="Times New Roman"/>
                <w:color w:val="auto"/>
                <w:sz w:val="24"/>
              </w:rPr>
            </w:pPr>
            <w:r>
              <w:rPr>
                <w:rFonts w:ascii="Times New Roman" w:hAnsi="Times New Roman" w:cs="Times New Roman"/>
                <w:color w:val="auto"/>
                <w:spacing w:val="60"/>
                <w:sz w:val="24"/>
              </w:rPr>
              <w:t>表</w:t>
            </w:r>
            <w:r>
              <w:rPr>
                <w:rFonts w:ascii="Times New Roman" w:hAnsi="Times New Roman" w:cs="Times New Roman"/>
                <w:b w:val="0"/>
                <w:color w:val="auto"/>
                <w:sz w:val="24"/>
              </w:rPr>
              <w:t>13</w:t>
            </w:r>
            <w:r>
              <w:rPr>
                <w:rFonts w:ascii="Times New Roman" w:hAnsi="Times New Roman" w:cs="Times New Roman"/>
                <w:color w:val="auto"/>
                <w:spacing w:val="60"/>
                <w:sz w:val="24"/>
              </w:rPr>
              <w:t xml:space="preserve"> </w:t>
            </w:r>
            <w:r>
              <w:rPr>
                <w:rFonts w:ascii="Times New Roman" w:hAnsi="Times New Roman" w:cs="Times New Roman"/>
                <w:color w:val="auto"/>
                <w:sz w:val="24"/>
              </w:rPr>
              <w:t>污染物产生种类汇总</w:t>
            </w:r>
          </w:p>
          <w:tbl>
            <w:tblPr>
              <w:tblStyle w:val="3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93"/>
              <w:gridCol w:w="2993"/>
              <w:gridCol w:w="29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993" w:type="dxa"/>
                </w:tcPr>
                <w:p>
                  <w:pPr>
                    <w:pStyle w:val="126"/>
                    <w:rPr>
                      <w:rFonts w:hAnsi="宋体"/>
                      <w:b w:val="0"/>
                      <w:color w:val="auto"/>
                      <w:sz w:val="24"/>
                    </w:rPr>
                  </w:pPr>
                  <w:r>
                    <w:rPr>
                      <w:rFonts w:hint="eastAsia" w:hAnsi="宋体"/>
                      <w:b w:val="0"/>
                      <w:color w:val="auto"/>
                      <w:sz w:val="24"/>
                    </w:rPr>
                    <w:t>序号</w:t>
                  </w:r>
                </w:p>
              </w:tc>
              <w:tc>
                <w:tcPr>
                  <w:tcW w:w="2993" w:type="dxa"/>
                </w:tcPr>
                <w:p>
                  <w:pPr>
                    <w:ind w:right="-80" w:firstLine="930"/>
                    <w:rPr>
                      <w:rFonts w:ascii="宋体" w:hAnsi="宋体" w:cs="宋体"/>
                      <w:color w:val="auto"/>
                      <w:sz w:val="24"/>
                    </w:rPr>
                  </w:pPr>
                  <w:r>
                    <w:rPr>
                      <w:rFonts w:hint="eastAsia" w:ascii="宋体" w:hAnsi="宋体" w:cs="宋体"/>
                      <w:color w:val="auto"/>
                      <w:szCs w:val="21"/>
                    </w:rPr>
                    <w:t xml:space="preserve">产污环节 </w:t>
                  </w:r>
                </w:p>
              </w:tc>
              <w:tc>
                <w:tcPr>
                  <w:tcW w:w="2994" w:type="dxa"/>
                </w:tcPr>
                <w:p>
                  <w:pPr>
                    <w:ind w:right="-80"/>
                    <w:jc w:val="center"/>
                    <w:rPr>
                      <w:rFonts w:ascii="宋体" w:hAnsi="宋体" w:cs="宋体"/>
                      <w:color w:val="auto"/>
                      <w:sz w:val="24"/>
                    </w:rPr>
                  </w:pPr>
                  <w:r>
                    <w:rPr>
                      <w:rFonts w:hint="eastAsia" w:ascii="宋体" w:hAnsi="宋体" w:cs="宋体"/>
                      <w:color w:val="auto"/>
                      <w:szCs w:val="21"/>
                    </w:rPr>
                    <w:t>污染物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993" w:type="dxa"/>
                </w:tcPr>
                <w:p>
                  <w:pPr>
                    <w:pStyle w:val="126"/>
                    <w:rPr>
                      <w:rFonts w:hAnsi="宋体"/>
                      <w:b w:val="0"/>
                      <w:color w:val="auto"/>
                      <w:sz w:val="24"/>
                    </w:rPr>
                  </w:pPr>
                  <w:r>
                    <w:rPr>
                      <w:rFonts w:hint="eastAsia" w:hAnsi="宋体"/>
                      <w:b w:val="0"/>
                      <w:color w:val="auto"/>
                      <w:sz w:val="24"/>
                    </w:rPr>
                    <w:t>1</w:t>
                  </w:r>
                </w:p>
              </w:tc>
              <w:tc>
                <w:tcPr>
                  <w:tcW w:w="2993" w:type="dxa"/>
                </w:tcPr>
                <w:p>
                  <w:pPr>
                    <w:ind w:right="-80" w:firstLine="930"/>
                    <w:rPr>
                      <w:rFonts w:ascii="宋体" w:hAnsi="宋体" w:cs="宋体"/>
                      <w:color w:val="auto"/>
                      <w:sz w:val="24"/>
                    </w:rPr>
                  </w:pPr>
                  <w:r>
                    <w:rPr>
                      <w:rFonts w:ascii="宋体" w:hAnsi="宋体" w:cs="宋体"/>
                      <w:color w:val="auto"/>
                      <w:szCs w:val="21"/>
                    </w:rPr>
                    <w:t>施工准备</w:t>
                  </w:r>
                  <w:r>
                    <w:rPr>
                      <w:color w:val="auto"/>
                      <w:szCs w:val="21"/>
                    </w:rPr>
                    <w:t xml:space="preserve"> </w:t>
                  </w:r>
                </w:p>
              </w:tc>
              <w:tc>
                <w:tcPr>
                  <w:tcW w:w="2994" w:type="dxa"/>
                  <w:vMerge w:val="restart"/>
                </w:tcPr>
                <w:p>
                  <w:pPr>
                    <w:ind w:right="-80"/>
                    <w:jc w:val="center"/>
                    <w:rPr>
                      <w:rFonts w:ascii="宋体" w:hAnsi="宋体" w:cs="宋体"/>
                      <w:color w:val="auto"/>
                      <w:szCs w:val="21"/>
                    </w:rPr>
                  </w:pPr>
                  <w:r>
                    <w:rPr>
                      <w:rFonts w:ascii="宋体" w:hAnsi="宋体" w:cs="宋体"/>
                      <w:color w:val="auto"/>
                      <w:szCs w:val="21"/>
                    </w:rPr>
                    <w:t xml:space="preserve">土壤扰动、扬尘、施工机械车辆尾气、噪声、 弃土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993" w:type="dxa"/>
                </w:tcPr>
                <w:p>
                  <w:pPr>
                    <w:pStyle w:val="126"/>
                    <w:rPr>
                      <w:rFonts w:hAnsi="宋体"/>
                      <w:b w:val="0"/>
                      <w:color w:val="auto"/>
                      <w:sz w:val="24"/>
                    </w:rPr>
                  </w:pPr>
                  <w:r>
                    <w:rPr>
                      <w:rFonts w:hint="eastAsia" w:hAnsi="宋体"/>
                      <w:b w:val="0"/>
                      <w:color w:val="auto"/>
                      <w:sz w:val="24"/>
                    </w:rPr>
                    <w:t>2</w:t>
                  </w:r>
                </w:p>
              </w:tc>
              <w:tc>
                <w:tcPr>
                  <w:tcW w:w="2993" w:type="dxa"/>
                </w:tcPr>
                <w:p>
                  <w:pPr>
                    <w:ind w:right="-80" w:firstLine="930"/>
                    <w:rPr>
                      <w:rFonts w:ascii="宋体" w:hAnsi="宋体" w:cs="宋体"/>
                      <w:color w:val="auto"/>
                      <w:sz w:val="24"/>
                    </w:rPr>
                  </w:pPr>
                  <w:r>
                    <w:rPr>
                      <w:rFonts w:ascii="宋体" w:hAnsi="宋体" w:cs="宋体"/>
                      <w:color w:val="auto"/>
                      <w:position w:val="-1"/>
                      <w:szCs w:val="21"/>
                    </w:rPr>
                    <w:t>沟槽开挖</w:t>
                  </w:r>
                  <w:r>
                    <w:rPr>
                      <w:color w:val="auto"/>
                      <w:szCs w:val="21"/>
                    </w:rPr>
                    <w:t xml:space="preserve"> </w:t>
                  </w:r>
                </w:p>
              </w:tc>
              <w:tc>
                <w:tcPr>
                  <w:tcW w:w="2994" w:type="dxa"/>
                  <w:vMerge w:val="continue"/>
                </w:tcPr>
                <w:p>
                  <w:pPr>
                    <w:ind w:right="-80"/>
                    <w:jc w:val="center"/>
                    <w:rPr>
                      <w:rFonts w:ascii="宋体" w:hAnsi="宋体" w:cs="宋体"/>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993" w:type="dxa"/>
                </w:tcPr>
                <w:p>
                  <w:pPr>
                    <w:pStyle w:val="126"/>
                    <w:rPr>
                      <w:rFonts w:hAnsi="宋体"/>
                      <w:b w:val="0"/>
                      <w:color w:val="auto"/>
                      <w:sz w:val="24"/>
                    </w:rPr>
                  </w:pPr>
                  <w:r>
                    <w:rPr>
                      <w:rFonts w:hint="eastAsia" w:hAnsi="宋体"/>
                      <w:b w:val="0"/>
                      <w:color w:val="auto"/>
                      <w:sz w:val="24"/>
                    </w:rPr>
                    <w:t>3</w:t>
                  </w:r>
                </w:p>
              </w:tc>
              <w:tc>
                <w:tcPr>
                  <w:tcW w:w="2993" w:type="dxa"/>
                </w:tcPr>
                <w:p>
                  <w:pPr>
                    <w:ind w:right="-80" w:firstLine="616"/>
                    <w:rPr>
                      <w:rFonts w:ascii="宋体" w:hAnsi="宋体" w:cs="宋体"/>
                      <w:color w:val="auto"/>
                      <w:sz w:val="24"/>
                    </w:rPr>
                  </w:pPr>
                  <w:r>
                    <w:rPr>
                      <w:rFonts w:ascii="宋体" w:hAnsi="宋体" w:cs="宋体"/>
                      <w:color w:val="auto"/>
                      <w:szCs w:val="21"/>
                    </w:rPr>
                    <w:t>管道敷设、安装</w:t>
                  </w:r>
                  <w:r>
                    <w:rPr>
                      <w:color w:val="auto"/>
                      <w:szCs w:val="21"/>
                    </w:rPr>
                    <w:t xml:space="preserve"> </w:t>
                  </w:r>
                </w:p>
              </w:tc>
              <w:tc>
                <w:tcPr>
                  <w:tcW w:w="2994" w:type="dxa"/>
                </w:tcPr>
                <w:p>
                  <w:pPr>
                    <w:ind w:right="-80"/>
                    <w:jc w:val="center"/>
                    <w:rPr>
                      <w:rFonts w:ascii="宋体" w:hAnsi="宋体" w:cs="宋体"/>
                      <w:color w:val="auto"/>
                      <w:szCs w:val="21"/>
                    </w:rPr>
                  </w:pPr>
                  <w:r>
                    <w:rPr>
                      <w:rFonts w:ascii="宋体" w:hAnsi="宋体" w:cs="宋体"/>
                      <w:color w:val="auto"/>
                      <w:szCs w:val="21"/>
                    </w:rPr>
                    <w:t xml:space="preserve">扬尘、噪声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93" w:type="dxa"/>
                </w:tcPr>
                <w:p>
                  <w:pPr>
                    <w:pStyle w:val="126"/>
                    <w:rPr>
                      <w:rFonts w:hAnsi="宋体"/>
                      <w:b w:val="0"/>
                      <w:color w:val="auto"/>
                      <w:sz w:val="24"/>
                    </w:rPr>
                  </w:pPr>
                  <w:r>
                    <w:rPr>
                      <w:rFonts w:hint="eastAsia" w:hAnsi="宋体"/>
                      <w:b w:val="0"/>
                      <w:color w:val="auto"/>
                      <w:sz w:val="24"/>
                    </w:rPr>
                    <w:t>4</w:t>
                  </w:r>
                </w:p>
              </w:tc>
              <w:tc>
                <w:tcPr>
                  <w:tcW w:w="2993" w:type="dxa"/>
                </w:tcPr>
                <w:p>
                  <w:pPr>
                    <w:ind w:right="-80" w:firstLine="930"/>
                    <w:rPr>
                      <w:rFonts w:ascii="宋体" w:hAnsi="宋体" w:cs="宋体"/>
                      <w:color w:val="auto"/>
                      <w:sz w:val="24"/>
                    </w:rPr>
                  </w:pPr>
                  <w:r>
                    <w:rPr>
                      <w:rFonts w:ascii="宋体" w:hAnsi="宋体" w:cs="宋体"/>
                      <w:color w:val="auto"/>
                      <w:szCs w:val="21"/>
                    </w:rPr>
                    <w:t>沟槽回填</w:t>
                  </w:r>
                  <w:r>
                    <w:rPr>
                      <w:color w:val="auto"/>
                      <w:szCs w:val="21"/>
                    </w:rPr>
                    <w:t xml:space="preserve"> </w:t>
                  </w:r>
                </w:p>
              </w:tc>
              <w:tc>
                <w:tcPr>
                  <w:tcW w:w="2994" w:type="dxa"/>
                </w:tcPr>
                <w:p>
                  <w:pPr>
                    <w:ind w:right="-80"/>
                    <w:jc w:val="center"/>
                    <w:rPr>
                      <w:rFonts w:ascii="宋体" w:hAnsi="宋体" w:cs="宋体"/>
                      <w:color w:val="auto"/>
                      <w:szCs w:val="21"/>
                    </w:rPr>
                  </w:pPr>
                  <w:r>
                    <w:rPr>
                      <w:rFonts w:ascii="宋体" w:hAnsi="宋体" w:cs="宋体"/>
                      <w:color w:val="auto"/>
                      <w:szCs w:val="21"/>
                    </w:rPr>
                    <w:t xml:space="preserve">扬尘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2993" w:type="dxa"/>
                </w:tcPr>
                <w:p>
                  <w:pPr>
                    <w:pStyle w:val="126"/>
                    <w:rPr>
                      <w:rFonts w:hAnsi="宋体"/>
                      <w:b w:val="0"/>
                      <w:color w:val="auto"/>
                      <w:sz w:val="24"/>
                    </w:rPr>
                  </w:pPr>
                  <w:r>
                    <w:rPr>
                      <w:rFonts w:hint="eastAsia" w:hAnsi="宋体"/>
                      <w:b w:val="0"/>
                      <w:color w:val="auto"/>
                      <w:sz w:val="24"/>
                    </w:rPr>
                    <w:t>5</w:t>
                  </w:r>
                </w:p>
              </w:tc>
              <w:tc>
                <w:tcPr>
                  <w:tcW w:w="2993" w:type="dxa"/>
                </w:tcPr>
                <w:p>
                  <w:pPr>
                    <w:ind w:right="-80" w:firstLine="405"/>
                    <w:rPr>
                      <w:rFonts w:ascii="宋体" w:hAnsi="宋体" w:cs="宋体"/>
                      <w:color w:val="auto"/>
                      <w:sz w:val="24"/>
                    </w:rPr>
                  </w:pPr>
                  <w:r>
                    <w:rPr>
                      <w:rFonts w:ascii="宋体" w:hAnsi="宋体" w:cs="宋体"/>
                      <w:color w:val="auto"/>
                      <w:szCs w:val="21"/>
                    </w:rPr>
                    <w:t>管道试压、清洗消毒</w:t>
                  </w:r>
                  <w:r>
                    <w:rPr>
                      <w:color w:val="auto"/>
                      <w:szCs w:val="21"/>
                    </w:rPr>
                    <w:t xml:space="preserve"> </w:t>
                  </w:r>
                </w:p>
              </w:tc>
              <w:tc>
                <w:tcPr>
                  <w:tcW w:w="2994" w:type="dxa"/>
                </w:tcPr>
                <w:p>
                  <w:pPr>
                    <w:ind w:right="-80"/>
                    <w:jc w:val="center"/>
                    <w:rPr>
                      <w:rFonts w:ascii="宋体" w:hAnsi="宋体" w:cs="宋体"/>
                      <w:color w:val="auto"/>
                      <w:szCs w:val="21"/>
                    </w:rPr>
                  </w:pPr>
                  <w:r>
                    <w:rPr>
                      <w:rFonts w:ascii="宋体" w:hAnsi="宋体" w:cs="宋体"/>
                      <w:color w:val="auto"/>
                      <w:szCs w:val="21"/>
                    </w:rPr>
                    <w:t xml:space="preserve">废水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93" w:type="dxa"/>
                </w:tcPr>
                <w:p>
                  <w:pPr>
                    <w:pStyle w:val="126"/>
                    <w:rPr>
                      <w:rFonts w:hAnsi="宋体"/>
                      <w:b w:val="0"/>
                      <w:color w:val="auto"/>
                      <w:sz w:val="24"/>
                    </w:rPr>
                  </w:pPr>
                  <w:r>
                    <w:rPr>
                      <w:rFonts w:hint="eastAsia" w:hAnsi="宋体"/>
                      <w:b w:val="0"/>
                      <w:color w:val="auto"/>
                      <w:sz w:val="24"/>
                    </w:rPr>
                    <w:t>6</w:t>
                  </w:r>
                </w:p>
              </w:tc>
              <w:tc>
                <w:tcPr>
                  <w:tcW w:w="2993" w:type="dxa"/>
                </w:tcPr>
                <w:p>
                  <w:pPr>
                    <w:ind w:right="-80" w:firstLine="930"/>
                    <w:rPr>
                      <w:rFonts w:ascii="宋体" w:hAnsi="宋体" w:cs="宋体"/>
                      <w:color w:val="auto"/>
                      <w:sz w:val="24"/>
                    </w:rPr>
                  </w:pPr>
                  <w:r>
                    <w:rPr>
                      <w:rFonts w:ascii="宋体" w:hAnsi="宋体" w:cs="宋体"/>
                      <w:color w:val="auto"/>
                      <w:szCs w:val="21"/>
                    </w:rPr>
                    <w:t>施工人员</w:t>
                  </w:r>
                  <w:r>
                    <w:rPr>
                      <w:color w:val="auto"/>
                      <w:szCs w:val="21"/>
                    </w:rPr>
                    <w:t xml:space="preserve"> </w:t>
                  </w:r>
                </w:p>
              </w:tc>
              <w:tc>
                <w:tcPr>
                  <w:tcW w:w="2994" w:type="dxa"/>
                </w:tcPr>
                <w:p>
                  <w:pPr>
                    <w:ind w:right="-80"/>
                    <w:jc w:val="center"/>
                    <w:rPr>
                      <w:rFonts w:ascii="宋体" w:hAnsi="宋体" w:cs="宋体"/>
                      <w:color w:val="auto"/>
                      <w:szCs w:val="21"/>
                    </w:rPr>
                  </w:pPr>
                  <w:r>
                    <w:rPr>
                      <w:rFonts w:ascii="宋体" w:hAnsi="宋体" w:cs="宋体"/>
                      <w:color w:val="auto"/>
                      <w:szCs w:val="21"/>
                    </w:rPr>
                    <w:t xml:space="preserve">生活垃圾 </w:t>
                  </w:r>
                </w:p>
              </w:tc>
            </w:tr>
          </w:tbl>
          <w:p>
            <w:pPr>
              <w:pStyle w:val="87"/>
              <w:spacing w:after="0" w:line="360" w:lineRule="auto"/>
              <w:ind w:firstLine="482"/>
              <w:rPr>
                <w:b/>
                <w:bCs/>
                <w:color w:val="auto"/>
                <w:sz w:val="24"/>
              </w:rPr>
            </w:pPr>
            <w:r>
              <w:rPr>
                <w:b/>
                <w:bCs/>
                <w:color w:val="auto"/>
                <w:sz w:val="24"/>
              </w:rPr>
              <w:t>三、</w:t>
            </w:r>
            <w:r>
              <w:rPr>
                <w:rFonts w:hint="eastAsia"/>
                <w:b/>
                <w:bCs/>
                <w:color w:val="auto"/>
                <w:sz w:val="24"/>
              </w:rPr>
              <w:t>施工</w:t>
            </w:r>
            <w:r>
              <w:rPr>
                <w:b/>
                <w:bCs/>
                <w:color w:val="auto"/>
                <w:sz w:val="24"/>
              </w:rPr>
              <w:t>期主要污染</w:t>
            </w:r>
            <w:r>
              <w:rPr>
                <w:rFonts w:hint="eastAsia"/>
                <w:b/>
                <w:bCs/>
                <w:color w:val="auto"/>
                <w:sz w:val="24"/>
              </w:rPr>
              <w:t>工序</w:t>
            </w:r>
          </w:p>
          <w:p>
            <w:pPr>
              <w:spacing w:line="360" w:lineRule="auto"/>
              <w:ind w:firstLine="480" w:firstLineChars="200"/>
              <w:rPr>
                <w:bCs/>
                <w:color w:val="auto"/>
                <w:sz w:val="24"/>
                <w:szCs w:val="20"/>
              </w:rPr>
            </w:pPr>
            <w:r>
              <w:rPr>
                <w:rFonts w:hint="eastAsia"/>
                <w:bCs/>
                <w:color w:val="auto"/>
                <w:sz w:val="24"/>
                <w:szCs w:val="20"/>
              </w:rPr>
              <w:t xml:space="preserve">本项目施工期废水主要为管道试压、消毒废水，施工人员生活污水。 </w:t>
            </w:r>
          </w:p>
          <w:p>
            <w:pPr>
              <w:spacing w:line="360" w:lineRule="auto"/>
              <w:ind w:firstLine="480" w:firstLineChars="200"/>
              <w:rPr>
                <w:bCs/>
                <w:color w:val="auto"/>
                <w:sz w:val="24"/>
                <w:szCs w:val="20"/>
              </w:rPr>
            </w:pPr>
            <w:r>
              <w:rPr>
                <w:rFonts w:hint="eastAsia"/>
                <w:bCs/>
                <w:color w:val="auto"/>
                <w:sz w:val="24"/>
                <w:szCs w:val="20"/>
              </w:rPr>
              <w:t xml:space="preserve">（1）生活污水 </w:t>
            </w:r>
          </w:p>
          <w:p>
            <w:pPr>
              <w:spacing w:line="360" w:lineRule="auto"/>
              <w:ind w:firstLine="480" w:firstLineChars="200"/>
              <w:rPr>
                <w:bCs/>
                <w:color w:val="auto"/>
                <w:sz w:val="24"/>
                <w:szCs w:val="20"/>
              </w:rPr>
            </w:pPr>
            <w:r>
              <w:rPr>
                <w:rFonts w:hint="eastAsia"/>
                <w:bCs/>
                <w:color w:val="auto"/>
                <w:sz w:val="24"/>
                <w:szCs w:val="20"/>
              </w:rPr>
              <w:t>本项目施工人员约20人，施工人员均不在工地住宿，项目内不设食堂，生活用水量按</w:t>
            </w:r>
            <w:r>
              <w:rPr>
                <w:bCs/>
                <w:color w:val="auto"/>
                <w:sz w:val="24"/>
                <w:szCs w:val="20"/>
              </w:rPr>
              <w:t>4</w:t>
            </w:r>
            <w:r>
              <w:rPr>
                <w:rFonts w:hint="eastAsia"/>
                <w:bCs/>
                <w:color w:val="auto"/>
                <w:sz w:val="24"/>
                <w:szCs w:val="20"/>
              </w:rPr>
              <w:t>0L/d·人计，生活用水量约</w:t>
            </w:r>
            <w:r>
              <w:rPr>
                <w:bCs/>
                <w:color w:val="auto"/>
                <w:sz w:val="24"/>
                <w:szCs w:val="20"/>
              </w:rPr>
              <w:t>0.8</w:t>
            </w:r>
            <w:r>
              <w:rPr>
                <w:rFonts w:hint="eastAsia"/>
                <w:bCs/>
                <w:color w:val="auto"/>
                <w:sz w:val="24"/>
                <w:szCs w:val="20"/>
              </w:rPr>
              <w:t>m</w:t>
            </w:r>
            <w:r>
              <w:rPr>
                <w:rFonts w:hint="eastAsia"/>
                <w:bCs/>
                <w:color w:val="auto"/>
                <w:sz w:val="24"/>
                <w:szCs w:val="20"/>
                <w:vertAlign w:val="superscript"/>
              </w:rPr>
              <w:t>3</w:t>
            </w:r>
            <w:r>
              <w:rPr>
                <w:rFonts w:hint="eastAsia"/>
                <w:bCs/>
                <w:color w:val="auto"/>
                <w:sz w:val="24"/>
                <w:szCs w:val="20"/>
              </w:rPr>
              <w:t>/d。排污系数按90%计，则生活污水产生量约0.</w:t>
            </w:r>
            <w:r>
              <w:rPr>
                <w:bCs/>
                <w:color w:val="auto"/>
                <w:sz w:val="24"/>
                <w:szCs w:val="20"/>
              </w:rPr>
              <w:t>72</w:t>
            </w:r>
            <w:r>
              <w:rPr>
                <w:rFonts w:hint="eastAsia"/>
                <w:bCs/>
                <w:color w:val="auto"/>
                <w:sz w:val="24"/>
                <w:szCs w:val="20"/>
              </w:rPr>
              <w:t>m</w:t>
            </w:r>
            <w:r>
              <w:rPr>
                <w:rFonts w:hint="eastAsia"/>
                <w:bCs/>
                <w:color w:val="auto"/>
                <w:sz w:val="24"/>
                <w:szCs w:val="20"/>
                <w:vertAlign w:val="superscript"/>
              </w:rPr>
              <w:t>3</w:t>
            </w:r>
            <w:r>
              <w:rPr>
                <w:rFonts w:hint="eastAsia"/>
                <w:bCs/>
                <w:color w:val="auto"/>
                <w:sz w:val="24"/>
                <w:szCs w:val="20"/>
              </w:rPr>
              <w:t>/d，施工期生活污水合计产生量为</w:t>
            </w:r>
            <w:r>
              <w:rPr>
                <w:bCs/>
                <w:color w:val="auto"/>
                <w:sz w:val="24"/>
                <w:szCs w:val="20"/>
              </w:rPr>
              <w:t>324</w:t>
            </w:r>
            <w:r>
              <w:rPr>
                <w:rFonts w:hint="eastAsia"/>
                <w:bCs/>
                <w:color w:val="auto"/>
                <w:sz w:val="24"/>
                <w:szCs w:val="20"/>
              </w:rPr>
              <w:t>t（施工期</w:t>
            </w:r>
            <w:r>
              <w:rPr>
                <w:bCs/>
                <w:color w:val="auto"/>
                <w:sz w:val="24"/>
                <w:szCs w:val="20"/>
              </w:rPr>
              <w:t>15</w:t>
            </w:r>
            <w:r>
              <w:rPr>
                <w:rFonts w:hint="eastAsia"/>
                <w:bCs/>
                <w:color w:val="auto"/>
                <w:sz w:val="24"/>
                <w:szCs w:val="20"/>
              </w:rPr>
              <w:t>个月，</w:t>
            </w:r>
            <w:r>
              <w:rPr>
                <w:bCs/>
                <w:color w:val="auto"/>
                <w:sz w:val="24"/>
                <w:szCs w:val="20"/>
              </w:rPr>
              <w:t>45</w:t>
            </w:r>
            <w:r>
              <w:rPr>
                <w:rFonts w:hint="eastAsia"/>
                <w:bCs/>
                <w:color w:val="auto"/>
                <w:sz w:val="24"/>
                <w:szCs w:val="20"/>
              </w:rPr>
              <w:t>0天计）。主要污染因子为CODCr、SS、氨氮、BOD</w:t>
            </w:r>
            <w:r>
              <w:rPr>
                <w:rFonts w:hint="eastAsia"/>
                <w:bCs/>
                <w:color w:val="auto"/>
                <w:sz w:val="24"/>
                <w:szCs w:val="20"/>
                <w:vertAlign w:val="subscript"/>
              </w:rPr>
              <w:t>5</w:t>
            </w:r>
            <w:r>
              <w:rPr>
                <w:rFonts w:hint="eastAsia"/>
                <w:bCs/>
                <w:color w:val="auto"/>
                <w:sz w:val="24"/>
                <w:szCs w:val="20"/>
              </w:rPr>
              <w:t>等。项目地点位于城市建成区，周围社会依托条件较好，施工人员就近租用民房和辅助生活设施，员工生活污水依托附近的排水设施。</w:t>
            </w:r>
          </w:p>
          <w:p>
            <w:pPr>
              <w:spacing w:line="360" w:lineRule="auto"/>
              <w:ind w:firstLine="480" w:firstLineChars="200"/>
              <w:rPr>
                <w:bCs/>
                <w:color w:val="auto"/>
                <w:sz w:val="24"/>
                <w:szCs w:val="20"/>
              </w:rPr>
            </w:pPr>
            <w:r>
              <w:rPr>
                <w:rFonts w:hint="eastAsia"/>
                <w:bCs/>
                <w:color w:val="auto"/>
                <w:sz w:val="24"/>
                <w:szCs w:val="20"/>
              </w:rPr>
              <w:t>（2）大气污染</w:t>
            </w:r>
          </w:p>
          <w:p>
            <w:pPr>
              <w:spacing w:line="360" w:lineRule="auto"/>
              <w:ind w:firstLine="480" w:firstLineChars="200"/>
              <w:rPr>
                <w:bCs/>
                <w:color w:val="auto"/>
                <w:sz w:val="24"/>
                <w:szCs w:val="20"/>
              </w:rPr>
            </w:pPr>
            <w:r>
              <w:rPr>
                <w:rFonts w:hint="eastAsia"/>
                <w:bCs/>
                <w:color w:val="auto"/>
                <w:sz w:val="24"/>
                <w:szCs w:val="20"/>
              </w:rPr>
              <w:t>本项目主要建设内容为供水管道的铺设，施工期对环境空气影响最主要的是粉尘，机械设备废气、车辆尾气及焊接废气。</w:t>
            </w:r>
          </w:p>
          <w:p>
            <w:pPr>
              <w:spacing w:line="360" w:lineRule="auto"/>
              <w:ind w:firstLine="480" w:firstLineChars="200"/>
              <w:rPr>
                <w:bCs/>
                <w:color w:val="auto"/>
                <w:sz w:val="24"/>
                <w:szCs w:val="20"/>
              </w:rPr>
            </w:pPr>
            <w:r>
              <w:rPr>
                <w:rFonts w:hint="eastAsia"/>
                <w:bCs/>
                <w:color w:val="auto"/>
                <w:sz w:val="24"/>
                <w:szCs w:val="20"/>
              </w:rPr>
              <w:t>①施工机械燃烧尾气</w:t>
            </w:r>
          </w:p>
          <w:p>
            <w:pPr>
              <w:spacing w:line="360" w:lineRule="auto"/>
              <w:ind w:firstLine="480" w:firstLineChars="200"/>
              <w:rPr>
                <w:bCs/>
                <w:color w:val="auto"/>
                <w:sz w:val="24"/>
                <w:szCs w:val="20"/>
              </w:rPr>
            </w:pPr>
            <w:r>
              <w:rPr>
                <w:rFonts w:hint="eastAsia"/>
                <w:bCs/>
                <w:color w:val="auto"/>
                <w:sz w:val="24"/>
                <w:szCs w:val="20"/>
              </w:rPr>
              <w:t>施工过程中使用的施工机械，主要有小型挖掘机及运载车辆等。该类机械均以柴油为燃料，在运行过程中产生一定量的废气，废气中主要污染物为氮氧化物、烟尘、一氧化碳等，该部分废气难以定量，在此只进行定性分析。</w:t>
            </w:r>
          </w:p>
          <w:p>
            <w:pPr>
              <w:spacing w:line="360" w:lineRule="auto"/>
              <w:ind w:firstLine="480" w:firstLineChars="200"/>
              <w:rPr>
                <w:bCs/>
                <w:color w:val="auto"/>
                <w:sz w:val="24"/>
                <w:szCs w:val="20"/>
              </w:rPr>
            </w:pPr>
            <w:r>
              <w:rPr>
                <w:rFonts w:hint="eastAsia"/>
                <w:bCs/>
                <w:color w:val="auto"/>
                <w:sz w:val="24"/>
                <w:szCs w:val="20"/>
              </w:rPr>
              <w:t>②扬尘</w:t>
            </w:r>
          </w:p>
          <w:p>
            <w:pPr>
              <w:spacing w:line="360" w:lineRule="auto"/>
              <w:ind w:firstLine="480" w:firstLineChars="200"/>
              <w:rPr>
                <w:color w:val="auto"/>
                <w:sz w:val="24"/>
              </w:rPr>
            </w:pPr>
            <w:r>
              <w:rPr>
                <w:rFonts w:hint="eastAsia"/>
                <w:bCs/>
                <w:color w:val="auto"/>
                <w:sz w:val="24"/>
              </w:rPr>
              <w:t>干燥地表的开挖和钻孔产生的粉尘，一部分悬浮在空气中，另一部分随风飘落到附近地面和建筑物表明。在开挖泥土的工程中，在风力较大时，会产生粉尘扬起。由于露天堆放的建材（如黄沙、</w:t>
            </w:r>
            <w:r>
              <w:rPr>
                <w:rFonts w:hint="eastAsia"/>
                <w:bCs/>
                <w:color w:val="auto"/>
                <w:sz w:val="24"/>
                <w:szCs w:val="20"/>
              </w:rPr>
              <w:t>水泥</w:t>
            </w:r>
            <w:r>
              <w:rPr>
                <w:rFonts w:hint="eastAsia"/>
                <w:bCs/>
                <w:color w:val="auto"/>
                <w:sz w:val="24"/>
              </w:rPr>
              <w:t>等）及裸露的施工区表层浮尘由于天气干燥及大风，产生风力扬尘；在建材的装卸、搅拌的过程中，由于外力而产生的尘粒再悬浮而造成，</w:t>
            </w:r>
            <w:r>
              <w:rPr>
                <w:color w:val="auto"/>
                <w:sz w:val="24"/>
              </w:rPr>
              <w:t>其中施工及装卸车辆造成的扬尘最为严重。露天堆场和裸露场地的风力扬尘量可按堆放场起尘的经验公式计算：</w:t>
            </w:r>
          </w:p>
          <w:p>
            <w:pPr>
              <w:pStyle w:val="7"/>
              <w:spacing w:line="480" w:lineRule="exact"/>
              <w:ind w:firstLine="480"/>
              <w:rPr>
                <w:color w:val="auto"/>
                <w:sz w:val="24"/>
                <w:vertAlign w:val="superscript"/>
              </w:rPr>
            </w:pPr>
            <w:r>
              <w:rPr>
                <w:color w:val="auto"/>
                <w:sz w:val="24"/>
              </w:rPr>
              <w:t xml:space="preserve">  Q=2.1(V</w:t>
            </w:r>
            <w:r>
              <w:rPr>
                <w:color w:val="auto"/>
                <w:sz w:val="24"/>
                <w:vertAlign w:val="subscript"/>
              </w:rPr>
              <w:t>50</w:t>
            </w:r>
            <w:r>
              <w:rPr>
                <w:color w:val="auto"/>
                <w:sz w:val="24"/>
              </w:rPr>
              <w:t>-V</w:t>
            </w:r>
            <w:r>
              <w:rPr>
                <w:color w:val="auto"/>
                <w:sz w:val="24"/>
                <w:vertAlign w:val="subscript"/>
              </w:rPr>
              <w:t>0</w:t>
            </w:r>
            <w:r>
              <w:rPr>
                <w:color w:val="auto"/>
                <w:sz w:val="24"/>
              </w:rPr>
              <w:t>)</w:t>
            </w:r>
            <w:r>
              <w:rPr>
                <w:color w:val="auto"/>
                <w:sz w:val="24"/>
                <w:vertAlign w:val="superscript"/>
              </w:rPr>
              <w:t>3</w:t>
            </w:r>
            <w:r>
              <w:rPr>
                <w:color w:val="auto"/>
                <w:sz w:val="24"/>
              </w:rPr>
              <w:t>e</w:t>
            </w:r>
            <w:r>
              <w:rPr>
                <w:color w:val="auto"/>
                <w:sz w:val="24"/>
                <w:vertAlign w:val="superscript"/>
              </w:rPr>
              <w:t>-1.023W</w:t>
            </w:r>
          </w:p>
          <w:p>
            <w:pPr>
              <w:pStyle w:val="7"/>
              <w:spacing w:line="480" w:lineRule="exact"/>
              <w:ind w:firstLine="480"/>
              <w:rPr>
                <w:color w:val="auto"/>
                <w:sz w:val="24"/>
              </w:rPr>
            </w:pPr>
            <w:r>
              <w:rPr>
                <w:color w:val="auto"/>
                <w:sz w:val="24"/>
              </w:rPr>
              <w:t>式中：Q—起尘量，kg/t.a；</w:t>
            </w:r>
          </w:p>
          <w:p>
            <w:pPr>
              <w:pStyle w:val="7"/>
              <w:spacing w:line="480" w:lineRule="exact"/>
              <w:ind w:firstLine="480"/>
              <w:rPr>
                <w:color w:val="auto"/>
                <w:sz w:val="24"/>
              </w:rPr>
            </w:pPr>
            <w:r>
              <w:rPr>
                <w:color w:val="auto"/>
                <w:sz w:val="24"/>
              </w:rPr>
              <w:t xml:space="preserve"> V</w:t>
            </w:r>
            <w:r>
              <w:rPr>
                <w:color w:val="auto"/>
                <w:sz w:val="24"/>
                <w:vertAlign w:val="subscript"/>
              </w:rPr>
              <w:t>50</w:t>
            </w:r>
            <w:r>
              <w:rPr>
                <w:color w:val="auto"/>
                <w:sz w:val="24"/>
              </w:rPr>
              <w:t>—距地面50 m处风速，m/s；</w:t>
            </w:r>
          </w:p>
          <w:p>
            <w:pPr>
              <w:pStyle w:val="7"/>
              <w:spacing w:line="480" w:lineRule="exact"/>
              <w:ind w:firstLine="480"/>
              <w:rPr>
                <w:color w:val="auto"/>
                <w:sz w:val="24"/>
              </w:rPr>
            </w:pPr>
            <w:r>
              <w:rPr>
                <w:color w:val="auto"/>
                <w:sz w:val="24"/>
              </w:rPr>
              <w:t>　V</w:t>
            </w:r>
            <w:r>
              <w:rPr>
                <w:color w:val="auto"/>
                <w:sz w:val="24"/>
                <w:vertAlign w:val="subscript"/>
              </w:rPr>
              <w:t>0</w:t>
            </w:r>
            <w:r>
              <w:rPr>
                <w:color w:val="auto"/>
                <w:sz w:val="24"/>
              </w:rPr>
              <w:t>—起尘风速，m/s；</w:t>
            </w:r>
          </w:p>
          <w:p>
            <w:pPr>
              <w:spacing w:line="360" w:lineRule="auto"/>
              <w:ind w:firstLine="480" w:firstLineChars="200"/>
              <w:rPr>
                <w:bCs/>
                <w:color w:val="auto"/>
                <w:sz w:val="24"/>
                <w:szCs w:val="20"/>
              </w:rPr>
            </w:pPr>
            <w:r>
              <w:rPr>
                <w:color w:val="auto"/>
                <w:sz w:val="24"/>
              </w:rPr>
              <w:t>　W—尘粒的含水率，%</w:t>
            </w:r>
          </w:p>
          <w:p>
            <w:pPr>
              <w:spacing w:line="360" w:lineRule="auto"/>
              <w:ind w:firstLine="480" w:firstLineChars="200"/>
              <w:rPr>
                <w:bCs/>
                <w:color w:val="auto"/>
                <w:sz w:val="24"/>
                <w:szCs w:val="20"/>
              </w:rPr>
            </w:pPr>
            <w:r>
              <w:rPr>
                <w:bCs/>
                <w:color w:val="auto"/>
                <w:sz w:val="24"/>
                <w:szCs w:val="20"/>
              </w:rPr>
              <w:t>V0与粒径和含水率有关，因此，减少露天堆放和保证一定的含水率及减少裸露地面是减少风力起尘的有效手段。尘粒在空气中的传播扩散情况与风速等气象条件有关，也与尘粒本身的沉降速度有关。不同的尘粒的沉降速度见表</w:t>
            </w:r>
            <w:r>
              <w:rPr>
                <w:rFonts w:hint="eastAsia"/>
                <w:bCs/>
                <w:color w:val="auto"/>
                <w:sz w:val="24"/>
                <w:szCs w:val="20"/>
              </w:rPr>
              <w:t>1</w:t>
            </w:r>
            <w:r>
              <w:rPr>
                <w:bCs/>
                <w:color w:val="auto"/>
                <w:sz w:val="24"/>
                <w:szCs w:val="20"/>
              </w:rPr>
              <w:t>4。</w:t>
            </w:r>
          </w:p>
          <w:p>
            <w:pPr>
              <w:spacing w:line="360" w:lineRule="auto"/>
              <w:ind w:firstLine="480" w:firstLineChars="200"/>
              <w:rPr>
                <w:bCs/>
                <w:color w:val="auto"/>
                <w:sz w:val="24"/>
                <w:szCs w:val="20"/>
              </w:rPr>
            </w:pPr>
            <w:r>
              <w:rPr>
                <w:bCs/>
                <w:color w:val="auto"/>
                <w:sz w:val="24"/>
                <w:szCs w:val="20"/>
              </w:rPr>
              <w:t>据有关文献，车辆行驶产生的扬尘占总扬尘的60%以上，车辆行驶产生的扬尘，在完全干燥情况下，可按下列经验公式计算：</w:t>
            </w:r>
          </w:p>
          <w:p>
            <w:pPr>
              <w:spacing w:line="360" w:lineRule="auto"/>
              <w:ind w:firstLine="480" w:firstLineChars="200"/>
              <w:rPr>
                <w:bCs/>
                <w:color w:val="auto"/>
                <w:sz w:val="24"/>
                <w:szCs w:val="20"/>
              </w:rPr>
            </w:pPr>
            <w:r>
              <w:rPr>
                <w:bCs/>
                <w:color w:val="auto"/>
                <w:sz w:val="24"/>
                <w:szCs w:val="20"/>
              </w:rPr>
              <w:t>Q＝0.123(V/5)(W/6.8)0.85(P/0.5)0.75</w:t>
            </w:r>
          </w:p>
          <w:p>
            <w:pPr>
              <w:spacing w:line="360" w:lineRule="auto"/>
              <w:ind w:firstLine="480" w:firstLineChars="200"/>
              <w:rPr>
                <w:bCs/>
                <w:color w:val="auto"/>
                <w:sz w:val="24"/>
                <w:szCs w:val="20"/>
              </w:rPr>
            </w:pPr>
            <w:r>
              <w:rPr>
                <w:bCs/>
                <w:color w:val="auto"/>
                <w:sz w:val="24"/>
                <w:szCs w:val="20"/>
              </w:rPr>
              <w:t>式中：Q―汽车行驶时的扬尘，kg/Km.辆；</w:t>
            </w:r>
          </w:p>
          <w:p>
            <w:pPr>
              <w:spacing w:line="360" w:lineRule="auto"/>
              <w:ind w:firstLine="480" w:firstLineChars="200"/>
              <w:rPr>
                <w:bCs/>
                <w:color w:val="auto"/>
                <w:sz w:val="24"/>
                <w:szCs w:val="20"/>
              </w:rPr>
            </w:pPr>
            <w:r>
              <w:rPr>
                <w:bCs/>
                <w:color w:val="auto"/>
                <w:sz w:val="24"/>
                <w:szCs w:val="20"/>
              </w:rPr>
              <w:t>V―汽车速度，km/h；</w:t>
            </w:r>
          </w:p>
          <w:p>
            <w:pPr>
              <w:spacing w:line="360" w:lineRule="auto"/>
              <w:ind w:firstLine="480" w:firstLineChars="200"/>
              <w:rPr>
                <w:bCs/>
                <w:color w:val="auto"/>
                <w:sz w:val="24"/>
                <w:szCs w:val="20"/>
              </w:rPr>
            </w:pPr>
            <w:r>
              <w:rPr>
                <w:bCs/>
                <w:color w:val="auto"/>
                <w:sz w:val="24"/>
                <w:szCs w:val="20"/>
              </w:rPr>
              <w:t>W―汽车载重量，t；</w:t>
            </w:r>
          </w:p>
          <w:p>
            <w:pPr>
              <w:spacing w:line="360" w:lineRule="auto"/>
              <w:ind w:firstLine="480" w:firstLineChars="200"/>
              <w:rPr>
                <w:color w:val="auto"/>
                <w:sz w:val="24"/>
              </w:rPr>
            </w:pPr>
            <w:r>
              <w:rPr>
                <w:color w:val="auto"/>
                <w:sz w:val="24"/>
              </w:rPr>
              <w:t>P―道路表面粉尘量，kg/m</w:t>
            </w:r>
            <w:r>
              <w:rPr>
                <w:color w:val="auto"/>
                <w:sz w:val="24"/>
                <w:vertAlign w:val="superscript"/>
              </w:rPr>
              <w:t>2</w:t>
            </w:r>
            <w:r>
              <w:rPr>
                <w:color w:val="auto"/>
                <w:sz w:val="24"/>
              </w:rPr>
              <w:t>。</w:t>
            </w:r>
          </w:p>
          <w:p>
            <w:pPr>
              <w:spacing w:line="360" w:lineRule="auto"/>
              <w:ind w:firstLine="480" w:firstLineChars="200"/>
              <w:rPr>
                <w:bCs/>
                <w:color w:val="auto"/>
                <w:sz w:val="24"/>
              </w:rPr>
            </w:pPr>
            <w:r>
              <w:rPr>
                <w:bCs/>
                <w:color w:val="auto"/>
                <w:sz w:val="24"/>
              </w:rPr>
              <w:t>表14中为一辆10吨</w:t>
            </w:r>
            <w:r>
              <w:rPr>
                <w:rFonts w:hint="eastAsia"/>
                <w:bCs/>
                <w:color w:val="auto"/>
                <w:sz w:val="24"/>
              </w:rPr>
              <w:t>汽</w:t>
            </w:r>
            <w:r>
              <w:rPr>
                <w:bCs/>
                <w:color w:val="auto"/>
                <w:sz w:val="24"/>
              </w:rPr>
              <w:t>车，通过一段长度为1km的路面时，不同路面清洁程度，不同行驶速度情况下的扬尘量。由此可见，在同样路面清洁程度条件下，车速越快，扬尘量越大；而在同样车速情况下，路面越脏，扬尘量越大。</w:t>
            </w:r>
          </w:p>
          <w:p>
            <w:pPr>
              <w:spacing w:line="360" w:lineRule="auto"/>
              <w:jc w:val="center"/>
              <w:rPr>
                <w:b/>
                <w:bCs/>
                <w:color w:val="auto"/>
                <w:sz w:val="24"/>
              </w:rPr>
            </w:pPr>
            <w:r>
              <w:rPr>
                <w:b/>
                <w:bCs/>
                <w:color w:val="auto"/>
                <w:sz w:val="24"/>
              </w:rPr>
              <w:t>表14</w:t>
            </w:r>
            <w:r>
              <w:rPr>
                <w:rFonts w:hint="eastAsia"/>
                <w:b/>
                <w:bCs/>
                <w:color w:val="auto"/>
                <w:sz w:val="24"/>
              </w:rPr>
              <w:t xml:space="preserve"> </w:t>
            </w:r>
            <w:r>
              <w:rPr>
                <w:b/>
                <w:bCs/>
                <w:color w:val="auto"/>
                <w:sz w:val="24"/>
              </w:rPr>
              <w:t>不同粒径的尘粒沉降速度</w:t>
            </w:r>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41"/>
              <w:gridCol w:w="1033"/>
              <w:gridCol w:w="981"/>
              <w:gridCol w:w="983"/>
              <w:gridCol w:w="997"/>
              <w:gridCol w:w="1035"/>
              <w:gridCol w:w="981"/>
              <w:gridCol w:w="9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41" w:type="dxa"/>
                  <w:vAlign w:val="center"/>
                </w:tcPr>
                <w:p>
                  <w:pPr>
                    <w:pStyle w:val="7"/>
                    <w:adjustRightInd w:val="0"/>
                    <w:snapToGrid w:val="0"/>
                    <w:ind w:firstLine="0"/>
                    <w:jc w:val="center"/>
                    <w:rPr>
                      <w:bCs/>
                      <w:color w:val="auto"/>
                    </w:rPr>
                  </w:pPr>
                  <w:r>
                    <w:rPr>
                      <w:bCs/>
                      <w:color w:val="auto"/>
                    </w:rPr>
                    <w:t>粒径（</w:t>
                  </w:r>
                  <w:r>
                    <w:rPr>
                      <w:bCs/>
                      <w:iCs/>
                      <w:color w:val="auto"/>
                    </w:rPr>
                    <w:t>u</w:t>
                  </w:r>
                  <w:r>
                    <w:rPr>
                      <w:bCs/>
                      <w:color w:val="auto"/>
                    </w:rPr>
                    <w:t>m）</w:t>
                  </w:r>
                </w:p>
              </w:tc>
              <w:tc>
                <w:tcPr>
                  <w:tcW w:w="1033" w:type="dxa"/>
                  <w:vAlign w:val="center"/>
                </w:tcPr>
                <w:p>
                  <w:pPr>
                    <w:pStyle w:val="7"/>
                    <w:adjustRightInd w:val="0"/>
                    <w:snapToGrid w:val="0"/>
                    <w:ind w:firstLine="0"/>
                    <w:jc w:val="center"/>
                    <w:rPr>
                      <w:bCs/>
                      <w:color w:val="auto"/>
                    </w:rPr>
                  </w:pPr>
                  <w:r>
                    <w:rPr>
                      <w:bCs/>
                      <w:color w:val="auto"/>
                    </w:rPr>
                    <w:t>10</w:t>
                  </w:r>
                </w:p>
              </w:tc>
              <w:tc>
                <w:tcPr>
                  <w:tcW w:w="981" w:type="dxa"/>
                  <w:vAlign w:val="center"/>
                </w:tcPr>
                <w:p>
                  <w:pPr>
                    <w:pStyle w:val="7"/>
                    <w:adjustRightInd w:val="0"/>
                    <w:snapToGrid w:val="0"/>
                    <w:ind w:firstLine="0"/>
                    <w:jc w:val="center"/>
                    <w:rPr>
                      <w:bCs/>
                      <w:color w:val="auto"/>
                    </w:rPr>
                  </w:pPr>
                  <w:r>
                    <w:rPr>
                      <w:bCs/>
                      <w:color w:val="auto"/>
                    </w:rPr>
                    <w:t>20</w:t>
                  </w:r>
                </w:p>
              </w:tc>
              <w:tc>
                <w:tcPr>
                  <w:tcW w:w="983" w:type="dxa"/>
                  <w:vAlign w:val="center"/>
                </w:tcPr>
                <w:p>
                  <w:pPr>
                    <w:pStyle w:val="7"/>
                    <w:adjustRightInd w:val="0"/>
                    <w:snapToGrid w:val="0"/>
                    <w:ind w:firstLine="0"/>
                    <w:jc w:val="center"/>
                    <w:rPr>
                      <w:bCs/>
                      <w:color w:val="auto"/>
                    </w:rPr>
                  </w:pPr>
                  <w:r>
                    <w:rPr>
                      <w:bCs/>
                      <w:color w:val="auto"/>
                    </w:rPr>
                    <w:t>30</w:t>
                  </w:r>
                </w:p>
              </w:tc>
              <w:tc>
                <w:tcPr>
                  <w:tcW w:w="997" w:type="dxa"/>
                  <w:vAlign w:val="center"/>
                </w:tcPr>
                <w:p>
                  <w:pPr>
                    <w:pStyle w:val="7"/>
                    <w:adjustRightInd w:val="0"/>
                    <w:snapToGrid w:val="0"/>
                    <w:ind w:firstLine="0"/>
                    <w:jc w:val="center"/>
                    <w:rPr>
                      <w:bCs/>
                      <w:color w:val="auto"/>
                    </w:rPr>
                  </w:pPr>
                  <w:r>
                    <w:rPr>
                      <w:bCs/>
                      <w:color w:val="auto"/>
                    </w:rPr>
                    <w:t>40</w:t>
                  </w:r>
                </w:p>
              </w:tc>
              <w:tc>
                <w:tcPr>
                  <w:tcW w:w="1035" w:type="dxa"/>
                  <w:vAlign w:val="center"/>
                </w:tcPr>
                <w:p>
                  <w:pPr>
                    <w:pStyle w:val="7"/>
                    <w:adjustRightInd w:val="0"/>
                    <w:snapToGrid w:val="0"/>
                    <w:ind w:firstLine="0"/>
                    <w:jc w:val="center"/>
                    <w:rPr>
                      <w:bCs/>
                      <w:color w:val="auto"/>
                    </w:rPr>
                  </w:pPr>
                  <w:r>
                    <w:rPr>
                      <w:bCs/>
                      <w:color w:val="auto"/>
                    </w:rPr>
                    <w:t>50</w:t>
                  </w:r>
                </w:p>
              </w:tc>
              <w:tc>
                <w:tcPr>
                  <w:tcW w:w="981" w:type="dxa"/>
                  <w:vAlign w:val="center"/>
                </w:tcPr>
                <w:p>
                  <w:pPr>
                    <w:pStyle w:val="7"/>
                    <w:adjustRightInd w:val="0"/>
                    <w:snapToGrid w:val="0"/>
                    <w:ind w:firstLine="0"/>
                    <w:jc w:val="center"/>
                    <w:rPr>
                      <w:bCs/>
                      <w:color w:val="auto"/>
                    </w:rPr>
                  </w:pPr>
                  <w:r>
                    <w:rPr>
                      <w:bCs/>
                      <w:color w:val="auto"/>
                    </w:rPr>
                    <w:t>60</w:t>
                  </w:r>
                </w:p>
              </w:tc>
              <w:tc>
                <w:tcPr>
                  <w:tcW w:w="919" w:type="dxa"/>
                  <w:vAlign w:val="center"/>
                </w:tcPr>
                <w:p>
                  <w:pPr>
                    <w:pStyle w:val="7"/>
                    <w:adjustRightInd w:val="0"/>
                    <w:snapToGrid w:val="0"/>
                    <w:ind w:firstLine="0"/>
                    <w:jc w:val="center"/>
                    <w:rPr>
                      <w:bCs/>
                      <w:color w:val="auto"/>
                    </w:rPr>
                  </w:pPr>
                  <w:r>
                    <w:rPr>
                      <w:bCs/>
                      <w:color w:val="auto"/>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41" w:type="dxa"/>
                  <w:vAlign w:val="center"/>
                </w:tcPr>
                <w:p>
                  <w:pPr>
                    <w:pStyle w:val="7"/>
                    <w:adjustRightInd w:val="0"/>
                    <w:snapToGrid w:val="0"/>
                    <w:ind w:firstLine="0"/>
                    <w:jc w:val="center"/>
                    <w:rPr>
                      <w:bCs/>
                      <w:color w:val="auto"/>
                    </w:rPr>
                  </w:pPr>
                  <w:r>
                    <w:rPr>
                      <w:bCs/>
                      <w:color w:val="auto"/>
                    </w:rPr>
                    <w:t>沉降速度（m/s）</w:t>
                  </w:r>
                </w:p>
              </w:tc>
              <w:tc>
                <w:tcPr>
                  <w:tcW w:w="1033" w:type="dxa"/>
                  <w:vAlign w:val="center"/>
                </w:tcPr>
                <w:p>
                  <w:pPr>
                    <w:pStyle w:val="7"/>
                    <w:adjustRightInd w:val="0"/>
                    <w:snapToGrid w:val="0"/>
                    <w:ind w:firstLine="0"/>
                    <w:jc w:val="center"/>
                    <w:rPr>
                      <w:bCs/>
                      <w:color w:val="auto"/>
                    </w:rPr>
                  </w:pPr>
                  <w:r>
                    <w:rPr>
                      <w:bCs/>
                      <w:color w:val="auto"/>
                    </w:rPr>
                    <w:t>0.03</w:t>
                  </w:r>
                </w:p>
              </w:tc>
              <w:tc>
                <w:tcPr>
                  <w:tcW w:w="981" w:type="dxa"/>
                  <w:vAlign w:val="center"/>
                </w:tcPr>
                <w:p>
                  <w:pPr>
                    <w:pStyle w:val="7"/>
                    <w:adjustRightInd w:val="0"/>
                    <w:snapToGrid w:val="0"/>
                    <w:ind w:firstLine="0"/>
                    <w:jc w:val="center"/>
                    <w:rPr>
                      <w:bCs/>
                      <w:color w:val="auto"/>
                    </w:rPr>
                  </w:pPr>
                  <w:r>
                    <w:rPr>
                      <w:bCs/>
                      <w:color w:val="auto"/>
                    </w:rPr>
                    <w:t>0.012</w:t>
                  </w:r>
                </w:p>
              </w:tc>
              <w:tc>
                <w:tcPr>
                  <w:tcW w:w="983" w:type="dxa"/>
                  <w:vAlign w:val="center"/>
                </w:tcPr>
                <w:p>
                  <w:pPr>
                    <w:pStyle w:val="7"/>
                    <w:adjustRightInd w:val="0"/>
                    <w:snapToGrid w:val="0"/>
                    <w:ind w:firstLine="0"/>
                    <w:jc w:val="center"/>
                    <w:rPr>
                      <w:bCs/>
                      <w:color w:val="auto"/>
                    </w:rPr>
                  </w:pPr>
                  <w:r>
                    <w:rPr>
                      <w:bCs/>
                      <w:color w:val="auto"/>
                    </w:rPr>
                    <w:t>0.027</w:t>
                  </w:r>
                </w:p>
              </w:tc>
              <w:tc>
                <w:tcPr>
                  <w:tcW w:w="997" w:type="dxa"/>
                  <w:vAlign w:val="center"/>
                </w:tcPr>
                <w:p>
                  <w:pPr>
                    <w:pStyle w:val="7"/>
                    <w:adjustRightInd w:val="0"/>
                    <w:snapToGrid w:val="0"/>
                    <w:ind w:firstLine="0"/>
                    <w:jc w:val="center"/>
                    <w:rPr>
                      <w:bCs/>
                      <w:color w:val="auto"/>
                    </w:rPr>
                  </w:pPr>
                  <w:r>
                    <w:rPr>
                      <w:bCs/>
                      <w:color w:val="auto"/>
                    </w:rPr>
                    <w:t>0.048</w:t>
                  </w:r>
                </w:p>
              </w:tc>
              <w:tc>
                <w:tcPr>
                  <w:tcW w:w="1035" w:type="dxa"/>
                  <w:vAlign w:val="center"/>
                </w:tcPr>
                <w:p>
                  <w:pPr>
                    <w:pStyle w:val="7"/>
                    <w:adjustRightInd w:val="0"/>
                    <w:snapToGrid w:val="0"/>
                    <w:ind w:firstLine="0"/>
                    <w:jc w:val="center"/>
                    <w:rPr>
                      <w:bCs/>
                      <w:color w:val="auto"/>
                    </w:rPr>
                  </w:pPr>
                  <w:r>
                    <w:rPr>
                      <w:bCs/>
                      <w:color w:val="auto"/>
                    </w:rPr>
                    <w:t>0.075</w:t>
                  </w:r>
                </w:p>
              </w:tc>
              <w:tc>
                <w:tcPr>
                  <w:tcW w:w="981" w:type="dxa"/>
                  <w:vAlign w:val="center"/>
                </w:tcPr>
                <w:p>
                  <w:pPr>
                    <w:pStyle w:val="7"/>
                    <w:adjustRightInd w:val="0"/>
                    <w:snapToGrid w:val="0"/>
                    <w:ind w:firstLine="0"/>
                    <w:jc w:val="center"/>
                    <w:rPr>
                      <w:bCs/>
                      <w:color w:val="auto"/>
                    </w:rPr>
                  </w:pPr>
                  <w:r>
                    <w:rPr>
                      <w:bCs/>
                      <w:color w:val="auto"/>
                    </w:rPr>
                    <w:t>0.108</w:t>
                  </w:r>
                </w:p>
              </w:tc>
              <w:tc>
                <w:tcPr>
                  <w:tcW w:w="919" w:type="dxa"/>
                  <w:vAlign w:val="center"/>
                </w:tcPr>
                <w:p>
                  <w:pPr>
                    <w:pStyle w:val="7"/>
                    <w:adjustRightInd w:val="0"/>
                    <w:snapToGrid w:val="0"/>
                    <w:ind w:firstLine="0"/>
                    <w:jc w:val="center"/>
                    <w:rPr>
                      <w:bCs/>
                      <w:color w:val="auto"/>
                    </w:rPr>
                  </w:pPr>
                  <w:r>
                    <w:rPr>
                      <w:bCs/>
                      <w:color w:val="auto"/>
                    </w:rPr>
                    <w:t>0.147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41" w:type="dxa"/>
                  <w:vAlign w:val="center"/>
                </w:tcPr>
                <w:p>
                  <w:pPr>
                    <w:pStyle w:val="7"/>
                    <w:adjustRightInd w:val="0"/>
                    <w:snapToGrid w:val="0"/>
                    <w:ind w:firstLine="0"/>
                    <w:jc w:val="center"/>
                    <w:rPr>
                      <w:bCs/>
                      <w:color w:val="auto"/>
                    </w:rPr>
                  </w:pPr>
                  <w:r>
                    <w:rPr>
                      <w:bCs/>
                      <w:color w:val="auto"/>
                    </w:rPr>
                    <w:t>粒径（</w:t>
                  </w:r>
                  <w:r>
                    <w:rPr>
                      <w:bCs/>
                      <w:iCs/>
                      <w:color w:val="auto"/>
                    </w:rPr>
                    <w:t>u</w:t>
                  </w:r>
                  <w:r>
                    <w:rPr>
                      <w:bCs/>
                      <w:color w:val="auto"/>
                    </w:rPr>
                    <w:t>m）</w:t>
                  </w:r>
                </w:p>
              </w:tc>
              <w:tc>
                <w:tcPr>
                  <w:tcW w:w="1033" w:type="dxa"/>
                  <w:vAlign w:val="center"/>
                </w:tcPr>
                <w:p>
                  <w:pPr>
                    <w:pStyle w:val="7"/>
                    <w:adjustRightInd w:val="0"/>
                    <w:snapToGrid w:val="0"/>
                    <w:ind w:firstLine="0"/>
                    <w:jc w:val="center"/>
                    <w:rPr>
                      <w:bCs/>
                      <w:color w:val="auto"/>
                    </w:rPr>
                  </w:pPr>
                  <w:r>
                    <w:rPr>
                      <w:bCs/>
                      <w:color w:val="auto"/>
                    </w:rPr>
                    <w:t>80</w:t>
                  </w:r>
                </w:p>
              </w:tc>
              <w:tc>
                <w:tcPr>
                  <w:tcW w:w="981" w:type="dxa"/>
                  <w:vAlign w:val="center"/>
                </w:tcPr>
                <w:p>
                  <w:pPr>
                    <w:pStyle w:val="7"/>
                    <w:adjustRightInd w:val="0"/>
                    <w:snapToGrid w:val="0"/>
                    <w:ind w:firstLine="0"/>
                    <w:jc w:val="center"/>
                    <w:rPr>
                      <w:bCs/>
                      <w:color w:val="auto"/>
                    </w:rPr>
                  </w:pPr>
                  <w:r>
                    <w:rPr>
                      <w:rFonts w:hint="eastAsia"/>
                      <w:bCs/>
                      <w:color w:val="auto"/>
                    </w:rPr>
                    <w:t>9</w:t>
                  </w:r>
                  <w:r>
                    <w:rPr>
                      <w:bCs/>
                      <w:color w:val="auto"/>
                    </w:rPr>
                    <w:t>0</w:t>
                  </w:r>
                </w:p>
              </w:tc>
              <w:tc>
                <w:tcPr>
                  <w:tcW w:w="983" w:type="dxa"/>
                  <w:vAlign w:val="center"/>
                </w:tcPr>
                <w:p>
                  <w:pPr>
                    <w:pStyle w:val="7"/>
                    <w:adjustRightInd w:val="0"/>
                    <w:snapToGrid w:val="0"/>
                    <w:ind w:firstLine="0"/>
                    <w:jc w:val="center"/>
                    <w:rPr>
                      <w:bCs/>
                      <w:color w:val="auto"/>
                    </w:rPr>
                  </w:pPr>
                  <w:r>
                    <w:rPr>
                      <w:bCs/>
                      <w:color w:val="auto"/>
                    </w:rPr>
                    <w:t>100</w:t>
                  </w:r>
                </w:p>
              </w:tc>
              <w:tc>
                <w:tcPr>
                  <w:tcW w:w="997" w:type="dxa"/>
                  <w:vAlign w:val="center"/>
                </w:tcPr>
                <w:p>
                  <w:pPr>
                    <w:pStyle w:val="7"/>
                    <w:adjustRightInd w:val="0"/>
                    <w:snapToGrid w:val="0"/>
                    <w:ind w:firstLine="0"/>
                    <w:jc w:val="center"/>
                    <w:rPr>
                      <w:bCs/>
                      <w:color w:val="auto"/>
                    </w:rPr>
                  </w:pPr>
                  <w:r>
                    <w:rPr>
                      <w:bCs/>
                      <w:color w:val="auto"/>
                    </w:rPr>
                    <w:t>150</w:t>
                  </w:r>
                </w:p>
              </w:tc>
              <w:tc>
                <w:tcPr>
                  <w:tcW w:w="1035" w:type="dxa"/>
                  <w:vAlign w:val="center"/>
                </w:tcPr>
                <w:p>
                  <w:pPr>
                    <w:pStyle w:val="7"/>
                    <w:adjustRightInd w:val="0"/>
                    <w:snapToGrid w:val="0"/>
                    <w:ind w:firstLine="0"/>
                    <w:jc w:val="center"/>
                    <w:rPr>
                      <w:bCs/>
                      <w:color w:val="auto"/>
                    </w:rPr>
                  </w:pPr>
                  <w:r>
                    <w:rPr>
                      <w:bCs/>
                      <w:color w:val="auto"/>
                    </w:rPr>
                    <w:t>20</w:t>
                  </w:r>
                  <w:r>
                    <w:rPr>
                      <w:rFonts w:hint="eastAsia"/>
                      <w:bCs/>
                      <w:color w:val="auto"/>
                    </w:rPr>
                    <w:t>0</w:t>
                  </w:r>
                </w:p>
              </w:tc>
              <w:tc>
                <w:tcPr>
                  <w:tcW w:w="981" w:type="dxa"/>
                  <w:vAlign w:val="center"/>
                </w:tcPr>
                <w:p>
                  <w:pPr>
                    <w:pStyle w:val="7"/>
                    <w:adjustRightInd w:val="0"/>
                    <w:snapToGrid w:val="0"/>
                    <w:ind w:firstLine="0"/>
                    <w:jc w:val="center"/>
                    <w:rPr>
                      <w:bCs/>
                      <w:color w:val="auto"/>
                    </w:rPr>
                  </w:pPr>
                  <w:r>
                    <w:rPr>
                      <w:bCs/>
                      <w:color w:val="auto"/>
                    </w:rPr>
                    <w:t>25</w:t>
                  </w:r>
                  <w:r>
                    <w:rPr>
                      <w:rFonts w:hint="eastAsia"/>
                      <w:bCs/>
                      <w:color w:val="auto"/>
                    </w:rPr>
                    <w:t>0</w:t>
                  </w:r>
                </w:p>
              </w:tc>
              <w:tc>
                <w:tcPr>
                  <w:tcW w:w="919" w:type="dxa"/>
                  <w:vAlign w:val="center"/>
                </w:tcPr>
                <w:p>
                  <w:pPr>
                    <w:pStyle w:val="7"/>
                    <w:adjustRightInd w:val="0"/>
                    <w:snapToGrid w:val="0"/>
                    <w:ind w:firstLine="0"/>
                    <w:jc w:val="center"/>
                    <w:rPr>
                      <w:bCs/>
                      <w:color w:val="auto"/>
                    </w:rPr>
                  </w:pPr>
                  <w:r>
                    <w:rPr>
                      <w:bCs/>
                      <w:color w:val="auto"/>
                    </w:rPr>
                    <w:t>30</w:t>
                  </w:r>
                  <w:r>
                    <w:rPr>
                      <w:rFonts w:hint="eastAsia"/>
                      <w:bCs/>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41" w:type="dxa"/>
                  <w:vAlign w:val="center"/>
                </w:tcPr>
                <w:p>
                  <w:pPr>
                    <w:pStyle w:val="7"/>
                    <w:adjustRightInd w:val="0"/>
                    <w:snapToGrid w:val="0"/>
                    <w:ind w:firstLine="0"/>
                    <w:jc w:val="center"/>
                    <w:rPr>
                      <w:bCs/>
                      <w:color w:val="auto"/>
                    </w:rPr>
                  </w:pPr>
                  <w:r>
                    <w:rPr>
                      <w:bCs/>
                      <w:color w:val="auto"/>
                    </w:rPr>
                    <w:t>沉降速度（m/s）</w:t>
                  </w:r>
                </w:p>
              </w:tc>
              <w:tc>
                <w:tcPr>
                  <w:tcW w:w="1033" w:type="dxa"/>
                  <w:vAlign w:val="center"/>
                </w:tcPr>
                <w:p>
                  <w:pPr>
                    <w:pStyle w:val="7"/>
                    <w:adjustRightInd w:val="0"/>
                    <w:snapToGrid w:val="0"/>
                    <w:ind w:firstLine="0"/>
                    <w:jc w:val="center"/>
                    <w:rPr>
                      <w:bCs/>
                      <w:color w:val="auto"/>
                    </w:rPr>
                  </w:pPr>
                  <w:r>
                    <w:rPr>
                      <w:bCs/>
                      <w:color w:val="auto"/>
                    </w:rPr>
                    <w:t>0.158</w:t>
                  </w:r>
                </w:p>
              </w:tc>
              <w:tc>
                <w:tcPr>
                  <w:tcW w:w="981" w:type="dxa"/>
                  <w:vAlign w:val="center"/>
                </w:tcPr>
                <w:p>
                  <w:pPr>
                    <w:pStyle w:val="7"/>
                    <w:adjustRightInd w:val="0"/>
                    <w:snapToGrid w:val="0"/>
                    <w:ind w:firstLine="0"/>
                    <w:jc w:val="center"/>
                    <w:rPr>
                      <w:bCs/>
                      <w:color w:val="auto"/>
                    </w:rPr>
                  </w:pPr>
                  <w:r>
                    <w:rPr>
                      <w:bCs/>
                      <w:color w:val="auto"/>
                    </w:rPr>
                    <w:t>0.170</w:t>
                  </w:r>
                </w:p>
              </w:tc>
              <w:tc>
                <w:tcPr>
                  <w:tcW w:w="983" w:type="dxa"/>
                  <w:vAlign w:val="center"/>
                </w:tcPr>
                <w:p>
                  <w:pPr>
                    <w:pStyle w:val="7"/>
                    <w:adjustRightInd w:val="0"/>
                    <w:snapToGrid w:val="0"/>
                    <w:ind w:firstLine="0"/>
                    <w:jc w:val="center"/>
                    <w:rPr>
                      <w:bCs/>
                      <w:color w:val="auto"/>
                    </w:rPr>
                  </w:pPr>
                  <w:r>
                    <w:rPr>
                      <w:bCs/>
                      <w:color w:val="auto"/>
                    </w:rPr>
                    <w:t>0.182</w:t>
                  </w:r>
                </w:p>
              </w:tc>
              <w:tc>
                <w:tcPr>
                  <w:tcW w:w="997" w:type="dxa"/>
                  <w:vAlign w:val="center"/>
                </w:tcPr>
                <w:p>
                  <w:pPr>
                    <w:pStyle w:val="7"/>
                    <w:adjustRightInd w:val="0"/>
                    <w:snapToGrid w:val="0"/>
                    <w:ind w:firstLine="0"/>
                    <w:jc w:val="center"/>
                    <w:rPr>
                      <w:bCs/>
                      <w:color w:val="auto"/>
                    </w:rPr>
                  </w:pPr>
                  <w:r>
                    <w:rPr>
                      <w:rFonts w:hint="eastAsia"/>
                      <w:bCs/>
                      <w:color w:val="auto"/>
                    </w:rPr>
                    <w:t>0</w:t>
                  </w:r>
                  <w:r>
                    <w:rPr>
                      <w:bCs/>
                      <w:color w:val="auto"/>
                    </w:rPr>
                    <w:t>.239</w:t>
                  </w:r>
                </w:p>
              </w:tc>
              <w:tc>
                <w:tcPr>
                  <w:tcW w:w="1035" w:type="dxa"/>
                  <w:vAlign w:val="center"/>
                </w:tcPr>
                <w:p>
                  <w:pPr>
                    <w:pStyle w:val="7"/>
                    <w:adjustRightInd w:val="0"/>
                    <w:snapToGrid w:val="0"/>
                    <w:ind w:firstLine="0"/>
                    <w:jc w:val="center"/>
                    <w:rPr>
                      <w:bCs/>
                      <w:color w:val="auto"/>
                    </w:rPr>
                  </w:pPr>
                  <w:r>
                    <w:rPr>
                      <w:bCs/>
                      <w:color w:val="auto"/>
                    </w:rPr>
                    <w:t>0.</w:t>
                  </w:r>
                  <w:r>
                    <w:rPr>
                      <w:rFonts w:hint="eastAsia"/>
                      <w:bCs/>
                      <w:color w:val="auto"/>
                    </w:rPr>
                    <w:t>80</w:t>
                  </w:r>
                  <w:r>
                    <w:rPr>
                      <w:bCs/>
                      <w:color w:val="auto"/>
                    </w:rPr>
                    <w:t>4</w:t>
                  </w:r>
                </w:p>
              </w:tc>
              <w:tc>
                <w:tcPr>
                  <w:tcW w:w="981" w:type="dxa"/>
                  <w:vAlign w:val="center"/>
                </w:tcPr>
                <w:p>
                  <w:pPr>
                    <w:pStyle w:val="7"/>
                    <w:adjustRightInd w:val="0"/>
                    <w:snapToGrid w:val="0"/>
                    <w:ind w:firstLine="0"/>
                    <w:jc w:val="center"/>
                    <w:rPr>
                      <w:bCs/>
                      <w:color w:val="auto"/>
                    </w:rPr>
                  </w:pPr>
                  <w:r>
                    <w:rPr>
                      <w:bCs/>
                      <w:color w:val="auto"/>
                    </w:rPr>
                    <w:t>1.00</w:t>
                  </w:r>
                  <w:r>
                    <w:rPr>
                      <w:rFonts w:hint="eastAsia"/>
                      <w:bCs/>
                      <w:color w:val="auto"/>
                    </w:rPr>
                    <w:t>1</w:t>
                  </w:r>
                </w:p>
              </w:tc>
              <w:tc>
                <w:tcPr>
                  <w:tcW w:w="919" w:type="dxa"/>
                  <w:vAlign w:val="center"/>
                </w:tcPr>
                <w:p>
                  <w:pPr>
                    <w:pStyle w:val="7"/>
                    <w:adjustRightInd w:val="0"/>
                    <w:snapToGrid w:val="0"/>
                    <w:ind w:firstLine="0"/>
                    <w:jc w:val="center"/>
                    <w:rPr>
                      <w:bCs/>
                      <w:color w:val="auto"/>
                    </w:rPr>
                  </w:pPr>
                  <w:r>
                    <w:rPr>
                      <w:bCs/>
                      <w:color w:val="auto"/>
                    </w:rPr>
                    <w:t>1.</w:t>
                  </w:r>
                  <w:r>
                    <w:rPr>
                      <w:rFonts w:hint="eastAsia"/>
                      <w:bCs/>
                      <w:color w:val="auto"/>
                    </w:rPr>
                    <w:t>0</w:t>
                  </w:r>
                  <w:r>
                    <w:rPr>
                      <w:bCs/>
                      <w:color w:val="auto"/>
                    </w:rPr>
                    <w:t>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41" w:type="dxa"/>
                  <w:vAlign w:val="center"/>
                </w:tcPr>
                <w:p>
                  <w:pPr>
                    <w:pStyle w:val="7"/>
                    <w:adjustRightInd w:val="0"/>
                    <w:snapToGrid w:val="0"/>
                    <w:ind w:firstLine="0"/>
                    <w:jc w:val="center"/>
                    <w:rPr>
                      <w:bCs/>
                      <w:color w:val="auto"/>
                    </w:rPr>
                  </w:pPr>
                  <w:r>
                    <w:rPr>
                      <w:bCs/>
                      <w:color w:val="auto"/>
                    </w:rPr>
                    <w:t>粒径（</w:t>
                  </w:r>
                  <w:r>
                    <w:rPr>
                      <w:bCs/>
                      <w:iCs/>
                      <w:color w:val="auto"/>
                    </w:rPr>
                    <w:t>u</w:t>
                  </w:r>
                  <w:r>
                    <w:rPr>
                      <w:bCs/>
                      <w:color w:val="auto"/>
                    </w:rPr>
                    <w:t>m）</w:t>
                  </w:r>
                </w:p>
              </w:tc>
              <w:tc>
                <w:tcPr>
                  <w:tcW w:w="1033" w:type="dxa"/>
                  <w:vAlign w:val="center"/>
                </w:tcPr>
                <w:p>
                  <w:pPr>
                    <w:pStyle w:val="7"/>
                    <w:adjustRightInd w:val="0"/>
                    <w:snapToGrid w:val="0"/>
                    <w:ind w:firstLine="0"/>
                    <w:jc w:val="center"/>
                    <w:rPr>
                      <w:bCs/>
                      <w:color w:val="auto"/>
                    </w:rPr>
                  </w:pPr>
                  <w:r>
                    <w:rPr>
                      <w:bCs/>
                      <w:color w:val="auto"/>
                    </w:rPr>
                    <w:t>450</w:t>
                  </w:r>
                </w:p>
              </w:tc>
              <w:tc>
                <w:tcPr>
                  <w:tcW w:w="981" w:type="dxa"/>
                  <w:vAlign w:val="center"/>
                </w:tcPr>
                <w:p>
                  <w:pPr>
                    <w:pStyle w:val="7"/>
                    <w:adjustRightInd w:val="0"/>
                    <w:snapToGrid w:val="0"/>
                    <w:ind w:firstLine="0"/>
                    <w:jc w:val="center"/>
                    <w:rPr>
                      <w:bCs/>
                      <w:color w:val="auto"/>
                    </w:rPr>
                  </w:pPr>
                  <w:r>
                    <w:rPr>
                      <w:bCs/>
                      <w:color w:val="auto"/>
                    </w:rPr>
                    <w:t>550</w:t>
                  </w:r>
                </w:p>
              </w:tc>
              <w:tc>
                <w:tcPr>
                  <w:tcW w:w="983" w:type="dxa"/>
                  <w:vAlign w:val="center"/>
                </w:tcPr>
                <w:p>
                  <w:pPr>
                    <w:pStyle w:val="7"/>
                    <w:adjustRightInd w:val="0"/>
                    <w:snapToGrid w:val="0"/>
                    <w:ind w:firstLine="0"/>
                    <w:jc w:val="center"/>
                    <w:rPr>
                      <w:bCs/>
                      <w:color w:val="auto"/>
                    </w:rPr>
                  </w:pPr>
                  <w:r>
                    <w:rPr>
                      <w:bCs/>
                      <w:color w:val="auto"/>
                    </w:rPr>
                    <w:t>650</w:t>
                  </w:r>
                </w:p>
              </w:tc>
              <w:tc>
                <w:tcPr>
                  <w:tcW w:w="997" w:type="dxa"/>
                  <w:vAlign w:val="center"/>
                </w:tcPr>
                <w:p>
                  <w:pPr>
                    <w:pStyle w:val="7"/>
                    <w:adjustRightInd w:val="0"/>
                    <w:snapToGrid w:val="0"/>
                    <w:ind w:firstLine="0"/>
                    <w:jc w:val="center"/>
                    <w:rPr>
                      <w:bCs/>
                      <w:color w:val="auto"/>
                    </w:rPr>
                  </w:pPr>
                  <w:r>
                    <w:rPr>
                      <w:bCs/>
                      <w:color w:val="auto"/>
                    </w:rPr>
                    <w:t>750</w:t>
                  </w:r>
                </w:p>
              </w:tc>
              <w:tc>
                <w:tcPr>
                  <w:tcW w:w="1035" w:type="dxa"/>
                  <w:vAlign w:val="center"/>
                </w:tcPr>
                <w:p>
                  <w:pPr>
                    <w:pStyle w:val="7"/>
                    <w:adjustRightInd w:val="0"/>
                    <w:snapToGrid w:val="0"/>
                    <w:ind w:firstLine="0"/>
                    <w:jc w:val="center"/>
                    <w:rPr>
                      <w:bCs/>
                      <w:color w:val="auto"/>
                    </w:rPr>
                  </w:pPr>
                  <w:r>
                    <w:rPr>
                      <w:bCs/>
                      <w:color w:val="auto"/>
                    </w:rPr>
                    <w:t>850</w:t>
                  </w:r>
                </w:p>
              </w:tc>
              <w:tc>
                <w:tcPr>
                  <w:tcW w:w="981" w:type="dxa"/>
                  <w:vAlign w:val="center"/>
                </w:tcPr>
                <w:p>
                  <w:pPr>
                    <w:pStyle w:val="7"/>
                    <w:adjustRightInd w:val="0"/>
                    <w:snapToGrid w:val="0"/>
                    <w:ind w:firstLine="0"/>
                    <w:jc w:val="center"/>
                    <w:rPr>
                      <w:bCs/>
                      <w:color w:val="auto"/>
                    </w:rPr>
                  </w:pPr>
                  <w:r>
                    <w:rPr>
                      <w:bCs/>
                      <w:color w:val="auto"/>
                    </w:rPr>
                    <w:t>950</w:t>
                  </w:r>
                </w:p>
              </w:tc>
              <w:tc>
                <w:tcPr>
                  <w:tcW w:w="919" w:type="dxa"/>
                  <w:vAlign w:val="center"/>
                </w:tcPr>
                <w:p>
                  <w:pPr>
                    <w:pStyle w:val="7"/>
                    <w:adjustRightInd w:val="0"/>
                    <w:snapToGrid w:val="0"/>
                    <w:ind w:firstLine="0"/>
                    <w:jc w:val="center"/>
                    <w:rPr>
                      <w:bCs/>
                      <w:color w:val="auto"/>
                    </w:rPr>
                  </w:pPr>
                  <w:r>
                    <w:rPr>
                      <w:bCs/>
                      <w:color w:val="auto"/>
                    </w:rPr>
                    <w:t>1050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41" w:type="dxa"/>
                  <w:vAlign w:val="center"/>
                </w:tcPr>
                <w:p>
                  <w:pPr>
                    <w:pStyle w:val="7"/>
                    <w:adjustRightInd w:val="0"/>
                    <w:snapToGrid w:val="0"/>
                    <w:ind w:firstLine="0"/>
                    <w:jc w:val="center"/>
                    <w:rPr>
                      <w:bCs/>
                      <w:color w:val="auto"/>
                    </w:rPr>
                  </w:pPr>
                  <w:r>
                    <w:rPr>
                      <w:bCs/>
                      <w:color w:val="auto"/>
                    </w:rPr>
                    <w:t>沉降速度（</w:t>
                  </w:r>
                  <w:r>
                    <w:rPr>
                      <w:rFonts w:hint="eastAsia"/>
                      <w:bCs/>
                      <w:color w:val="auto"/>
                    </w:rPr>
                    <w:t>m</w:t>
                  </w:r>
                  <w:r>
                    <w:rPr>
                      <w:bCs/>
                      <w:color w:val="auto"/>
                    </w:rPr>
                    <w:t>/s）</w:t>
                  </w:r>
                </w:p>
              </w:tc>
              <w:tc>
                <w:tcPr>
                  <w:tcW w:w="1033" w:type="dxa"/>
                  <w:vAlign w:val="center"/>
                </w:tcPr>
                <w:p>
                  <w:pPr>
                    <w:pStyle w:val="7"/>
                    <w:adjustRightInd w:val="0"/>
                    <w:snapToGrid w:val="0"/>
                    <w:ind w:firstLine="0"/>
                    <w:jc w:val="center"/>
                    <w:rPr>
                      <w:bCs/>
                      <w:color w:val="auto"/>
                    </w:rPr>
                  </w:pPr>
                  <w:r>
                    <w:rPr>
                      <w:bCs/>
                      <w:color w:val="auto"/>
                    </w:rPr>
                    <w:t>2.211</w:t>
                  </w:r>
                </w:p>
              </w:tc>
              <w:tc>
                <w:tcPr>
                  <w:tcW w:w="981" w:type="dxa"/>
                  <w:vAlign w:val="center"/>
                </w:tcPr>
                <w:p>
                  <w:pPr>
                    <w:pStyle w:val="7"/>
                    <w:adjustRightInd w:val="0"/>
                    <w:snapToGrid w:val="0"/>
                    <w:ind w:firstLine="0"/>
                    <w:jc w:val="center"/>
                    <w:rPr>
                      <w:bCs/>
                      <w:color w:val="auto"/>
                    </w:rPr>
                  </w:pPr>
                  <w:r>
                    <w:rPr>
                      <w:bCs/>
                      <w:color w:val="auto"/>
                    </w:rPr>
                    <w:t>2.614</w:t>
                  </w:r>
                </w:p>
              </w:tc>
              <w:tc>
                <w:tcPr>
                  <w:tcW w:w="983" w:type="dxa"/>
                  <w:vAlign w:val="center"/>
                </w:tcPr>
                <w:p>
                  <w:pPr>
                    <w:pStyle w:val="7"/>
                    <w:adjustRightInd w:val="0"/>
                    <w:snapToGrid w:val="0"/>
                    <w:ind w:firstLine="0"/>
                    <w:jc w:val="center"/>
                    <w:rPr>
                      <w:bCs/>
                      <w:color w:val="auto"/>
                    </w:rPr>
                  </w:pPr>
                  <w:r>
                    <w:rPr>
                      <w:bCs/>
                      <w:color w:val="auto"/>
                    </w:rPr>
                    <w:t>3.016</w:t>
                  </w:r>
                </w:p>
              </w:tc>
              <w:tc>
                <w:tcPr>
                  <w:tcW w:w="997" w:type="dxa"/>
                  <w:vAlign w:val="center"/>
                </w:tcPr>
                <w:p>
                  <w:pPr>
                    <w:pStyle w:val="7"/>
                    <w:adjustRightInd w:val="0"/>
                    <w:snapToGrid w:val="0"/>
                    <w:ind w:firstLine="0"/>
                    <w:jc w:val="center"/>
                    <w:rPr>
                      <w:bCs/>
                      <w:color w:val="auto"/>
                    </w:rPr>
                  </w:pPr>
                  <w:r>
                    <w:rPr>
                      <w:bCs/>
                      <w:color w:val="auto"/>
                    </w:rPr>
                    <w:t>3.418</w:t>
                  </w:r>
                </w:p>
              </w:tc>
              <w:tc>
                <w:tcPr>
                  <w:tcW w:w="1035" w:type="dxa"/>
                  <w:vAlign w:val="center"/>
                </w:tcPr>
                <w:p>
                  <w:pPr>
                    <w:pStyle w:val="7"/>
                    <w:adjustRightInd w:val="0"/>
                    <w:snapToGrid w:val="0"/>
                    <w:ind w:firstLine="0"/>
                    <w:jc w:val="center"/>
                    <w:rPr>
                      <w:bCs/>
                      <w:color w:val="auto"/>
                    </w:rPr>
                  </w:pPr>
                  <w:r>
                    <w:rPr>
                      <w:bCs/>
                      <w:color w:val="auto"/>
                    </w:rPr>
                    <w:t>3.820</w:t>
                  </w:r>
                </w:p>
              </w:tc>
              <w:tc>
                <w:tcPr>
                  <w:tcW w:w="981" w:type="dxa"/>
                  <w:vAlign w:val="center"/>
                </w:tcPr>
                <w:p>
                  <w:pPr>
                    <w:pStyle w:val="7"/>
                    <w:adjustRightInd w:val="0"/>
                    <w:snapToGrid w:val="0"/>
                    <w:ind w:firstLine="0"/>
                    <w:jc w:val="center"/>
                    <w:rPr>
                      <w:bCs/>
                      <w:color w:val="auto"/>
                    </w:rPr>
                  </w:pPr>
                  <w:r>
                    <w:rPr>
                      <w:bCs/>
                      <w:color w:val="auto"/>
                    </w:rPr>
                    <w:t>4.</w:t>
                  </w:r>
                  <w:r>
                    <w:rPr>
                      <w:rFonts w:hint="eastAsia"/>
                      <w:bCs/>
                      <w:color w:val="auto"/>
                    </w:rPr>
                    <w:t>2</w:t>
                  </w:r>
                  <w:r>
                    <w:rPr>
                      <w:bCs/>
                      <w:color w:val="auto"/>
                    </w:rPr>
                    <w:t>22</w:t>
                  </w:r>
                </w:p>
              </w:tc>
              <w:tc>
                <w:tcPr>
                  <w:tcW w:w="919" w:type="dxa"/>
                  <w:vAlign w:val="center"/>
                </w:tcPr>
                <w:p>
                  <w:pPr>
                    <w:pStyle w:val="7"/>
                    <w:adjustRightInd w:val="0"/>
                    <w:snapToGrid w:val="0"/>
                    <w:ind w:firstLine="0"/>
                    <w:jc w:val="center"/>
                    <w:rPr>
                      <w:bCs/>
                      <w:color w:val="auto"/>
                    </w:rPr>
                  </w:pPr>
                  <w:r>
                    <w:rPr>
                      <w:bCs/>
                      <w:color w:val="auto"/>
                    </w:rPr>
                    <w:t>4.624</w:t>
                  </w:r>
                </w:p>
              </w:tc>
            </w:tr>
          </w:tbl>
          <w:p>
            <w:pPr>
              <w:pStyle w:val="7"/>
              <w:adjustRightInd w:val="0"/>
              <w:snapToGrid w:val="0"/>
              <w:spacing w:line="480" w:lineRule="exact"/>
              <w:ind w:firstLine="480"/>
              <w:jc w:val="center"/>
              <w:rPr>
                <w:b/>
                <w:bCs/>
                <w:color w:val="auto"/>
                <w:sz w:val="24"/>
              </w:rPr>
            </w:pPr>
            <w:r>
              <w:rPr>
                <w:b/>
                <w:bCs/>
                <w:color w:val="auto"/>
                <w:sz w:val="24"/>
              </w:rPr>
              <w:t xml:space="preserve">表15　在不同车速和地面清洁程度的汽车扬尘 </w:t>
            </w:r>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06"/>
              <w:gridCol w:w="1051"/>
              <w:gridCol w:w="963"/>
              <w:gridCol w:w="1103"/>
              <w:gridCol w:w="1154"/>
              <w:gridCol w:w="1154"/>
              <w:gridCol w:w="10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506" w:type="dxa"/>
                  <w:tcBorders>
                    <w:tl2br w:val="single" w:color="auto" w:sz="4" w:space="0"/>
                  </w:tcBorders>
                </w:tcPr>
                <w:p>
                  <w:pPr>
                    <w:pStyle w:val="7"/>
                    <w:adjustRightInd w:val="0"/>
                    <w:snapToGrid w:val="0"/>
                    <w:ind w:firstLine="0"/>
                    <w:jc w:val="right"/>
                    <w:rPr>
                      <w:bCs/>
                      <w:color w:val="auto"/>
                    </w:rPr>
                  </w:pPr>
                  <w:r>
                    <w:rPr>
                      <w:bCs/>
                      <w:color w:val="auto"/>
                    </w:rPr>
                    <w:t>P</w:t>
                  </w:r>
                </w:p>
                <w:p>
                  <w:pPr>
                    <w:pStyle w:val="7"/>
                    <w:adjustRightInd w:val="0"/>
                    <w:snapToGrid w:val="0"/>
                    <w:ind w:firstLine="0"/>
                    <w:rPr>
                      <w:bCs/>
                      <w:color w:val="auto"/>
                    </w:rPr>
                  </w:pPr>
                  <w:r>
                    <w:rPr>
                      <w:bCs/>
                      <w:color w:val="auto"/>
                    </w:rPr>
                    <w:t>车速</w:t>
                  </w:r>
                </w:p>
              </w:tc>
              <w:tc>
                <w:tcPr>
                  <w:tcW w:w="1051" w:type="dxa"/>
                  <w:vAlign w:val="center"/>
                </w:tcPr>
                <w:p>
                  <w:pPr>
                    <w:pStyle w:val="7"/>
                    <w:adjustRightInd w:val="0"/>
                    <w:snapToGrid w:val="0"/>
                    <w:ind w:firstLine="0"/>
                    <w:jc w:val="center"/>
                    <w:rPr>
                      <w:bCs/>
                      <w:color w:val="auto"/>
                    </w:rPr>
                  </w:pPr>
                  <w:r>
                    <w:rPr>
                      <w:bCs/>
                      <w:color w:val="auto"/>
                    </w:rPr>
                    <w:t>0.1</w:t>
                  </w:r>
                </w:p>
              </w:tc>
              <w:tc>
                <w:tcPr>
                  <w:tcW w:w="963" w:type="dxa"/>
                  <w:vAlign w:val="center"/>
                </w:tcPr>
                <w:p>
                  <w:pPr>
                    <w:pStyle w:val="7"/>
                    <w:adjustRightInd w:val="0"/>
                    <w:snapToGrid w:val="0"/>
                    <w:ind w:firstLine="0"/>
                    <w:jc w:val="center"/>
                    <w:rPr>
                      <w:bCs/>
                      <w:color w:val="auto"/>
                    </w:rPr>
                  </w:pPr>
                  <w:r>
                    <w:rPr>
                      <w:bCs/>
                      <w:color w:val="auto"/>
                    </w:rPr>
                    <w:t>0.2</w:t>
                  </w:r>
                </w:p>
              </w:tc>
              <w:tc>
                <w:tcPr>
                  <w:tcW w:w="1103" w:type="dxa"/>
                  <w:vAlign w:val="center"/>
                </w:tcPr>
                <w:p>
                  <w:pPr>
                    <w:pStyle w:val="7"/>
                    <w:adjustRightInd w:val="0"/>
                    <w:snapToGrid w:val="0"/>
                    <w:ind w:firstLine="0"/>
                    <w:jc w:val="center"/>
                    <w:rPr>
                      <w:bCs/>
                      <w:color w:val="auto"/>
                    </w:rPr>
                  </w:pPr>
                  <w:r>
                    <w:rPr>
                      <w:bCs/>
                      <w:color w:val="auto"/>
                    </w:rPr>
                    <w:t>0.3</w:t>
                  </w:r>
                </w:p>
              </w:tc>
              <w:tc>
                <w:tcPr>
                  <w:tcW w:w="1154" w:type="dxa"/>
                  <w:vAlign w:val="center"/>
                </w:tcPr>
                <w:p>
                  <w:pPr>
                    <w:pStyle w:val="7"/>
                    <w:adjustRightInd w:val="0"/>
                    <w:snapToGrid w:val="0"/>
                    <w:ind w:firstLine="0"/>
                    <w:jc w:val="center"/>
                    <w:rPr>
                      <w:bCs/>
                      <w:color w:val="auto"/>
                    </w:rPr>
                  </w:pPr>
                  <w:r>
                    <w:rPr>
                      <w:bCs/>
                      <w:color w:val="auto"/>
                    </w:rPr>
                    <w:t>0.4</w:t>
                  </w:r>
                </w:p>
              </w:tc>
              <w:tc>
                <w:tcPr>
                  <w:tcW w:w="1154" w:type="dxa"/>
                  <w:vAlign w:val="center"/>
                </w:tcPr>
                <w:p>
                  <w:pPr>
                    <w:pStyle w:val="7"/>
                    <w:adjustRightInd w:val="0"/>
                    <w:snapToGrid w:val="0"/>
                    <w:ind w:firstLine="0"/>
                    <w:jc w:val="center"/>
                    <w:rPr>
                      <w:bCs/>
                      <w:color w:val="auto"/>
                    </w:rPr>
                  </w:pPr>
                  <w:r>
                    <w:rPr>
                      <w:bCs/>
                      <w:color w:val="auto"/>
                    </w:rPr>
                    <w:t>0.5</w:t>
                  </w:r>
                </w:p>
              </w:tc>
              <w:tc>
                <w:tcPr>
                  <w:tcW w:w="1039" w:type="dxa"/>
                  <w:vAlign w:val="center"/>
                </w:tcPr>
                <w:p>
                  <w:pPr>
                    <w:pStyle w:val="7"/>
                    <w:adjustRightInd w:val="0"/>
                    <w:snapToGrid w:val="0"/>
                    <w:ind w:firstLine="0"/>
                    <w:jc w:val="center"/>
                    <w:rPr>
                      <w:bCs/>
                      <w:color w:val="auto"/>
                    </w:rPr>
                  </w:pPr>
                  <w:r>
                    <w:rPr>
                      <w:bCs/>
                      <w:color w:val="auto"/>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506" w:type="dxa"/>
                </w:tcPr>
                <w:p>
                  <w:pPr>
                    <w:pStyle w:val="7"/>
                    <w:adjustRightInd w:val="0"/>
                    <w:snapToGrid w:val="0"/>
                    <w:ind w:firstLine="0"/>
                    <w:jc w:val="center"/>
                    <w:rPr>
                      <w:bCs/>
                      <w:color w:val="auto"/>
                    </w:rPr>
                  </w:pPr>
                  <w:r>
                    <w:rPr>
                      <w:bCs/>
                      <w:color w:val="auto"/>
                    </w:rPr>
                    <w:t>5（km/hr）</w:t>
                  </w:r>
                </w:p>
              </w:tc>
              <w:tc>
                <w:tcPr>
                  <w:tcW w:w="1051" w:type="dxa"/>
                </w:tcPr>
                <w:p>
                  <w:pPr>
                    <w:pStyle w:val="7"/>
                    <w:adjustRightInd w:val="0"/>
                    <w:snapToGrid w:val="0"/>
                    <w:ind w:firstLine="0"/>
                    <w:jc w:val="center"/>
                    <w:rPr>
                      <w:bCs/>
                      <w:color w:val="auto"/>
                    </w:rPr>
                  </w:pPr>
                  <w:r>
                    <w:rPr>
                      <w:bCs/>
                      <w:color w:val="auto"/>
                    </w:rPr>
                    <w:t>0.051</w:t>
                  </w:r>
                </w:p>
              </w:tc>
              <w:tc>
                <w:tcPr>
                  <w:tcW w:w="963" w:type="dxa"/>
                </w:tcPr>
                <w:p>
                  <w:pPr>
                    <w:pStyle w:val="7"/>
                    <w:adjustRightInd w:val="0"/>
                    <w:snapToGrid w:val="0"/>
                    <w:ind w:firstLine="0"/>
                    <w:jc w:val="center"/>
                    <w:rPr>
                      <w:bCs/>
                      <w:color w:val="auto"/>
                    </w:rPr>
                  </w:pPr>
                  <w:r>
                    <w:rPr>
                      <w:bCs/>
                      <w:color w:val="auto"/>
                    </w:rPr>
                    <w:t>0.086</w:t>
                  </w:r>
                </w:p>
              </w:tc>
              <w:tc>
                <w:tcPr>
                  <w:tcW w:w="1103" w:type="dxa"/>
                </w:tcPr>
                <w:p>
                  <w:pPr>
                    <w:pStyle w:val="7"/>
                    <w:adjustRightInd w:val="0"/>
                    <w:snapToGrid w:val="0"/>
                    <w:ind w:firstLine="0"/>
                    <w:jc w:val="center"/>
                    <w:rPr>
                      <w:bCs/>
                      <w:color w:val="auto"/>
                    </w:rPr>
                  </w:pPr>
                  <w:r>
                    <w:rPr>
                      <w:bCs/>
                      <w:color w:val="auto"/>
                    </w:rPr>
                    <w:t>0.116</w:t>
                  </w:r>
                </w:p>
              </w:tc>
              <w:tc>
                <w:tcPr>
                  <w:tcW w:w="1154" w:type="dxa"/>
                </w:tcPr>
                <w:p>
                  <w:pPr>
                    <w:pStyle w:val="7"/>
                    <w:adjustRightInd w:val="0"/>
                    <w:snapToGrid w:val="0"/>
                    <w:ind w:firstLine="0"/>
                    <w:jc w:val="center"/>
                    <w:rPr>
                      <w:bCs/>
                      <w:color w:val="auto"/>
                    </w:rPr>
                  </w:pPr>
                  <w:r>
                    <w:rPr>
                      <w:bCs/>
                      <w:color w:val="auto"/>
                    </w:rPr>
                    <w:t>0.144</w:t>
                  </w:r>
                </w:p>
              </w:tc>
              <w:tc>
                <w:tcPr>
                  <w:tcW w:w="1154" w:type="dxa"/>
                </w:tcPr>
                <w:p>
                  <w:pPr>
                    <w:pStyle w:val="7"/>
                    <w:adjustRightInd w:val="0"/>
                    <w:snapToGrid w:val="0"/>
                    <w:ind w:firstLine="0"/>
                    <w:jc w:val="center"/>
                    <w:rPr>
                      <w:bCs/>
                      <w:color w:val="auto"/>
                    </w:rPr>
                  </w:pPr>
                  <w:r>
                    <w:rPr>
                      <w:bCs/>
                      <w:color w:val="auto"/>
                    </w:rPr>
                    <w:t>0.171</w:t>
                  </w:r>
                </w:p>
              </w:tc>
              <w:tc>
                <w:tcPr>
                  <w:tcW w:w="1039" w:type="dxa"/>
                </w:tcPr>
                <w:p>
                  <w:pPr>
                    <w:pStyle w:val="7"/>
                    <w:adjustRightInd w:val="0"/>
                    <w:snapToGrid w:val="0"/>
                    <w:ind w:firstLine="0"/>
                    <w:jc w:val="center"/>
                    <w:rPr>
                      <w:bCs/>
                      <w:color w:val="auto"/>
                    </w:rPr>
                  </w:pPr>
                  <w:r>
                    <w:rPr>
                      <w:bCs/>
                      <w:color w:val="auto"/>
                    </w:rPr>
                    <w:t>0.287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6" w:type="dxa"/>
                </w:tcPr>
                <w:p>
                  <w:pPr>
                    <w:pStyle w:val="7"/>
                    <w:adjustRightInd w:val="0"/>
                    <w:snapToGrid w:val="0"/>
                    <w:ind w:firstLine="0"/>
                    <w:jc w:val="center"/>
                    <w:rPr>
                      <w:bCs/>
                      <w:color w:val="auto"/>
                    </w:rPr>
                  </w:pPr>
                  <w:r>
                    <w:rPr>
                      <w:bCs/>
                      <w:color w:val="auto"/>
                    </w:rPr>
                    <w:t>10（km/hr）</w:t>
                  </w:r>
                </w:p>
              </w:tc>
              <w:tc>
                <w:tcPr>
                  <w:tcW w:w="1051" w:type="dxa"/>
                </w:tcPr>
                <w:p>
                  <w:pPr>
                    <w:pStyle w:val="7"/>
                    <w:adjustRightInd w:val="0"/>
                    <w:snapToGrid w:val="0"/>
                    <w:ind w:firstLine="0"/>
                    <w:jc w:val="center"/>
                    <w:rPr>
                      <w:bCs/>
                      <w:color w:val="auto"/>
                    </w:rPr>
                  </w:pPr>
                  <w:r>
                    <w:rPr>
                      <w:bCs/>
                      <w:color w:val="auto"/>
                    </w:rPr>
                    <w:t>0.10</w:t>
                  </w:r>
                  <w:r>
                    <w:rPr>
                      <w:rFonts w:hint="eastAsia"/>
                      <w:bCs/>
                      <w:color w:val="auto"/>
                    </w:rPr>
                    <w:t>2</w:t>
                  </w:r>
                </w:p>
              </w:tc>
              <w:tc>
                <w:tcPr>
                  <w:tcW w:w="963" w:type="dxa"/>
                </w:tcPr>
                <w:p>
                  <w:pPr>
                    <w:pStyle w:val="7"/>
                    <w:adjustRightInd w:val="0"/>
                    <w:snapToGrid w:val="0"/>
                    <w:ind w:firstLine="0"/>
                    <w:jc w:val="center"/>
                    <w:rPr>
                      <w:bCs/>
                      <w:color w:val="auto"/>
                    </w:rPr>
                  </w:pPr>
                  <w:r>
                    <w:rPr>
                      <w:bCs/>
                      <w:color w:val="auto"/>
                    </w:rPr>
                    <w:t>0.17</w:t>
                  </w:r>
                  <w:r>
                    <w:rPr>
                      <w:rFonts w:hint="eastAsia"/>
                      <w:bCs/>
                      <w:color w:val="auto"/>
                    </w:rPr>
                    <w:t>2</w:t>
                  </w:r>
                </w:p>
              </w:tc>
              <w:tc>
                <w:tcPr>
                  <w:tcW w:w="1103" w:type="dxa"/>
                </w:tcPr>
                <w:p>
                  <w:pPr>
                    <w:pStyle w:val="7"/>
                    <w:adjustRightInd w:val="0"/>
                    <w:snapToGrid w:val="0"/>
                    <w:ind w:firstLine="0"/>
                    <w:jc w:val="center"/>
                    <w:rPr>
                      <w:bCs/>
                      <w:color w:val="auto"/>
                    </w:rPr>
                  </w:pPr>
                  <w:r>
                    <w:rPr>
                      <w:bCs/>
                      <w:color w:val="auto"/>
                    </w:rPr>
                    <w:t>0.232</w:t>
                  </w:r>
                </w:p>
              </w:tc>
              <w:tc>
                <w:tcPr>
                  <w:tcW w:w="1154" w:type="dxa"/>
                </w:tcPr>
                <w:p>
                  <w:pPr>
                    <w:pStyle w:val="7"/>
                    <w:adjustRightInd w:val="0"/>
                    <w:snapToGrid w:val="0"/>
                    <w:ind w:firstLine="0"/>
                    <w:jc w:val="center"/>
                    <w:rPr>
                      <w:bCs/>
                      <w:color w:val="auto"/>
                    </w:rPr>
                  </w:pPr>
                  <w:r>
                    <w:rPr>
                      <w:bCs/>
                      <w:color w:val="auto"/>
                    </w:rPr>
                    <w:t>0.289</w:t>
                  </w:r>
                </w:p>
              </w:tc>
              <w:tc>
                <w:tcPr>
                  <w:tcW w:w="1154" w:type="dxa"/>
                </w:tcPr>
                <w:p>
                  <w:pPr>
                    <w:pStyle w:val="7"/>
                    <w:adjustRightInd w:val="0"/>
                    <w:snapToGrid w:val="0"/>
                    <w:ind w:firstLine="0"/>
                    <w:jc w:val="center"/>
                    <w:rPr>
                      <w:bCs/>
                      <w:color w:val="auto"/>
                    </w:rPr>
                  </w:pPr>
                  <w:r>
                    <w:rPr>
                      <w:bCs/>
                      <w:color w:val="auto"/>
                    </w:rPr>
                    <w:t>0.341</w:t>
                  </w:r>
                </w:p>
              </w:tc>
              <w:tc>
                <w:tcPr>
                  <w:tcW w:w="1039" w:type="dxa"/>
                </w:tcPr>
                <w:p>
                  <w:pPr>
                    <w:pStyle w:val="7"/>
                    <w:adjustRightInd w:val="0"/>
                    <w:snapToGrid w:val="0"/>
                    <w:ind w:firstLine="0"/>
                    <w:jc w:val="center"/>
                    <w:rPr>
                      <w:bCs/>
                      <w:color w:val="auto"/>
                    </w:rPr>
                  </w:pPr>
                  <w:r>
                    <w:rPr>
                      <w:bCs/>
                      <w:color w:val="auto"/>
                    </w:rPr>
                    <w:t>0.57</w:t>
                  </w:r>
                  <w:r>
                    <w:rPr>
                      <w:rFonts w:hint="eastAsia"/>
                      <w:bCs/>
                      <w:color w:val="auto"/>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6" w:type="dxa"/>
                </w:tcPr>
                <w:p>
                  <w:pPr>
                    <w:pStyle w:val="7"/>
                    <w:adjustRightInd w:val="0"/>
                    <w:snapToGrid w:val="0"/>
                    <w:ind w:firstLine="0"/>
                    <w:jc w:val="center"/>
                    <w:rPr>
                      <w:bCs/>
                      <w:color w:val="auto"/>
                    </w:rPr>
                  </w:pPr>
                  <w:r>
                    <w:rPr>
                      <w:bCs/>
                      <w:color w:val="auto"/>
                    </w:rPr>
                    <w:t>15（km/hr）</w:t>
                  </w:r>
                </w:p>
              </w:tc>
              <w:tc>
                <w:tcPr>
                  <w:tcW w:w="1051" w:type="dxa"/>
                </w:tcPr>
                <w:p>
                  <w:pPr>
                    <w:pStyle w:val="7"/>
                    <w:adjustRightInd w:val="0"/>
                    <w:snapToGrid w:val="0"/>
                    <w:ind w:firstLine="0"/>
                    <w:jc w:val="center"/>
                    <w:rPr>
                      <w:bCs/>
                      <w:color w:val="auto"/>
                    </w:rPr>
                  </w:pPr>
                  <w:r>
                    <w:rPr>
                      <w:bCs/>
                      <w:color w:val="auto"/>
                    </w:rPr>
                    <w:t>0.1</w:t>
                  </w:r>
                  <w:r>
                    <w:rPr>
                      <w:rFonts w:hint="eastAsia"/>
                      <w:bCs/>
                      <w:color w:val="auto"/>
                    </w:rPr>
                    <w:t>2</w:t>
                  </w:r>
                  <w:r>
                    <w:rPr>
                      <w:bCs/>
                      <w:color w:val="auto"/>
                    </w:rPr>
                    <w:t>3</w:t>
                  </w:r>
                </w:p>
              </w:tc>
              <w:tc>
                <w:tcPr>
                  <w:tcW w:w="963" w:type="dxa"/>
                </w:tcPr>
                <w:p>
                  <w:pPr>
                    <w:pStyle w:val="7"/>
                    <w:adjustRightInd w:val="0"/>
                    <w:snapToGrid w:val="0"/>
                    <w:ind w:firstLine="0"/>
                    <w:jc w:val="center"/>
                    <w:rPr>
                      <w:bCs/>
                      <w:color w:val="auto"/>
                    </w:rPr>
                  </w:pPr>
                  <w:r>
                    <w:rPr>
                      <w:bCs/>
                      <w:color w:val="auto"/>
                    </w:rPr>
                    <w:t>0</w:t>
                  </w:r>
                  <w:r>
                    <w:rPr>
                      <w:rFonts w:hint="eastAsia"/>
                      <w:bCs/>
                      <w:color w:val="auto"/>
                    </w:rPr>
                    <w:t>.</w:t>
                  </w:r>
                  <w:r>
                    <w:rPr>
                      <w:bCs/>
                      <w:color w:val="auto"/>
                    </w:rPr>
                    <w:t>257</w:t>
                  </w:r>
                </w:p>
              </w:tc>
              <w:tc>
                <w:tcPr>
                  <w:tcW w:w="1103" w:type="dxa"/>
                </w:tcPr>
                <w:p>
                  <w:pPr>
                    <w:pStyle w:val="7"/>
                    <w:adjustRightInd w:val="0"/>
                    <w:snapToGrid w:val="0"/>
                    <w:ind w:firstLine="0"/>
                    <w:jc w:val="center"/>
                    <w:rPr>
                      <w:bCs/>
                      <w:color w:val="auto"/>
                    </w:rPr>
                  </w:pPr>
                  <w:r>
                    <w:rPr>
                      <w:bCs/>
                      <w:color w:val="auto"/>
                    </w:rPr>
                    <w:t>0.349</w:t>
                  </w:r>
                </w:p>
              </w:tc>
              <w:tc>
                <w:tcPr>
                  <w:tcW w:w="1154" w:type="dxa"/>
                </w:tcPr>
                <w:p>
                  <w:pPr>
                    <w:pStyle w:val="7"/>
                    <w:adjustRightInd w:val="0"/>
                    <w:snapToGrid w:val="0"/>
                    <w:ind w:firstLine="0"/>
                    <w:jc w:val="center"/>
                    <w:rPr>
                      <w:bCs/>
                      <w:color w:val="auto"/>
                    </w:rPr>
                  </w:pPr>
                  <w:r>
                    <w:rPr>
                      <w:bCs/>
                      <w:color w:val="auto"/>
                    </w:rPr>
                    <w:t>0.433</w:t>
                  </w:r>
                </w:p>
              </w:tc>
              <w:tc>
                <w:tcPr>
                  <w:tcW w:w="1154" w:type="dxa"/>
                </w:tcPr>
                <w:p>
                  <w:pPr>
                    <w:pStyle w:val="7"/>
                    <w:adjustRightInd w:val="0"/>
                    <w:snapToGrid w:val="0"/>
                    <w:ind w:firstLine="0"/>
                    <w:jc w:val="center"/>
                    <w:rPr>
                      <w:bCs/>
                      <w:color w:val="auto"/>
                    </w:rPr>
                  </w:pPr>
                  <w:r>
                    <w:rPr>
                      <w:bCs/>
                      <w:color w:val="auto"/>
                    </w:rPr>
                    <w:t>0.512</w:t>
                  </w:r>
                </w:p>
              </w:tc>
              <w:tc>
                <w:tcPr>
                  <w:tcW w:w="1039" w:type="dxa"/>
                </w:tcPr>
                <w:p>
                  <w:pPr>
                    <w:pStyle w:val="7"/>
                    <w:adjustRightInd w:val="0"/>
                    <w:snapToGrid w:val="0"/>
                    <w:ind w:firstLine="0"/>
                    <w:jc w:val="center"/>
                    <w:rPr>
                      <w:bCs/>
                      <w:color w:val="auto"/>
                    </w:rPr>
                  </w:pPr>
                  <w:r>
                    <w:rPr>
                      <w:bCs/>
                      <w:color w:val="auto"/>
                    </w:rPr>
                    <w:t>0.861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6" w:type="dxa"/>
                </w:tcPr>
                <w:p>
                  <w:pPr>
                    <w:pStyle w:val="7"/>
                    <w:adjustRightInd w:val="0"/>
                    <w:snapToGrid w:val="0"/>
                    <w:ind w:firstLine="0"/>
                    <w:jc w:val="center"/>
                    <w:rPr>
                      <w:bCs/>
                      <w:color w:val="auto"/>
                    </w:rPr>
                  </w:pPr>
                  <w:r>
                    <w:rPr>
                      <w:bCs/>
                      <w:color w:val="auto"/>
                    </w:rPr>
                    <w:t>20（km/hr）</w:t>
                  </w:r>
                </w:p>
              </w:tc>
              <w:tc>
                <w:tcPr>
                  <w:tcW w:w="1051" w:type="dxa"/>
                </w:tcPr>
                <w:p>
                  <w:pPr>
                    <w:pStyle w:val="7"/>
                    <w:adjustRightInd w:val="0"/>
                    <w:snapToGrid w:val="0"/>
                    <w:ind w:firstLine="0"/>
                    <w:jc w:val="center"/>
                    <w:rPr>
                      <w:bCs/>
                      <w:color w:val="auto"/>
                    </w:rPr>
                  </w:pPr>
                  <w:r>
                    <w:rPr>
                      <w:bCs/>
                      <w:color w:val="auto"/>
                    </w:rPr>
                    <w:t>0.2</w:t>
                  </w:r>
                  <w:r>
                    <w:rPr>
                      <w:rFonts w:hint="eastAsia"/>
                      <w:bCs/>
                      <w:color w:val="auto"/>
                    </w:rPr>
                    <w:t>55</w:t>
                  </w:r>
                </w:p>
              </w:tc>
              <w:tc>
                <w:tcPr>
                  <w:tcW w:w="963" w:type="dxa"/>
                </w:tcPr>
                <w:p>
                  <w:pPr>
                    <w:pStyle w:val="7"/>
                    <w:adjustRightInd w:val="0"/>
                    <w:snapToGrid w:val="0"/>
                    <w:ind w:firstLine="0"/>
                    <w:jc w:val="center"/>
                    <w:rPr>
                      <w:bCs/>
                      <w:color w:val="auto"/>
                    </w:rPr>
                  </w:pPr>
                  <w:r>
                    <w:rPr>
                      <w:bCs/>
                      <w:color w:val="auto"/>
                    </w:rPr>
                    <w:t>0.429</w:t>
                  </w:r>
                </w:p>
              </w:tc>
              <w:tc>
                <w:tcPr>
                  <w:tcW w:w="1103" w:type="dxa"/>
                </w:tcPr>
                <w:p>
                  <w:pPr>
                    <w:pStyle w:val="7"/>
                    <w:adjustRightInd w:val="0"/>
                    <w:snapToGrid w:val="0"/>
                    <w:ind w:firstLine="0"/>
                    <w:jc w:val="center"/>
                    <w:rPr>
                      <w:bCs/>
                      <w:color w:val="auto"/>
                    </w:rPr>
                  </w:pPr>
                  <w:r>
                    <w:rPr>
                      <w:bCs/>
                      <w:color w:val="auto"/>
                    </w:rPr>
                    <w:t>0.582</w:t>
                  </w:r>
                </w:p>
              </w:tc>
              <w:tc>
                <w:tcPr>
                  <w:tcW w:w="1154" w:type="dxa"/>
                </w:tcPr>
                <w:p>
                  <w:pPr>
                    <w:pStyle w:val="7"/>
                    <w:adjustRightInd w:val="0"/>
                    <w:snapToGrid w:val="0"/>
                    <w:ind w:firstLine="0"/>
                    <w:jc w:val="center"/>
                    <w:rPr>
                      <w:bCs/>
                      <w:color w:val="auto"/>
                    </w:rPr>
                  </w:pPr>
                  <w:r>
                    <w:rPr>
                      <w:bCs/>
                      <w:color w:val="auto"/>
                    </w:rPr>
                    <w:t>0.722</w:t>
                  </w:r>
                </w:p>
              </w:tc>
              <w:tc>
                <w:tcPr>
                  <w:tcW w:w="1154" w:type="dxa"/>
                </w:tcPr>
                <w:p>
                  <w:pPr>
                    <w:pStyle w:val="7"/>
                    <w:adjustRightInd w:val="0"/>
                    <w:snapToGrid w:val="0"/>
                    <w:ind w:firstLine="0"/>
                    <w:jc w:val="center"/>
                    <w:rPr>
                      <w:bCs/>
                      <w:color w:val="auto"/>
                    </w:rPr>
                  </w:pPr>
                  <w:r>
                    <w:rPr>
                      <w:bCs/>
                      <w:color w:val="auto"/>
                    </w:rPr>
                    <w:t>0.853</w:t>
                  </w:r>
                </w:p>
              </w:tc>
              <w:tc>
                <w:tcPr>
                  <w:tcW w:w="1039" w:type="dxa"/>
                </w:tcPr>
                <w:p>
                  <w:pPr>
                    <w:pStyle w:val="7"/>
                    <w:adjustRightInd w:val="0"/>
                    <w:snapToGrid w:val="0"/>
                    <w:ind w:firstLine="0"/>
                    <w:jc w:val="center"/>
                    <w:rPr>
                      <w:bCs/>
                      <w:color w:val="auto"/>
                    </w:rPr>
                  </w:pPr>
                  <w:r>
                    <w:rPr>
                      <w:bCs/>
                      <w:color w:val="auto"/>
                    </w:rPr>
                    <w:t>1.435</w:t>
                  </w:r>
                </w:p>
              </w:tc>
            </w:tr>
          </w:tbl>
          <w:p>
            <w:pPr>
              <w:snapToGrid w:val="0"/>
              <w:spacing w:line="480" w:lineRule="exact"/>
              <w:ind w:firstLine="361" w:firstLineChars="150"/>
              <w:rPr>
                <w:b/>
                <w:bCs/>
                <w:color w:val="auto"/>
                <w:sz w:val="24"/>
              </w:rPr>
            </w:pPr>
            <w:r>
              <w:rPr>
                <w:b/>
                <w:bCs/>
                <w:color w:val="auto"/>
                <w:sz w:val="24"/>
              </w:rPr>
              <w:t>（3）施工噪声</w:t>
            </w:r>
          </w:p>
          <w:p>
            <w:pPr>
              <w:pStyle w:val="130"/>
              <w:snapToGrid w:val="0"/>
              <w:spacing w:before="0" w:after="0" w:line="480" w:lineRule="exact"/>
              <w:jc w:val="both"/>
              <w:rPr>
                <w:rFonts w:ascii="Times New Roman" w:hAnsi="Times New Roman"/>
                <w:color w:val="auto"/>
              </w:rPr>
            </w:pPr>
            <w:r>
              <w:rPr>
                <w:rFonts w:ascii="Times New Roman" w:hAnsi="Times New Roman"/>
                <w:color w:val="auto"/>
              </w:rPr>
              <w:t>项目在施工期间的主要噪声源有：</w:t>
            </w:r>
            <w:r>
              <w:rPr>
                <w:rFonts w:ascii="Times New Roman" w:hAnsi="Times New Roman"/>
                <w:color w:val="auto"/>
              </w:rPr>
              <w:fldChar w:fldCharType="begin"/>
            </w:r>
            <w:r>
              <w:rPr>
                <w:rFonts w:ascii="Times New Roman" w:hAnsi="Times New Roman"/>
                <w:color w:val="auto"/>
              </w:rPr>
              <w:instrText xml:space="preserve"> = 1 \* GB3 </w:instrText>
            </w:r>
            <w:r>
              <w:rPr>
                <w:rFonts w:ascii="Times New Roman" w:hAnsi="Times New Roman"/>
                <w:color w:val="auto"/>
              </w:rPr>
              <w:fldChar w:fldCharType="separate"/>
            </w:r>
            <w:r>
              <w:rPr>
                <w:rFonts w:hint="eastAsia" w:ascii="Times New Roman" w:hAnsi="Times New Roman"/>
                <w:color w:val="auto"/>
              </w:rPr>
              <w:t>①</w:t>
            </w:r>
            <w:r>
              <w:rPr>
                <w:rFonts w:ascii="Times New Roman" w:hAnsi="Times New Roman"/>
                <w:color w:val="auto"/>
              </w:rPr>
              <w:fldChar w:fldCharType="end"/>
            </w:r>
            <w:r>
              <w:rPr>
                <w:rFonts w:ascii="Times New Roman" w:hAnsi="Times New Roman"/>
                <w:color w:val="auto"/>
              </w:rPr>
              <w:t>使用施工机械，如挖掘机、</w:t>
            </w:r>
            <w:r>
              <w:rPr>
                <w:rFonts w:hint="eastAsia" w:ascii="Times New Roman" w:hAnsi="Times New Roman"/>
                <w:color w:val="auto"/>
              </w:rPr>
              <w:t>运载</w:t>
            </w:r>
            <w:r>
              <w:rPr>
                <w:rFonts w:ascii="Times New Roman" w:hAnsi="Times New Roman"/>
                <w:color w:val="auto"/>
              </w:rPr>
              <w:t>车辆等，离施工机械5米处的声级值在</w:t>
            </w:r>
            <w:r>
              <w:rPr>
                <w:rFonts w:hint="eastAsia" w:ascii="Times New Roman" w:hAnsi="Times New Roman"/>
                <w:color w:val="auto"/>
              </w:rPr>
              <w:t>82</w:t>
            </w:r>
            <w:r>
              <w:rPr>
                <w:rFonts w:ascii="Times New Roman" w:hAnsi="Times New Roman"/>
                <w:color w:val="auto"/>
              </w:rPr>
              <w:t>～</w:t>
            </w:r>
            <w:r>
              <w:rPr>
                <w:rFonts w:hint="eastAsia" w:ascii="Times New Roman" w:hAnsi="Times New Roman"/>
                <w:color w:val="auto"/>
              </w:rPr>
              <w:t>95</w:t>
            </w:r>
            <w:r>
              <w:rPr>
                <w:rFonts w:ascii="Times New Roman" w:hAnsi="Times New Roman"/>
                <w:color w:val="auto"/>
              </w:rPr>
              <w:t>dB(A)之间；</w:t>
            </w:r>
            <w:r>
              <w:rPr>
                <w:rFonts w:ascii="Times New Roman" w:hAnsi="Times New Roman"/>
                <w:color w:val="auto"/>
              </w:rPr>
              <w:fldChar w:fldCharType="begin"/>
            </w:r>
            <w:r>
              <w:rPr>
                <w:rFonts w:ascii="Times New Roman" w:hAnsi="Times New Roman"/>
                <w:color w:val="auto"/>
              </w:rPr>
              <w:instrText xml:space="preserve"> = 2 \* GB3 </w:instrText>
            </w:r>
            <w:r>
              <w:rPr>
                <w:rFonts w:ascii="Times New Roman" w:hAnsi="Times New Roman"/>
                <w:color w:val="auto"/>
              </w:rPr>
              <w:fldChar w:fldCharType="separate"/>
            </w:r>
            <w:r>
              <w:rPr>
                <w:rFonts w:hint="eastAsia" w:ascii="Times New Roman" w:hAnsi="Times New Roman"/>
                <w:color w:val="auto"/>
              </w:rPr>
              <w:t>②</w:t>
            </w:r>
            <w:r>
              <w:rPr>
                <w:rFonts w:ascii="Times New Roman" w:hAnsi="Times New Roman"/>
                <w:color w:val="auto"/>
              </w:rPr>
              <w:fldChar w:fldCharType="end"/>
            </w:r>
            <w:r>
              <w:rPr>
                <w:rFonts w:ascii="Times New Roman" w:hAnsi="Times New Roman"/>
                <w:color w:val="auto"/>
              </w:rPr>
              <w:t>建筑材料装卸的碰撞噪声及施工人员的人为噪声；</w:t>
            </w:r>
            <w:r>
              <w:rPr>
                <w:rFonts w:ascii="Times New Roman" w:hAnsi="Times New Roman"/>
                <w:color w:val="auto"/>
              </w:rPr>
              <w:fldChar w:fldCharType="begin"/>
            </w:r>
            <w:r>
              <w:rPr>
                <w:rFonts w:ascii="Times New Roman" w:hAnsi="Times New Roman"/>
                <w:color w:val="auto"/>
              </w:rPr>
              <w:instrText xml:space="preserve"> = 3 \* GB3 </w:instrText>
            </w:r>
            <w:r>
              <w:rPr>
                <w:rFonts w:ascii="Times New Roman" w:hAnsi="Times New Roman"/>
                <w:color w:val="auto"/>
              </w:rPr>
              <w:fldChar w:fldCharType="separate"/>
            </w:r>
            <w:r>
              <w:rPr>
                <w:rFonts w:hint="eastAsia" w:ascii="Times New Roman" w:hAnsi="Times New Roman"/>
                <w:color w:val="auto"/>
              </w:rPr>
              <w:t>③</w:t>
            </w:r>
            <w:r>
              <w:rPr>
                <w:rFonts w:ascii="Times New Roman" w:hAnsi="Times New Roman"/>
                <w:color w:val="auto"/>
              </w:rPr>
              <w:fldChar w:fldCharType="end"/>
            </w:r>
            <w:r>
              <w:rPr>
                <w:rFonts w:ascii="Times New Roman" w:hAnsi="Times New Roman"/>
                <w:color w:val="auto"/>
              </w:rPr>
              <w:t>运输车辆会产生一定的噪声。</w:t>
            </w:r>
          </w:p>
          <w:p>
            <w:pPr>
              <w:pStyle w:val="130"/>
              <w:snapToGrid w:val="0"/>
              <w:spacing w:before="0" w:after="0" w:line="480" w:lineRule="exact"/>
              <w:jc w:val="both"/>
              <w:rPr>
                <w:rFonts w:ascii="Times New Roman" w:hAnsi="Times New Roman"/>
                <w:color w:val="auto"/>
              </w:rPr>
            </w:pPr>
            <w:r>
              <w:rPr>
                <w:rFonts w:ascii="Times New Roman" w:hAnsi="Times New Roman"/>
                <w:color w:val="auto"/>
              </w:rPr>
              <w:t>施工期各类机械设备产生噪声值见表16。</w:t>
            </w:r>
          </w:p>
          <w:p>
            <w:pPr>
              <w:pStyle w:val="130"/>
              <w:snapToGrid w:val="0"/>
              <w:spacing w:before="0" w:after="0" w:line="480" w:lineRule="exact"/>
              <w:ind w:firstLine="0" w:firstLineChars="0"/>
              <w:jc w:val="center"/>
              <w:rPr>
                <w:rFonts w:ascii="Times New Roman" w:hAnsi="Times New Roman"/>
                <w:color w:val="auto"/>
              </w:rPr>
            </w:pPr>
            <w:r>
              <w:rPr>
                <w:rFonts w:ascii="Times New Roman" w:hAnsi="Times New Roman"/>
                <w:b/>
                <w:color w:val="auto"/>
              </w:rPr>
              <w:t>表16</w:t>
            </w:r>
            <w:r>
              <w:rPr>
                <w:rFonts w:ascii="Times New Roman" w:hAnsi="Times New Roman"/>
                <w:color w:val="auto"/>
              </w:rPr>
              <w:t xml:space="preserve">  </w:t>
            </w:r>
            <w:r>
              <w:rPr>
                <w:rFonts w:ascii="Times New Roman" w:hAnsi="Times New Roman"/>
                <w:b/>
                <w:color w:val="auto"/>
              </w:rPr>
              <w:t>主要施工机械设备的噪声声源源强</w:t>
            </w:r>
          </w:p>
          <w:tbl>
            <w:tblPr>
              <w:tblStyle w:val="33"/>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3061"/>
              <w:gridCol w:w="2626"/>
              <w:gridCol w:w="2844"/>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3061" w:type="dxa"/>
                  <w:tcBorders>
                    <w:top w:val="single" w:color="auto" w:sz="4" w:space="0"/>
                    <w:left w:val="single" w:color="auto" w:sz="4" w:space="0"/>
                    <w:bottom w:val="single" w:color="auto" w:sz="4" w:space="0"/>
                    <w:right w:val="single" w:color="auto" w:sz="4" w:space="0"/>
                  </w:tcBorders>
                </w:tcPr>
                <w:p>
                  <w:pPr>
                    <w:snapToGrid w:val="0"/>
                    <w:jc w:val="center"/>
                    <w:rPr>
                      <w:color w:val="auto"/>
                    </w:rPr>
                  </w:pPr>
                  <w:r>
                    <w:rPr>
                      <w:color w:val="auto"/>
                    </w:rPr>
                    <w:t>施工设备名称</w:t>
                  </w:r>
                </w:p>
              </w:tc>
              <w:tc>
                <w:tcPr>
                  <w:tcW w:w="2626" w:type="dxa"/>
                  <w:tcBorders>
                    <w:top w:val="single" w:color="auto" w:sz="4" w:space="0"/>
                    <w:left w:val="single" w:color="auto" w:sz="4" w:space="0"/>
                    <w:bottom w:val="single" w:color="auto" w:sz="4" w:space="0"/>
                    <w:right w:val="single" w:color="auto" w:sz="4" w:space="0"/>
                  </w:tcBorders>
                </w:tcPr>
                <w:p>
                  <w:pPr>
                    <w:snapToGrid w:val="0"/>
                    <w:jc w:val="center"/>
                    <w:rPr>
                      <w:color w:val="auto"/>
                    </w:rPr>
                  </w:pPr>
                  <w:r>
                    <w:rPr>
                      <w:color w:val="auto"/>
                    </w:rPr>
                    <w:t>距声源5米</w:t>
                  </w:r>
                </w:p>
              </w:tc>
              <w:tc>
                <w:tcPr>
                  <w:tcW w:w="2844" w:type="dxa"/>
                  <w:tcBorders>
                    <w:top w:val="single" w:color="auto" w:sz="4" w:space="0"/>
                    <w:left w:val="single" w:color="auto" w:sz="4" w:space="0"/>
                    <w:bottom w:val="single" w:color="auto" w:sz="4" w:space="0"/>
                    <w:right w:val="single" w:color="auto" w:sz="4" w:space="0"/>
                  </w:tcBorders>
                </w:tcPr>
                <w:p>
                  <w:pPr>
                    <w:snapToGrid w:val="0"/>
                    <w:jc w:val="center"/>
                    <w:rPr>
                      <w:color w:val="auto"/>
                    </w:rPr>
                  </w:pPr>
                  <w:r>
                    <w:rPr>
                      <w:color w:val="auto"/>
                    </w:rPr>
                    <w:t>距声源10米</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45" w:hRule="atLeast"/>
                <w:jc w:val="center"/>
              </w:trPr>
              <w:tc>
                <w:tcPr>
                  <w:tcW w:w="3061" w:type="dxa"/>
                  <w:tcBorders>
                    <w:top w:val="single" w:color="auto" w:sz="4" w:space="0"/>
                    <w:left w:val="single" w:color="auto" w:sz="4" w:space="0"/>
                    <w:bottom w:val="single" w:color="auto" w:sz="4" w:space="0"/>
                    <w:right w:val="single" w:color="auto" w:sz="4" w:space="0"/>
                  </w:tcBorders>
                </w:tcPr>
                <w:p>
                  <w:pPr>
                    <w:snapToGrid w:val="0"/>
                    <w:jc w:val="center"/>
                    <w:rPr>
                      <w:color w:val="auto"/>
                    </w:rPr>
                  </w:pPr>
                  <w:r>
                    <w:rPr>
                      <w:color w:val="auto"/>
                    </w:rPr>
                    <w:t>液压式挖掘机</w:t>
                  </w:r>
                </w:p>
              </w:tc>
              <w:tc>
                <w:tcPr>
                  <w:tcW w:w="2626" w:type="dxa"/>
                  <w:tcBorders>
                    <w:top w:val="single" w:color="auto" w:sz="4" w:space="0"/>
                    <w:left w:val="single" w:color="auto" w:sz="4" w:space="0"/>
                    <w:bottom w:val="single" w:color="auto" w:sz="4" w:space="0"/>
                    <w:right w:val="single" w:color="auto" w:sz="4" w:space="0"/>
                  </w:tcBorders>
                </w:tcPr>
                <w:p>
                  <w:pPr>
                    <w:snapToGrid w:val="0"/>
                    <w:jc w:val="center"/>
                    <w:rPr>
                      <w:color w:val="auto"/>
                    </w:rPr>
                  </w:pPr>
                  <w:r>
                    <w:rPr>
                      <w:color w:val="auto"/>
                    </w:rPr>
                    <w:t>82～90</w:t>
                  </w:r>
                </w:p>
              </w:tc>
              <w:tc>
                <w:tcPr>
                  <w:tcW w:w="2844" w:type="dxa"/>
                  <w:tcBorders>
                    <w:top w:val="single" w:color="auto" w:sz="4" w:space="0"/>
                    <w:left w:val="single" w:color="auto" w:sz="4" w:space="0"/>
                    <w:bottom w:val="single" w:color="auto" w:sz="4" w:space="0"/>
                    <w:right w:val="single" w:color="auto" w:sz="4" w:space="0"/>
                  </w:tcBorders>
                </w:tcPr>
                <w:p>
                  <w:pPr>
                    <w:snapToGrid w:val="0"/>
                    <w:jc w:val="center"/>
                    <w:rPr>
                      <w:color w:val="auto"/>
                    </w:rPr>
                  </w:pPr>
                  <w:r>
                    <w:rPr>
                      <w:color w:val="auto"/>
                    </w:rPr>
                    <w:t>78～86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60" w:hRule="atLeast"/>
                <w:jc w:val="center"/>
              </w:trPr>
              <w:tc>
                <w:tcPr>
                  <w:tcW w:w="3061" w:type="dxa"/>
                  <w:tcBorders>
                    <w:top w:val="single" w:color="auto" w:sz="4" w:space="0"/>
                    <w:left w:val="single" w:color="auto" w:sz="4" w:space="0"/>
                    <w:bottom w:val="single" w:color="auto" w:sz="4" w:space="0"/>
                    <w:right w:val="single" w:color="auto" w:sz="4" w:space="0"/>
                  </w:tcBorders>
                </w:tcPr>
                <w:p>
                  <w:pPr>
                    <w:snapToGrid w:val="0"/>
                    <w:jc w:val="center"/>
                    <w:rPr>
                      <w:color w:val="auto"/>
                    </w:rPr>
                  </w:pPr>
                  <w:r>
                    <w:rPr>
                      <w:color w:val="auto"/>
                    </w:rPr>
                    <w:t>运载车辆</w:t>
                  </w:r>
                </w:p>
              </w:tc>
              <w:tc>
                <w:tcPr>
                  <w:tcW w:w="2626" w:type="dxa"/>
                  <w:tcBorders>
                    <w:top w:val="single" w:color="auto" w:sz="4" w:space="0"/>
                    <w:left w:val="single" w:color="auto" w:sz="4" w:space="0"/>
                    <w:bottom w:val="single" w:color="auto" w:sz="4" w:space="0"/>
                    <w:right w:val="single" w:color="auto" w:sz="4" w:space="0"/>
                  </w:tcBorders>
                </w:tcPr>
                <w:p>
                  <w:pPr>
                    <w:jc w:val="center"/>
                    <w:rPr>
                      <w:color w:val="auto"/>
                    </w:rPr>
                  </w:pPr>
                  <w:r>
                    <w:rPr>
                      <w:color w:val="auto"/>
                    </w:rPr>
                    <w:t>82～90</w:t>
                  </w:r>
                </w:p>
              </w:tc>
              <w:tc>
                <w:tcPr>
                  <w:tcW w:w="2844" w:type="dxa"/>
                  <w:tcBorders>
                    <w:top w:val="single" w:color="auto" w:sz="4" w:space="0"/>
                    <w:left w:val="single" w:color="auto" w:sz="4" w:space="0"/>
                    <w:bottom w:val="single" w:color="auto" w:sz="4" w:space="0"/>
                    <w:right w:val="single" w:color="auto" w:sz="4" w:space="0"/>
                  </w:tcBorders>
                </w:tcPr>
                <w:p>
                  <w:pPr>
                    <w:jc w:val="center"/>
                    <w:rPr>
                      <w:color w:val="auto"/>
                    </w:rPr>
                  </w:pPr>
                  <w:r>
                    <w:rPr>
                      <w:color w:val="auto"/>
                    </w:rPr>
                    <w:t>78～86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74" w:hRule="atLeast"/>
                <w:jc w:val="center"/>
              </w:trPr>
              <w:tc>
                <w:tcPr>
                  <w:tcW w:w="3061" w:type="dxa"/>
                  <w:tcBorders>
                    <w:top w:val="single" w:color="auto" w:sz="4" w:space="0"/>
                    <w:left w:val="single" w:color="auto" w:sz="4" w:space="0"/>
                    <w:bottom w:val="single" w:color="auto" w:sz="4" w:space="0"/>
                    <w:right w:val="single" w:color="auto" w:sz="4" w:space="0"/>
                  </w:tcBorders>
                </w:tcPr>
                <w:p>
                  <w:pPr>
                    <w:snapToGrid w:val="0"/>
                    <w:jc w:val="center"/>
                    <w:rPr>
                      <w:color w:val="auto"/>
                    </w:rPr>
                  </w:pPr>
                  <w:r>
                    <w:rPr>
                      <w:color w:val="auto"/>
                    </w:rPr>
                    <w:t>油压千斤顶</w:t>
                  </w:r>
                </w:p>
              </w:tc>
              <w:tc>
                <w:tcPr>
                  <w:tcW w:w="2626" w:type="dxa"/>
                  <w:tcBorders>
                    <w:top w:val="single" w:color="auto" w:sz="4" w:space="0"/>
                    <w:left w:val="single" w:color="auto" w:sz="4" w:space="0"/>
                    <w:bottom w:val="single" w:color="auto" w:sz="4" w:space="0"/>
                    <w:right w:val="single" w:color="auto" w:sz="4" w:space="0"/>
                  </w:tcBorders>
                </w:tcPr>
                <w:p>
                  <w:pPr>
                    <w:jc w:val="center"/>
                    <w:rPr>
                      <w:color w:val="auto"/>
                    </w:rPr>
                  </w:pPr>
                  <w:r>
                    <w:rPr>
                      <w:color w:val="auto"/>
                    </w:rPr>
                    <w:t>82～87</w:t>
                  </w:r>
                </w:p>
              </w:tc>
              <w:tc>
                <w:tcPr>
                  <w:tcW w:w="2844" w:type="dxa"/>
                  <w:tcBorders>
                    <w:top w:val="single" w:color="auto" w:sz="4" w:space="0"/>
                    <w:left w:val="single" w:color="auto" w:sz="4" w:space="0"/>
                    <w:bottom w:val="single" w:color="auto" w:sz="4" w:space="0"/>
                    <w:right w:val="single" w:color="auto" w:sz="4" w:space="0"/>
                  </w:tcBorders>
                </w:tcPr>
                <w:p>
                  <w:pPr>
                    <w:jc w:val="center"/>
                    <w:rPr>
                      <w:color w:val="auto"/>
                    </w:rPr>
                  </w:pPr>
                  <w:r>
                    <w:rPr>
                      <w:color w:val="auto"/>
                    </w:rPr>
                    <w:t>78～86</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74" w:hRule="atLeast"/>
                <w:jc w:val="center"/>
              </w:trPr>
              <w:tc>
                <w:tcPr>
                  <w:tcW w:w="3061" w:type="dxa"/>
                  <w:tcBorders>
                    <w:top w:val="single" w:color="auto" w:sz="4" w:space="0"/>
                    <w:left w:val="single" w:color="auto" w:sz="4" w:space="0"/>
                    <w:bottom w:val="single" w:color="auto" w:sz="4" w:space="0"/>
                    <w:right w:val="single" w:color="auto" w:sz="4" w:space="0"/>
                  </w:tcBorders>
                </w:tcPr>
                <w:p>
                  <w:pPr>
                    <w:snapToGrid w:val="0"/>
                    <w:jc w:val="center"/>
                    <w:rPr>
                      <w:color w:val="auto"/>
                    </w:rPr>
                  </w:pPr>
                  <w:r>
                    <w:rPr>
                      <w:color w:val="auto"/>
                    </w:rPr>
                    <w:t>空压机</w:t>
                  </w:r>
                </w:p>
              </w:tc>
              <w:tc>
                <w:tcPr>
                  <w:tcW w:w="2626" w:type="dxa"/>
                  <w:tcBorders>
                    <w:top w:val="single" w:color="auto" w:sz="4" w:space="0"/>
                    <w:left w:val="single" w:color="auto" w:sz="4" w:space="0"/>
                    <w:bottom w:val="single" w:color="auto" w:sz="4" w:space="0"/>
                    <w:right w:val="single" w:color="auto" w:sz="4" w:space="0"/>
                  </w:tcBorders>
                </w:tcPr>
                <w:p>
                  <w:pPr>
                    <w:jc w:val="center"/>
                    <w:rPr>
                      <w:color w:val="auto"/>
                    </w:rPr>
                  </w:pPr>
                  <w:r>
                    <w:rPr>
                      <w:color w:val="auto"/>
                    </w:rPr>
                    <w:t>85～95</w:t>
                  </w:r>
                </w:p>
              </w:tc>
              <w:tc>
                <w:tcPr>
                  <w:tcW w:w="2844" w:type="dxa"/>
                  <w:tcBorders>
                    <w:top w:val="single" w:color="auto" w:sz="4" w:space="0"/>
                    <w:left w:val="single" w:color="auto" w:sz="4" w:space="0"/>
                    <w:bottom w:val="single" w:color="auto" w:sz="4" w:space="0"/>
                    <w:right w:val="single" w:color="auto" w:sz="4" w:space="0"/>
                  </w:tcBorders>
                </w:tcPr>
                <w:p>
                  <w:pPr>
                    <w:jc w:val="center"/>
                    <w:rPr>
                      <w:color w:val="auto"/>
                    </w:rPr>
                  </w:pPr>
                  <w:r>
                    <w:rPr>
                      <w:color w:val="auto"/>
                    </w:rPr>
                    <w:t>80～85</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74" w:hRule="atLeast"/>
                <w:jc w:val="center"/>
              </w:trPr>
              <w:tc>
                <w:tcPr>
                  <w:tcW w:w="3061" w:type="dxa"/>
                  <w:tcBorders>
                    <w:top w:val="single" w:color="auto" w:sz="4" w:space="0"/>
                    <w:left w:val="single" w:color="auto" w:sz="4" w:space="0"/>
                    <w:bottom w:val="single" w:color="auto" w:sz="4" w:space="0"/>
                    <w:right w:val="single" w:color="auto" w:sz="4" w:space="0"/>
                  </w:tcBorders>
                </w:tcPr>
                <w:p>
                  <w:pPr>
                    <w:snapToGrid w:val="0"/>
                    <w:jc w:val="center"/>
                    <w:rPr>
                      <w:color w:val="auto"/>
                    </w:rPr>
                  </w:pPr>
                  <w:r>
                    <w:rPr>
                      <w:color w:val="auto"/>
                    </w:rPr>
                    <w:t>切割机</w:t>
                  </w:r>
                </w:p>
              </w:tc>
              <w:tc>
                <w:tcPr>
                  <w:tcW w:w="2626" w:type="dxa"/>
                  <w:tcBorders>
                    <w:top w:val="single" w:color="auto" w:sz="4" w:space="0"/>
                    <w:left w:val="single" w:color="auto" w:sz="4" w:space="0"/>
                    <w:bottom w:val="single" w:color="auto" w:sz="4" w:space="0"/>
                    <w:right w:val="single" w:color="auto" w:sz="4" w:space="0"/>
                  </w:tcBorders>
                </w:tcPr>
                <w:p>
                  <w:pPr>
                    <w:jc w:val="center"/>
                    <w:rPr>
                      <w:color w:val="auto"/>
                    </w:rPr>
                  </w:pPr>
                  <w:r>
                    <w:rPr>
                      <w:color w:val="auto"/>
                    </w:rPr>
                    <w:t>88～92</w:t>
                  </w:r>
                </w:p>
              </w:tc>
              <w:tc>
                <w:tcPr>
                  <w:tcW w:w="2844" w:type="dxa"/>
                  <w:tcBorders>
                    <w:top w:val="single" w:color="auto" w:sz="4" w:space="0"/>
                    <w:left w:val="single" w:color="auto" w:sz="4" w:space="0"/>
                    <w:bottom w:val="single" w:color="auto" w:sz="4" w:space="0"/>
                    <w:right w:val="single" w:color="auto" w:sz="4" w:space="0"/>
                  </w:tcBorders>
                </w:tcPr>
                <w:p>
                  <w:pPr>
                    <w:jc w:val="center"/>
                    <w:rPr>
                      <w:color w:val="auto"/>
                    </w:rPr>
                  </w:pPr>
                  <w:r>
                    <w:rPr>
                      <w:color w:val="auto"/>
                    </w:rPr>
                    <w:t>83～88</w:t>
                  </w:r>
                </w:p>
              </w:tc>
            </w:tr>
          </w:tbl>
          <w:p>
            <w:pPr>
              <w:spacing w:line="360" w:lineRule="auto"/>
              <w:ind w:firstLine="482" w:firstLineChars="200"/>
              <w:rPr>
                <w:b/>
                <w:bCs/>
                <w:color w:val="auto"/>
                <w:sz w:val="24"/>
              </w:rPr>
            </w:pPr>
            <w:r>
              <w:rPr>
                <w:b/>
                <w:bCs/>
                <w:color w:val="auto"/>
                <w:sz w:val="24"/>
              </w:rPr>
              <w:t>（4）固体废物</w:t>
            </w:r>
            <w:r>
              <w:rPr>
                <w:b/>
                <w:bCs/>
                <w:color w:val="auto"/>
                <w:sz w:val="24"/>
                <w:szCs w:val="20"/>
              </w:rPr>
              <w:t>影响</w:t>
            </w:r>
          </w:p>
          <w:p>
            <w:pPr>
              <w:spacing w:line="360" w:lineRule="auto"/>
              <w:ind w:firstLine="480" w:firstLineChars="200"/>
              <w:rPr>
                <w:color w:val="auto"/>
                <w:sz w:val="24"/>
              </w:rPr>
            </w:pPr>
            <w:r>
              <w:rPr>
                <w:color w:val="auto"/>
                <w:sz w:val="24"/>
              </w:rPr>
              <w:t>施工期固废主要为施工工程产生的弃土、</w:t>
            </w:r>
            <w:r>
              <w:rPr>
                <w:rFonts w:hint="eastAsia"/>
                <w:color w:val="auto"/>
                <w:sz w:val="24"/>
              </w:rPr>
              <w:t>建筑</w:t>
            </w:r>
            <w:r>
              <w:rPr>
                <w:color w:val="auto"/>
                <w:sz w:val="24"/>
              </w:rPr>
              <w:t>垃圾及</w:t>
            </w:r>
            <w:r>
              <w:rPr>
                <w:bCs/>
                <w:color w:val="auto"/>
                <w:sz w:val="24"/>
                <w:szCs w:val="20"/>
              </w:rPr>
              <w:t>工人</w:t>
            </w:r>
            <w:r>
              <w:rPr>
                <w:color w:val="auto"/>
                <w:sz w:val="24"/>
              </w:rPr>
              <w:t>生活垃圾。</w:t>
            </w:r>
          </w:p>
          <w:p>
            <w:pPr>
              <w:spacing w:line="360" w:lineRule="auto"/>
              <w:ind w:firstLine="480" w:firstLineChars="200"/>
              <w:rPr>
                <w:color w:val="auto"/>
                <w:sz w:val="24"/>
              </w:rPr>
            </w:pPr>
            <w:r>
              <w:rPr>
                <w:color w:val="auto"/>
                <w:sz w:val="24"/>
              </w:rPr>
              <w:t>根据</w:t>
            </w:r>
            <w:r>
              <w:rPr>
                <w:rFonts w:hint="eastAsia"/>
                <w:color w:val="auto"/>
                <w:sz w:val="24"/>
              </w:rPr>
              <w:t>建设单位提供的</w:t>
            </w:r>
            <w:r>
              <w:rPr>
                <w:color w:val="auto"/>
                <w:sz w:val="24"/>
              </w:rPr>
              <w:t>资料</w:t>
            </w:r>
            <w:r>
              <w:rPr>
                <w:rFonts w:hint="eastAsia"/>
                <w:color w:val="auto"/>
                <w:sz w:val="24"/>
              </w:rPr>
              <w:t>可知</w:t>
            </w:r>
            <w:r>
              <w:rPr>
                <w:color w:val="auto"/>
                <w:sz w:val="24"/>
              </w:rPr>
              <w:t>，本项目</w:t>
            </w:r>
            <w:r>
              <w:rPr>
                <w:rFonts w:hint="eastAsia"/>
                <w:color w:val="auto"/>
                <w:sz w:val="24"/>
              </w:rPr>
              <w:t>开挖拆除的混凝土1</w:t>
            </w:r>
            <w:r>
              <w:rPr>
                <w:color w:val="auto"/>
                <w:sz w:val="24"/>
              </w:rPr>
              <w:t>2</w:t>
            </w:r>
            <w:r>
              <w:rPr>
                <w:rFonts w:hint="eastAsia"/>
                <w:color w:val="auto"/>
                <w:sz w:val="24"/>
              </w:rPr>
              <w:t>65</w:t>
            </w:r>
            <w:r>
              <w:rPr>
                <w:color w:val="auto"/>
                <w:sz w:val="24"/>
              </w:rPr>
              <w:t>m</w:t>
            </w:r>
            <w:r>
              <w:rPr>
                <w:color w:val="auto"/>
                <w:sz w:val="24"/>
                <w:vertAlign w:val="superscript"/>
              </w:rPr>
              <w:t>3</w:t>
            </w:r>
            <w:r>
              <w:rPr>
                <w:color w:val="auto"/>
                <w:sz w:val="24"/>
              </w:rPr>
              <w:t>，土石方开挖总量26</w:t>
            </w:r>
            <w:r>
              <w:rPr>
                <w:rFonts w:hint="eastAsia"/>
                <w:color w:val="auto"/>
                <w:sz w:val="24"/>
              </w:rPr>
              <w:t>02</w:t>
            </w:r>
            <w:r>
              <w:rPr>
                <w:color w:val="auto"/>
                <w:sz w:val="24"/>
              </w:rPr>
              <w:t>m</w:t>
            </w:r>
            <w:r>
              <w:rPr>
                <w:color w:val="auto"/>
                <w:sz w:val="24"/>
                <w:vertAlign w:val="superscript"/>
              </w:rPr>
              <w:t>3</w:t>
            </w:r>
            <w:r>
              <w:rPr>
                <w:rFonts w:hint="eastAsia"/>
                <w:color w:val="auto"/>
                <w:sz w:val="24"/>
              </w:rPr>
              <w:t>，</w:t>
            </w:r>
            <w:r>
              <w:rPr>
                <w:color w:val="auto"/>
                <w:sz w:val="24"/>
              </w:rPr>
              <w:t>回填量</w:t>
            </w:r>
            <w:r>
              <w:rPr>
                <w:rFonts w:hint="eastAsia"/>
                <w:color w:val="auto"/>
                <w:sz w:val="24"/>
              </w:rPr>
              <w:t>1</w:t>
            </w:r>
            <w:r>
              <w:rPr>
                <w:color w:val="auto"/>
                <w:sz w:val="24"/>
              </w:rPr>
              <w:t>2</w:t>
            </w:r>
            <w:r>
              <w:rPr>
                <w:rFonts w:hint="eastAsia"/>
                <w:color w:val="auto"/>
                <w:sz w:val="24"/>
              </w:rPr>
              <w:t>86</w:t>
            </w:r>
            <w:r>
              <w:rPr>
                <w:color w:val="auto"/>
                <w:sz w:val="24"/>
              </w:rPr>
              <w:t>m</w:t>
            </w:r>
            <w:r>
              <w:rPr>
                <w:color w:val="auto"/>
                <w:sz w:val="24"/>
                <w:vertAlign w:val="superscript"/>
              </w:rPr>
              <w:t>3</w:t>
            </w:r>
            <w:r>
              <w:rPr>
                <w:color w:val="auto"/>
                <w:sz w:val="24"/>
              </w:rPr>
              <w:t>，产生弃方</w:t>
            </w:r>
            <w:r>
              <w:rPr>
                <w:color w:val="auto"/>
                <w:kern w:val="0"/>
                <w:sz w:val="24"/>
              </w:rPr>
              <w:t>2581</w:t>
            </w:r>
            <w:r>
              <w:rPr>
                <w:color w:val="auto"/>
                <w:sz w:val="24"/>
              </w:rPr>
              <w:t>m</w:t>
            </w:r>
            <w:r>
              <w:rPr>
                <w:color w:val="auto"/>
                <w:sz w:val="24"/>
                <w:vertAlign w:val="superscript"/>
              </w:rPr>
              <w:t>3</w:t>
            </w:r>
            <w:r>
              <w:rPr>
                <w:color w:val="auto"/>
                <w:sz w:val="24"/>
              </w:rPr>
              <w:t>。</w:t>
            </w:r>
          </w:p>
          <w:p>
            <w:pPr>
              <w:spacing w:line="360" w:lineRule="auto"/>
              <w:ind w:right="162" w:rightChars="77" w:firstLine="480" w:firstLineChars="200"/>
              <w:rPr>
                <w:color w:val="auto"/>
                <w:sz w:val="24"/>
              </w:rPr>
            </w:pPr>
            <w:r>
              <w:rPr>
                <w:color w:val="auto"/>
                <w:sz w:val="24"/>
              </w:rPr>
              <w:t>在进行主体工程和装饰工程时会产生废弃钢材、木材弃料和建材包装袋等建筑垃圾。根据类比分析，建筑垃圾产生量约为0.05t/100m</w:t>
            </w:r>
            <w:r>
              <w:rPr>
                <w:color w:val="auto"/>
                <w:sz w:val="24"/>
                <w:vertAlign w:val="superscript"/>
              </w:rPr>
              <w:t>2</w:t>
            </w:r>
            <w:r>
              <w:rPr>
                <w:color w:val="auto"/>
                <w:sz w:val="24"/>
              </w:rPr>
              <w:t>，按照规划总建筑面积592m</w:t>
            </w:r>
            <w:r>
              <w:rPr>
                <w:color w:val="auto"/>
                <w:sz w:val="24"/>
                <w:vertAlign w:val="superscript"/>
              </w:rPr>
              <w:t>2</w:t>
            </w:r>
            <w:r>
              <w:rPr>
                <w:color w:val="auto"/>
                <w:sz w:val="24"/>
              </w:rPr>
              <w:t>估算，则建筑垃圾产生量共约0.296t。同时，</w:t>
            </w:r>
            <w:r>
              <w:rPr>
                <w:rFonts w:hint="eastAsia"/>
                <w:color w:val="auto"/>
                <w:sz w:val="24"/>
              </w:rPr>
              <w:t>供水管道</w:t>
            </w:r>
            <w:r>
              <w:rPr>
                <w:color w:val="auto"/>
                <w:sz w:val="24"/>
              </w:rPr>
              <w:t>施工过程还会产生废管材</w:t>
            </w:r>
            <w:r>
              <w:rPr>
                <w:rFonts w:hint="eastAsia"/>
                <w:color w:val="auto"/>
                <w:sz w:val="24"/>
              </w:rPr>
              <w:t>、废金属零件</w:t>
            </w:r>
            <w:r>
              <w:rPr>
                <w:color w:val="auto"/>
                <w:sz w:val="24"/>
              </w:rPr>
              <w:t>等</w:t>
            </w:r>
            <w:r>
              <w:rPr>
                <w:rFonts w:hint="eastAsia"/>
                <w:color w:val="auto"/>
                <w:sz w:val="24"/>
              </w:rPr>
              <w:t>施工</w:t>
            </w:r>
            <w:r>
              <w:rPr>
                <w:color w:val="auto"/>
                <w:sz w:val="24"/>
              </w:rPr>
              <w:t>垃圾，</w:t>
            </w:r>
            <w:r>
              <w:rPr>
                <w:rFonts w:hint="eastAsia"/>
                <w:color w:val="auto"/>
                <w:sz w:val="24"/>
              </w:rPr>
              <w:t>均属于一般固体废物，产生量约</w:t>
            </w:r>
            <w:r>
              <w:rPr>
                <w:color w:val="auto"/>
                <w:sz w:val="24"/>
              </w:rPr>
              <w:t>2.5t。</w:t>
            </w:r>
          </w:p>
          <w:p>
            <w:pPr>
              <w:spacing w:line="360" w:lineRule="auto"/>
              <w:ind w:right="162" w:rightChars="77" w:firstLine="480" w:firstLineChars="200"/>
              <w:rPr>
                <w:color w:val="auto"/>
                <w:sz w:val="24"/>
              </w:rPr>
            </w:pPr>
            <w:r>
              <w:rPr>
                <w:color w:val="auto"/>
                <w:sz w:val="24"/>
              </w:rPr>
              <w:t>施工产生的废料首先应考虑回收利用，对钢筋、钢板、木材等下角料可分类回收，交废物收购站处理；对不能回收的建筑垃圾，如混凝土废料、含砖、石、砂的杂土等应集中堆放，定时清运到指定建筑垃圾处置地点。为确保废弃物处置措施有效落实，建设单位在与建筑垃圾清运公司签订清运合同时，应要求建筑垃圾清运公司提供废弃物去向的证明材料，严禁随意倾倒、填埋，造成二次污染。</w:t>
            </w:r>
          </w:p>
          <w:p>
            <w:pPr>
              <w:spacing w:line="360" w:lineRule="auto"/>
              <w:ind w:firstLine="480" w:firstLineChars="200"/>
              <w:rPr>
                <w:color w:val="auto"/>
                <w:sz w:val="24"/>
              </w:rPr>
            </w:pPr>
            <w:r>
              <w:rPr>
                <w:color w:val="auto"/>
                <w:sz w:val="24"/>
              </w:rPr>
              <w:t>环评要求施工单位严格采取上述固废处置措施，确保施工期固废得到资源化处置和清洁处理，不造成二次污染。</w:t>
            </w:r>
          </w:p>
          <w:p>
            <w:pPr>
              <w:spacing w:line="360" w:lineRule="auto"/>
              <w:ind w:firstLine="480" w:firstLineChars="200"/>
              <w:rPr>
                <w:color w:val="auto"/>
                <w:sz w:val="24"/>
              </w:rPr>
            </w:pPr>
            <w:r>
              <w:rPr>
                <w:color w:val="auto"/>
                <w:sz w:val="24"/>
              </w:rPr>
              <w:t>施工人员生活垃圾：施工人员的生活垃圾每人产生量按0.5kg/d计，项目施工期约15</w:t>
            </w:r>
            <w:r>
              <w:rPr>
                <w:rFonts w:hint="eastAsia"/>
                <w:color w:val="auto"/>
                <w:sz w:val="24"/>
              </w:rPr>
              <w:t>个</w:t>
            </w:r>
            <w:r>
              <w:rPr>
                <w:color w:val="auto"/>
                <w:sz w:val="24"/>
              </w:rPr>
              <w:t>月（按450天计），施工人员</w:t>
            </w:r>
            <w:r>
              <w:rPr>
                <w:rFonts w:hint="eastAsia"/>
                <w:color w:val="auto"/>
                <w:sz w:val="24"/>
              </w:rPr>
              <w:t>20人</w:t>
            </w:r>
            <w:r>
              <w:rPr>
                <w:color w:val="auto"/>
                <w:sz w:val="24"/>
              </w:rPr>
              <w:t>，则项目施工阶段产生的生活垃圾量约4.5</w:t>
            </w:r>
            <w:r>
              <w:rPr>
                <w:rFonts w:hint="eastAsia"/>
                <w:color w:val="auto"/>
                <w:sz w:val="24"/>
              </w:rPr>
              <w:t>t</w:t>
            </w:r>
            <w:r>
              <w:rPr>
                <w:color w:val="auto"/>
                <w:sz w:val="24"/>
              </w:rPr>
              <w:t>。</w:t>
            </w:r>
          </w:p>
          <w:p>
            <w:pPr>
              <w:spacing w:line="360" w:lineRule="auto"/>
              <w:ind w:firstLine="482" w:firstLineChars="200"/>
              <w:rPr>
                <w:b/>
                <w:bCs/>
                <w:color w:val="auto"/>
                <w:sz w:val="24"/>
              </w:rPr>
            </w:pPr>
            <w:r>
              <w:rPr>
                <w:b/>
                <w:bCs/>
                <w:color w:val="auto"/>
                <w:sz w:val="24"/>
              </w:rPr>
              <w:t>（5）水土流失影响</w:t>
            </w:r>
          </w:p>
          <w:p>
            <w:pPr>
              <w:spacing w:line="360" w:lineRule="auto"/>
              <w:ind w:firstLine="480" w:firstLineChars="200"/>
              <w:rPr>
                <w:color w:val="auto"/>
                <w:sz w:val="24"/>
              </w:rPr>
            </w:pPr>
            <w:r>
              <w:rPr>
                <w:color w:val="auto"/>
                <w:sz w:val="24"/>
              </w:rPr>
              <w:t>水土流失指土壤被水力冲刷、风力吹蚀或重力侵蚀而使土壤发生分散、松散而堆积的过程，是自然和人为因素综合作用下的产物。自然因素主要包括降雨侵蚀力、地形特点、土壤性质、植被覆盖率等，而人为因素主要是施工过程中采取的保护措施。其中降雨侵蚀力对水土流失影响最大</w:t>
            </w:r>
            <w:r>
              <w:rPr>
                <w:rFonts w:hint="eastAsia"/>
                <w:color w:val="auto"/>
                <w:sz w:val="24"/>
              </w:rPr>
              <w:t>。</w:t>
            </w:r>
          </w:p>
          <w:p>
            <w:pPr>
              <w:spacing w:line="360" w:lineRule="auto"/>
              <w:ind w:firstLine="480" w:firstLineChars="200"/>
              <w:rPr>
                <w:bCs/>
                <w:color w:val="auto"/>
                <w:sz w:val="24"/>
                <w:szCs w:val="20"/>
              </w:rPr>
            </w:pPr>
            <w:r>
              <w:rPr>
                <w:color w:val="auto"/>
                <w:sz w:val="24"/>
              </w:rPr>
              <w:t>本报告表选用国家环保总局所编制的“环境影响评价技术导则”所推荐的“美国通用土壤流失方程式”，目前一般计算年非沟蚀性</w:t>
            </w:r>
            <w:r>
              <w:rPr>
                <w:bCs/>
                <w:color w:val="auto"/>
                <w:sz w:val="24"/>
                <w:szCs w:val="20"/>
              </w:rPr>
              <w:t>水土流失</w:t>
            </w:r>
            <w:r>
              <w:rPr>
                <w:color w:val="auto"/>
                <w:sz w:val="24"/>
              </w:rPr>
              <w:t xml:space="preserve">均按此模式计算。此模式的表达式为： </w:t>
            </w:r>
          </w:p>
          <w:p>
            <w:pPr>
              <w:spacing w:line="360" w:lineRule="auto"/>
              <w:ind w:firstLine="480" w:firstLineChars="200"/>
              <w:rPr>
                <w:bCs/>
                <w:color w:val="auto"/>
                <w:sz w:val="24"/>
                <w:szCs w:val="20"/>
              </w:rPr>
            </w:pPr>
            <w:bookmarkStart w:id="3" w:name="_Toc155258147"/>
            <w:bookmarkStart w:id="4" w:name="_Toc156722697"/>
            <w:r>
              <w:rPr>
                <w:bCs/>
                <w:color w:val="auto"/>
                <w:sz w:val="24"/>
                <w:szCs w:val="20"/>
              </w:rPr>
              <w:t>A=0.247Re·Ke·Li·Si·Ct·P</w:t>
            </w:r>
            <w:bookmarkEnd w:id="3"/>
            <w:bookmarkEnd w:id="4"/>
          </w:p>
          <w:p>
            <w:pPr>
              <w:spacing w:line="360" w:lineRule="auto"/>
              <w:ind w:firstLine="480" w:firstLineChars="200"/>
              <w:rPr>
                <w:bCs/>
                <w:color w:val="auto"/>
                <w:sz w:val="24"/>
                <w:szCs w:val="20"/>
              </w:rPr>
            </w:pPr>
            <w:r>
              <w:rPr>
                <w:bCs/>
                <w:color w:val="auto"/>
                <w:sz w:val="24"/>
                <w:szCs w:val="20"/>
              </w:rPr>
              <w:t>式中：A－为平均土壤流失量(T/ha)；</w:t>
            </w:r>
          </w:p>
          <w:p>
            <w:pPr>
              <w:spacing w:line="360" w:lineRule="auto"/>
              <w:ind w:firstLine="480" w:firstLineChars="200"/>
              <w:rPr>
                <w:bCs/>
                <w:color w:val="auto"/>
                <w:sz w:val="24"/>
                <w:szCs w:val="20"/>
              </w:rPr>
            </w:pPr>
            <w:r>
              <w:rPr>
                <w:bCs/>
                <w:color w:val="auto"/>
                <w:sz w:val="24"/>
                <w:szCs w:val="20"/>
              </w:rPr>
              <w:t>Re－为年平均降雨侵蚀因子；</w:t>
            </w:r>
          </w:p>
          <w:p>
            <w:pPr>
              <w:spacing w:line="360" w:lineRule="auto"/>
              <w:ind w:firstLine="480" w:firstLineChars="200"/>
              <w:rPr>
                <w:bCs/>
                <w:color w:val="auto"/>
                <w:sz w:val="24"/>
                <w:szCs w:val="20"/>
              </w:rPr>
            </w:pPr>
            <w:r>
              <w:rPr>
                <w:bCs/>
                <w:color w:val="auto"/>
                <w:sz w:val="24"/>
                <w:szCs w:val="20"/>
              </w:rPr>
              <w:t>Ke－土壤侵蚀因子；</w:t>
            </w:r>
          </w:p>
          <w:p>
            <w:pPr>
              <w:spacing w:line="360" w:lineRule="auto"/>
              <w:ind w:firstLine="480" w:firstLineChars="200"/>
              <w:rPr>
                <w:bCs/>
                <w:color w:val="auto"/>
                <w:sz w:val="24"/>
                <w:szCs w:val="20"/>
              </w:rPr>
            </w:pPr>
            <w:r>
              <w:rPr>
                <w:bCs/>
                <w:color w:val="auto"/>
                <w:sz w:val="24"/>
                <w:szCs w:val="20"/>
              </w:rPr>
              <w:t>Li－坡长因子；</w:t>
            </w:r>
          </w:p>
          <w:p>
            <w:pPr>
              <w:spacing w:line="360" w:lineRule="auto"/>
              <w:ind w:firstLine="480" w:firstLineChars="200"/>
              <w:rPr>
                <w:bCs/>
                <w:color w:val="auto"/>
                <w:sz w:val="24"/>
                <w:szCs w:val="20"/>
              </w:rPr>
            </w:pPr>
            <w:r>
              <w:rPr>
                <w:bCs/>
                <w:color w:val="auto"/>
                <w:sz w:val="24"/>
                <w:szCs w:val="20"/>
              </w:rPr>
              <w:t>Si－坡度因子；</w:t>
            </w:r>
          </w:p>
          <w:p>
            <w:pPr>
              <w:spacing w:line="360" w:lineRule="auto"/>
              <w:ind w:firstLine="480" w:firstLineChars="200"/>
              <w:rPr>
                <w:bCs/>
                <w:color w:val="auto"/>
                <w:sz w:val="24"/>
                <w:szCs w:val="20"/>
              </w:rPr>
            </w:pPr>
            <w:r>
              <w:rPr>
                <w:bCs/>
                <w:color w:val="auto"/>
                <w:sz w:val="24"/>
                <w:szCs w:val="20"/>
              </w:rPr>
              <w:t>Ct－植物覆盖因子；</w:t>
            </w:r>
          </w:p>
          <w:p>
            <w:pPr>
              <w:spacing w:line="360" w:lineRule="auto"/>
              <w:ind w:firstLine="480" w:firstLineChars="200"/>
              <w:rPr>
                <w:bCs/>
                <w:color w:val="auto"/>
                <w:sz w:val="24"/>
                <w:szCs w:val="20"/>
              </w:rPr>
            </w:pPr>
            <w:r>
              <w:rPr>
                <w:bCs/>
                <w:color w:val="auto"/>
                <w:sz w:val="24"/>
                <w:szCs w:val="20"/>
              </w:rPr>
              <w:t>项目区域内多年平均雨量对应的水蚀因子R=337.0。本项目地处花岗岩赤红壤地区，土壤侵蚀因子Ke为0.27，坡长因子Li为3.14，坡度因子Si为0.08，植被因子Ct为1.0，侵蚀控制措施因子P为1.0。</w:t>
            </w:r>
          </w:p>
          <w:p>
            <w:pPr>
              <w:spacing w:line="360" w:lineRule="auto"/>
              <w:ind w:firstLine="480" w:firstLineChars="200"/>
              <w:rPr>
                <w:color w:val="auto"/>
                <w:sz w:val="24"/>
              </w:rPr>
            </w:pPr>
            <w:r>
              <w:rPr>
                <w:bCs/>
                <w:color w:val="auto"/>
                <w:sz w:val="24"/>
                <w:szCs w:val="20"/>
              </w:rPr>
              <w:t>根据以上选值，可计算得A=55.3t/ha/</w:t>
            </w:r>
            <w:r>
              <w:rPr>
                <w:color w:val="auto"/>
                <w:sz w:val="24"/>
              </w:rPr>
              <w:t>a=0.00553t/(m</w:t>
            </w:r>
            <w:r>
              <w:rPr>
                <w:color w:val="auto"/>
                <w:sz w:val="24"/>
                <w:vertAlign w:val="superscript"/>
              </w:rPr>
              <w:t>2</w:t>
            </w:r>
            <w:r>
              <w:rPr>
                <w:color w:val="auto"/>
                <w:sz w:val="24"/>
              </w:rPr>
              <w:t>·a)。项目施工过程中水土流失涉及面积约8700m</w:t>
            </w:r>
            <w:r>
              <w:rPr>
                <w:color w:val="auto"/>
                <w:sz w:val="24"/>
                <w:vertAlign w:val="superscript"/>
              </w:rPr>
              <w:t>2</w:t>
            </w:r>
            <w:r>
              <w:rPr>
                <w:color w:val="auto"/>
                <w:sz w:val="24"/>
              </w:rPr>
              <w:t>，施工期15</w:t>
            </w:r>
            <w:r>
              <w:rPr>
                <w:rFonts w:hint="eastAsia"/>
                <w:color w:val="auto"/>
                <w:sz w:val="24"/>
              </w:rPr>
              <w:t>个</w:t>
            </w:r>
            <w:r>
              <w:rPr>
                <w:color w:val="auto"/>
                <w:sz w:val="24"/>
              </w:rPr>
              <w:t>月，水土流失量预计约60.14</w:t>
            </w:r>
            <w:r>
              <w:rPr>
                <w:rFonts w:hint="eastAsia"/>
                <w:color w:val="auto"/>
                <w:sz w:val="24"/>
              </w:rPr>
              <w:t>t</w:t>
            </w:r>
            <w:r>
              <w:rPr>
                <w:color w:val="auto"/>
                <w:sz w:val="24"/>
              </w:rPr>
              <w:t>。</w:t>
            </w:r>
          </w:p>
          <w:p>
            <w:pPr>
              <w:spacing w:line="360" w:lineRule="auto"/>
              <w:ind w:firstLine="482" w:firstLineChars="200"/>
              <w:rPr>
                <w:b/>
                <w:color w:val="auto"/>
                <w:sz w:val="24"/>
              </w:rPr>
            </w:pPr>
            <w:r>
              <w:rPr>
                <w:b/>
                <w:color w:val="auto"/>
                <w:sz w:val="24"/>
              </w:rPr>
              <w:t>2、运营期</w:t>
            </w:r>
          </w:p>
          <w:p>
            <w:pPr>
              <w:spacing w:line="360" w:lineRule="auto"/>
              <w:ind w:firstLine="480" w:firstLineChars="200"/>
              <w:rPr>
                <w:color w:val="auto"/>
                <w:sz w:val="24"/>
              </w:rPr>
            </w:pPr>
            <w:r>
              <w:rPr>
                <w:rFonts w:hint="eastAsia"/>
                <w:color w:val="auto"/>
                <w:sz w:val="24"/>
              </w:rPr>
              <w:t>本项目属于供水管网改造工程，随着施工结束，对周围环境的影响经过路面整理，施工机械的退场以及道路绿化的实施也随之结束。本项目加压泵站日常仅为储水和提升水压作用，不对供水进行处理，供水管道位于地下，日常供水过程中基本不会产生污染影响。本项目运营过程中产生的污染主要是加压泵站工作人员的生活污水、生活垃圾和泵房的水泵运行时产生的噪声。</w:t>
            </w:r>
          </w:p>
          <w:p>
            <w:pPr>
              <w:spacing w:line="360" w:lineRule="auto"/>
              <w:ind w:firstLine="480" w:firstLineChars="200"/>
              <w:rPr>
                <w:color w:val="auto"/>
                <w:sz w:val="24"/>
              </w:rPr>
            </w:pPr>
            <w:r>
              <w:rPr>
                <w:rFonts w:hint="eastAsia"/>
                <w:color w:val="auto"/>
                <w:sz w:val="24"/>
              </w:rPr>
              <w:t>（1）废水</w:t>
            </w:r>
          </w:p>
          <w:p>
            <w:pPr>
              <w:spacing w:line="360" w:lineRule="auto"/>
              <w:ind w:firstLine="480" w:firstLineChars="200"/>
              <w:rPr>
                <w:color w:val="auto"/>
                <w:sz w:val="24"/>
              </w:rPr>
            </w:pPr>
            <w:r>
              <w:rPr>
                <w:rFonts w:hint="eastAsia"/>
                <w:color w:val="auto"/>
                <w:sz w:val="24"/>
              </w:rPr>
              <w:t>本项目的加压泵站不设置办公楼，仅设置一个值班室用于运维人员的日常值班看管，运维人员1人，不在项目内食宿，年工作3</w:t>
            </w:r>
            <w:r>
              <w:rPr>
                <w:color w:val="auto"/>
                <w:sz w:val="24"/>
              </w:rPr>
              <w:t>60</w:t>
            </w:r>
            <w:r>
              <w:rPr>
                <w:rFonts w:hint="eastAsia"/>
                <w:color w:val="auto"/>
                <w:sz w:val="24"/>
              </w:rPr>
              <w:t>天，每天8小时。根据《广东省用水定额（2</w:t>
            </w:r>
            <w:r>
              <w:rPr>
                <w:color w:val="auto"/>
                <w:sz w:val="24"/>
              </w:rPr>
              <w:t>014</w:t>
            </w:r>
            <w:r>
              <w:rPr>
                <w:rFonts w:hint="eastAsia"/>
                <w:color w:val="auto"/>
                <w:sz w:val="24"/>
              </w:rPr>
              <w:t>）》，生活用水量按每人0.0</w:t>
            </w:r>
            <w:r>
              <w:rPr>
                <w:color w:val="auto"/>
                <w:sz w:val="24"/>
              </w:rPr>
              <w:t>4</w:t>
            </w:r>
            <w:r>
              <w:rPr>
                <w:rFonts w:hint="eastAsia"/>
                <w:color w:val="auto"/>
                <w:sz w:val="24"/>
              </w:rPr>
              <w:t xml:space="preserve"> m</w:t>
            </w:r>
            <w:r>
              <w:rPr>
                <w:rFonts w:hint="eastAsia"/>
                <w:color w:val="auto"/>
                <w:sz w:val="24"/>
                <w:vertAlign w:val="superscript"/>
              </w:rPr>
              <w:t>3</w:t>
            </w:r>
            <w:r>
              <w:rPr>
                <w:rFonts w:hint="eastAsia"/>
                <w:color w:val="auto"/>
                <w:sz w:val="24"/>
              </w:rPr>
              <w:t>/d计，则本项目生活用水量为</w:t>
            </w:r>
            <w:r>
              <w:rPr>
                <w:color w:val="auto"/>
                <w:sz w:val="24"/>
              </w:rPr>
              <w:t>0.04</w:t>
            </w:r>
            <w:r>
              <w:rPr>
                <w:rFonts w:hint="eastAsia"/>
                <w:color w:val="auto"/>
                <w:sz w:val="24"/>
              </w:rPr>
              <w:t>m</w:t>
            </w:r>
            <w:r>
              <w:rPr>
                <w:rFonts w:hint="eastAsia"/>
                <w:color w:val="auto"/>
                <w:sz w:val="24"/>
                <w:vertAlign w:val="superscript"/>
              </w:rPr>
              <w:t>3</w:t>
            </w:r>
            <w:r>
              <w:rPr>
                <w:rFonts w:hint="eastAsia"/>
                <w:color w:val="auto"/>
                <w:sz w:val="24"/>
              </w:rPr>
              <w:t>/d（</w:t>
            </w:r>
            <w:r>
              <w:rPr>
                <w:color w:val="auto"/>
                <w:sz w:val="24"/>
              </w:rPr>
              <w:t>14.4</w:t>
            </w:r>
            <w:r>
              <w:rPr>
                <w:rFonts w:hint="eastAsia"/>
                <w:color w:val="auto"/>
                <w:sz w:val="24"/>
              </w:rPr>
              <w:t>m</w:t>
            </w:r>
            <w:r>
              <w:rPr>
                <w:rFonts w:hint="eastAsia"/>
                <w:color w:val="auto"/>
                <w:sz w:val="24"/>
                <w:vertAlign w:val="superscript"/>
              </w:rPr>
              <w:t>3</w:t>
            </w:r>
            <w:r>
              <w:rPr>
                <w:rFonts w:hint="eastAsia"/>
                <w:color w:val="auto"/>
                <w:sz w:val="24"/>
              </w:rPr>
              <w:t>/a），排污系数按0.9计，则生活污水量约</w:t>
            </w:r>
            <w:r>
              <w:rPr>
                <w:color w:val="auto"/>
                <w:sz w:val="24"/>
              </w:rPr>
              <w:t>0.036</w:t>
            </w:r>
            <w:r>
              <w:rPr>
                <w:rFonts w:hint="eastAsia"/>
                <w:color w:val="auto"/>
                <w:sz w:val="24"/>
              </w:rPr>
              <w:t>m</w:t>
            </w:r>
            <w:r>
              <w:rPr>
                <w:rFonts w:hint="eastAsia"/>
                <w:color w:val="auto"/>
                <w:sz w:val="24"/>
                <w:vertAlign w:val="superscript"/>
              </w:rPr>
              <w:t>3</w:t>
            </w:r>
            <w:r>
              <w:rPr>
                <w:rFonts w:hint="eastAsia"/>
                <w:color w:val="auto"/>
                <w:sz w:val="24"/>
              </w:rPr>
              <w:t>/d（</w:t>
            </w:r>
            <w:r>
              <w:rPr>
                <w:color w:val="auto"/>
                <w:sz w:val="24"/>
              </w:rPr>
              <w:t>13</w:t>
            </w:r>
            <w:r>
              <w:rPr>
                <w:rFonts w:hint="eastAsia"/>
                <w:color w:val="auto"/>
                <w:sz w:val="24"/>
              </w:rPr>
              <w:t>m</w:t>
            </w:r>
            <w:r>
              <w:rPr>
                <w:rFonts w:hint="eastAsia"/>
                <w:color w:val="auto"/>
                <w:sz w:val="24"/>
                <w:vertAlign w:val="superscript"/>
              </w:rPr>
              <w:t>3</w:t>
            </w:r>
            <w:r>
              <w:rPr>
                <w:rFonts w:hint="eastAsia"/>
                <w:color w:val="auto"/>
                <w:sz w:val="24"/>
              </w:rPr>
              <w:t>/a），主要污染物为COD、BOD</w:t>
            </w:r>
            <w:r>
              <w:rPr>
                <w:rFonts w:hint="eastAsia"/>
                <w:color w:val="auto"/>
                <w:sz w:val="24"/>
                <w:vertAlign w:val="subscript"/>
              </w:rPr>
              <w:t>5</w:t>
            </w:r>
            <w:r>
              <w:rPr>
                <w:rFonts w:hint="eastAsia"/>
                <w:color w:val="auto"/>
                <w:sz w:val="24"/>
              </w:rPr>
              <w:t>、SS、氨氮等。</w:t>
            </w:r>
          </w:p>
          <w:p>
            <w:pPr>
              <w:spacing w:line="360" w:lineRule="auto"/>
              <w:ind w:firstLine="480" w:firstLineChars="200"/>
              <w:rPr>
                <w:color w:val="auto"/>
                <w:sz w:val="24"/>
              </w:rPr>
            </w:pPr>
            <w:r>
              <w:rPr>
                <w:rFonts w:hint="eastAsia"/>
                <w:color w:val="auto"/>
                <w:sz w:val="24"/>
              </w:rPr>
              <w:t>（2）固体废物</w:t>
            </w:r>
          </w:p>
          <w:p>
            <w:pPr>
              <w:spacing w:line="360" w:lineRule="auto"/>
              <w:ind w:firstLine="480" w:firstLineChars="200"/>
              <w:rPr>
                <w:color w:val="auto"/>
                <w:sz w:val="24"/>
              </w:rPr>
            </w:pPr>
            <w:r>
              <w:rPr>
                <w:rFonts w:hint="eastAsia"/>
                <w:color w:val="auto"/>
                <w:sz w:val="24"/>
              </w:rPr>
              <w:t>本项目固体废物主要为工作人员办公过程中产生的生活垃圾，产生量按每人0</w:t>
            </w:r>
            <w:r>
              <w:rPr>
                <w:color w:val="auto"/>
                <w:sz w:val="24"/>
              </w:rPr>
              <w:t>.5kg/d</w:t>
            </w:r>
            <w:r>
              <w:rPr>
                <w:rFonts w:hint="eastAsia"/>
                <w:color w:val="auto"/>
                <w:sz w:val="24"/>
              </w:rPr>
              <w:t>计，则本项目生活垃圾产生量为0</w:t>
            </w:r>
            <w:r>
              <w:rPr>
                <w:color w:val="auto"/>
                <w:sz w:val="24"/>
              </w:rPr>
              <w:t>.5kg/d</w:t>
            </w:r>
            <w:r>
              <w:rPr>
                <w:rFonts w:hint="eastAsia"/>
                <w:color w:val="auto"/>
                <w:sz w:val="24"/>
              </w:rPr>
              <w:t>（</w:t>
            </w:r>
            <w:r>
              <w:rPr>
                <w:color w:val="auto"/>
                <w:sz w:val="24"/>
              </w:rPr>
              <w:t>0.18t/a</w:t>
            </w:r>
            <w:r>
              <w:rPr>
                <w:rFonts w:hint="eastAsia"/>
                <w:color w:val="auto"/>
                <w:sz w:val="24"/>
              </w:rPr>
              <w:t>）。</w:t>
            </w:r>
          </w:p>
          <w:p>
            <w:pPr>
              <w:spacing w:line="360" w:lineRule="auto"/>
              <w:ind w:firstLine="480" w:firstLineChars="200"/>
              <w:rPr>
                <w:color w:val="auto"/>
                <w:sz w:val="24"/>
              </w:rPr>
            </w:pPr>
            <w:r>
              <w:rPr>
                <w:rFonts w:hint="eastAsia"/>
                <w:color w:val="auto"/>
                <w:sz w:val="24"/>
              </w:rPr>
              <w:t>（</w:t>
            </w:r>
            <w:r>
              <w:rPr>
                <w:color w:val="auto"/>
                <w:sz w:val="24"/>
              </w:rPr>
              <w:t>3</w:t>
            </w:r>
            <w:r>
              <w:rPr>
                <w:rFonts w:hint="eastAsia"/>
                <w:color w:val="auto"/>
                <w:sz w:val="24"/>
              </w:rPr>
              <w:t>）噪声</w:t>
            </w:r>
          </w:p>
          <w:p>
            <w:pPr>
              <w:spacing w:line="360" w:lineRule="auto"/>
              <w:ind w:firstLine="480" w:firstLineChars="200"/>
              <w:rPr>
                <w:color w:val="auto"/>
                <w:sz w:val="24"/>
              </w:rPr>
            </w:pPr>
            <w:r>
              <w:rPr>
                <w:rFonts w:hint="eastAsia"/>
                <w:color w:val="auto"/>
                <w:sz w:val="24"/>
              </w:rPr>
              <w:t>本项目噪声主要为加压泵站的水泵运行时产生的噪声属于空气动力学噪声，噪声值在</w:t>
            </w:r>
            <w:r>
              <w:rPr>
                <w:color w:val="auto"/>
                <w:sz w:val="24"/>
              </w:rPr>
              <w:t>80</w:t>
            </w:r>
            <w:r>
              <w:rPr>
                <w:rFonts w:hint="eastAsia"/>
                <w:color w:val="auto"/>
                <w:sz w:val="24"/>
              </w:rPr>
              <w:t>～9</w:t>
            </w:r>
            <w:r>
              <w:rPr>
                <w:color w:val="auto"/>
                <w:sz w:val="24"/>
              </w:rPr>
              <w:t>0</w:t>
            </w:r>
            <w:r>
              <w:rPr>
                <w:color w:val="auto"/>
              </w:rPr>
              <w:t xml:space="preserve"> </w:t>
            </w:r>
            <w:r>
              <w:rPr>
                <w:color w:val="auto"/>
                <w:sz w:val="24"/>
              </w:rPr>
              <w:t>dB(A)</w:t>
            </w:r>
            <w:r>
              <w:rPr>
                <w:rFonts w:hint="eastAsia"/>
                <w:color w:val="auto"/>
                <w:sz w:val="24"/>
              </w:rPr>
              <w:t>。</w:t>
            </w:r>
          </w:p>
          <w:p>
            <w:pPr>
              <w:ind w:firstLine="482"/>
              <w:jc w:val="center"/>
              <w:rPr>
                <w:b/>
                <w:bCs/>
                <w:color w:val="auto"/>
                <w:sz w:val="24"/>
              </w:rPr>
            </w:pPr>
            <w:r>
              <w:rPr>
                <w:b/>
                <w:bCs/>
                <w:color w:val="auto"/>
                <w:sz w:val="24"/>
              </w:rPr>
              <w:t>表</w:t>
            </w:r>
            <w:r>
              <w:rPr>
                <w:rFonts w:hint="eastAsia"/>
                <w:b/>
                <w:bCs/>
                <w:color w:val="auto"/>
                <w:sz w:val="24"/>
              </w:rPr>
              <w:t>1</w:t>
            </w:r>
            <w:r>
              <w:rPr>
                <w:b/>
                <w:bCs/>
                <w:color w:val="auto"/>
                <w:sz w:val="24"/>
              </w:rPr>
              <w:t>7 设备噪声及降噪措施一览表</w:t>
            </w:r>
          </w:p>
          <w:tbl>
            <w:tblPr>
              <w:tblStyle w:val="33"/>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7"/>
              <w:gridCol w:w="1621"/>
              <w:gridCol w:w="1275"/>
              <w:gridCol w:w="1169"/>
              <w:gridCol w:w="1705"/>
              <w:gridCol w:w="1364"/>
              <w:gridCol w:w="12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388" w:type="pct"/>
                  <w:vAlign w:val="center"/>
                </w:tcPr>
                <w:p>
                  <w:pPr>
                    <w:tabs>
                      <w:tab w:val="left" w:pos="2660"/>
                    </w:tabs>
                    <w:jc w:val="center"/>
                    <w:rPr>
                      <w:color w:val="auto"/>
                      <w:szCs w:val="21"/>
                    </w:rPr>
                  </w:pPr>
                  <w:r>
                    <w:rPr>
                      <w:color w:val="auto"/>
                      <w:szCs w:val="21"/>
                    </w:rPr>
                    <w:t>序号</w:t>
                  </w:r>
                </w:p>
              </w:tc>
              <w:tc>
                <w:tcPr>
                  <w:tcW w:w="889" w:type="pct"/>
                  <w:vAlign w:val="center"/>
                </w:tcPr>
                <w:p>
                  <w:pPr>
                    <w:tabs>
                      <w:tab w:val="left" w:pos="2660"/>
                    </w:tabs>
                    <w:jc w:val="center"/>
                    <w:rPr>
                      <w:color w:val="auto"/>
                      <w:szCs w:val="21"/>
                    </w:rPr>
                  </w:pPr>
                  <w:r>
                    <w:rPr>
                      <w:color w:val="auto"/>
                      <w:szCs w:val="21"/>
                    </w:rPr>
                    <w:t>噪声源</w:t>
                  </w:r>
                </w:p>
              </w:tc>
              <w:tc>
                <w:tcPr>
                  <w:tcW w:w="699" w:type="pct"/>
                  <w:vAlign w:val="center"/>
                </w:tcPr>
                <w:p>
                  <w:pPr>
                    <w:tabs>
                      <w:tab w:val="left" w:pos="2660"/>
                    </w:tabs>
                    <w:jc w:val="center"/>
                    <w:rPr>
                      <w:color w:val="auto"/>
                      <w:szCs w:val="21"/>
                    </w:rPr>
                  </w:pPr>
                  <w:r>
                    <w:rPr>
                      <w:color w:val="auto"/>
                      <w:szCs w:val="21"/>
                    </w:rPr>
                    <w:t>位置</w:t>
                  </w:r>
                </w:p>
              </w:tc>
              <w:tc>
                <w:tcPr>
                  <w:tcW w:w="641" w:type="pct"/>
                  <w:vAlign w:val="center"/>
                </w:tcPr>
                <w:p>
                  <w:pPr>
                    <w:tabs>
                      <w:tab w:val="left" w:pos="2660"/>
                    </w:tabs>
                    <w:jc w:val="center"/>
                    <w:rPr>
                      <w:color w:val="auto"/>
                      <w:szCs w:val="21"/>
                    </w:rPr>
                  </w:pPr>
                  <w:r>
                    <w:rPr>
                      <w:color w:val="auto"/>
                      <w:szCs w:val="21"/>
                    </w:rPr>
                    <w:t>数量（台/套）</w:t>
                  </w:r>
                </w:p>
              </w:tc>
              <w:tc>
                <w:tcPr>
                  <w:tcW w:w="935" w:type="pct"/>
                  <w:vAlign w:val="center"/>
                </w:tcPr>
                <w:p>
                  <w:pPr>
                    <w:tabs>
                      <w:tab w:val="left" w:pos="2660"/>
                    </w:tabs>
                    <w:jc w:val="center"/>
                    <w:rPr>
                      <w:color w:val="auto"/>
                      <w:szCs w:val="21"/>
                    </w:rPr>
                  </w:pPr>
                  <w:r>
                    <w:rPr>
                      <w:color w:val="auto"/>
                      <w:szCs w:val="21"/>
                    </w:rPr>
                    <w:t>声压级dB（A）</w:t>
                  </w:r>
                </w:p>
              </w:tc>
              <w:tc>
                <w:tcPr>
                  <w:tcW w:w="748" w:type="pct"/>
                  <w:vAlign w:val="center"/>
                </w:tcPr>
                <w:p>
                  <w:pPr>
                    <w:tabs>
                      <w:tab w:val="left" w:pos="2660"/>
                    </w:tabs>
                    <w:jc w:val="center"/>
                    <w:rPr>
                      <w:color w:val="auto"/>
                      <w:szCs w:val="21"/>
                    </w:rPr>
                  </w:pPr>
                  <w:r>
                    <w:rPr>
                      <w:color w:val="auto"/>
                      <w:szCs w:val="21"/>
                    </w:rPr>
                    <w:t>排放规律</w:t>
                  </w:r>
                </w:p>
              </w:tc>
              <w:tc>
                <w:tcPr>
                  <w:tcW w:w="700" w:type="pct"/>
                  <w:vAlign w:val="center"/>
                </w:tcPr>
                <w:p>
                  <w:pPr>
                    <w:tabs>
                      <w:tab w:val="left" w:pos="2660"/>
                    </w:tabs>
                    <w:jc w:val="center"/>
                    <w:rPr>
                      <w:color w:val="auto"/>
                      <w:szCs w:val="21"/>
                    </w:rPr>
                  </w:pPr>
                  <w:r>
                    <w:rPr>
                      <w:color w:val="auto"/>
                      <w:szCs w:val="21"/>
                    </w:rPr>
                    <w:t>治理措施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388" w:type="pct"/>
                  <w:vAlign w:val="center"/>
                </w:tcPr>
                <w:p>
                  <w:pPr>
                    <w:tabs>
                      <w:tab w:val="left" w:pos="2660"/>
                    </w:tabs>
                    <w:jc w:val="center"/>
                    <w:rPr>
                      <w:color w:val="auto"/>
                      <w:szCs w:val="21"/>
                    </w:rPr>
                  </w:pPr>
                  <w:r>
                    <w:rPr>
                      <w:color w:val="auto"/>
                      <w:szCs w:val="21"/>
                    </w:rPr>
                    <w:t>1</w:t>
                  </w:r>
                </w:p>
              </w:tc>
              <w:tc>
                <w:tcPr>
                  <w:tcW w:w="889" w:type="pct"/>
                  <w:vAlign w:val="center"/>
                </w:tcPr>
                <w:p>
                  <w:pPr>
                    <w:jc w:val="center"/>
                    <w:rPr>
                      <w:bCs/>
                      <w:color w:val="auto"/>
                      <w:szCs w:val="21"/>
                    </w:rPr>
                  </w:pPr>
                  <w:r>
                    <w:rPr>
                      <w:rFonts w:hint="eastAsia"/>
                      <w:color w:val="auto"/>
                      <w:szCs w:val="21"/>
                    </w:rPr>
                    <w:t>水泵</w:t>
                  </w:r>
                </w:p>
              </w:tc>
              <w:tc>
                <w:tcPr>
                  <w:tcW w:w="699" w:type="pct"/>
                  <w:vAlign w:val="center"/>
                </w:tcPr>
                <w:p>
                  <w:pPr>
                    <w:tabs>
                      <w:tab w:val="left" w:pos="2660"/>
                    </w:tabs>
                    <w:jc w:val="center"/>
                    <w:rPr>
                      <w:color w:val="auto"/>
                      <w:szCs w:val="21"/>
                    </w:rPr>
                  </w:pPr>
                  <w:r>
                    <w:rPr>
                      <w:color w:val="auto"/>
                      <w:szCs w:val="21"/>
                    </w:rPr>
                    <w:t xml:space="preserve">生产车间                                                                                                                                                                                                                                                                                                                                                                                                                                                                                                                                                                                                                                                                                                                                                              </w:t>
                  </w:r>
                </w:p>
              </w:tc>
              <w:tc>
                <w:tcPr>
                  <w:tcW w:w="641" w:type="pct"/>
                  <w:vAlign w:val="center"/>
                </w:tcPr>
                <w:p>
                  <w:pPr>
                    <w:jc w:val="center"/>
                    <w:rPr>
                      <w:color w:val="auto"/>
                      <w:szCs w:val="21"/>
                    </w:rPr>
                  </w:pPr>
                  <w:r>
                    <w:rPr>
                      <w:color w:val="auto"/>
                      <w:szCs w:val="21"/>
                    </w:rPr>
                    <w:t>6</w:t>
                  </w:r>
                  <w:r>
                    <w:rPr>
                      <w:rFonts w:hint="eastAsia"/>
                      <w:color w:val="auto"/>
                      <w:szCs w:val="21"/>
                    </w:rPr>
                    <w:t>（4用2备）</w:t>
                  </w:r>
                </w:p>
              </w:tc>
              <w:tc>
                <w:tcPr>
                  <w:tcW w:w="935" w:type="pct"/>
                  <w:vAlign w:val="center"/>
                </w:tcPr>
                <w:p>
                  <w:pPr>
                    <w:tabs>
                      <w:tab w:val="left" w:pos="2660"/>
                    </w:tabs>
                    <w:jc w:val="center"/>
                    <w:rPr>
                      <w:color w:val="auto"/>
                      <w:szCs w:val="21"/>
                    </w:rPr>
                  </w:pPr>
                  <w:r>
                    <w:rPr>
                      <w:color w:val="auto"/>
                      <w:szCs w:val="21"/>
                    </w:rPr>
                    <w:t>80-90</w:t>
                  </w:r>
                </w:p>
              </w:tc>
              <w:tc>
                <w:tcPr>
                  <w:tcW w:w="748" w:type="pct"/>
                  <w:vAlign w:val="center"/>
                </w:tcPr>
                <w:p>
                  <w:pPr>
                    <w:tabs>
                      <w:tab w:val="left" w:pos="2660"/>
                    </w:tabs>
                    <w:jc w:val="center"/>
                    <w:rPr>
                      <w:color w:val="auto"/>
                      <w:szCs w:val="21"/>
                    </w:rPr>
                  </w:pPr>
                  <w:r>
                    <w:rPr>
                      <w:color w:val="auto"/>
                      <w:szCs w:val="21"/>
                    </w:rPr>
                    <w:t>间歇</w:t>
                  </w:r>
                </w:p>
              </w:tc>
              <w:tc>
                <w:tcPr>
                  <w:tcW w:w="700" w:type="pct"/>
                  <w:vAlign w:val="center"/>
                </w:tcPr>
                <w:p>
                  <w:pPr>
                    <w:jc w:val="center"/>
                    <w:rPr>
                      <w:bCs/>
                      <w:color w:val="auto"/>
                      <w:szCs w:val="21"/>
                    </w:rPr>
                  </w:pPr>
                  <w:r>
                    <w:rPr>
                      <w:bCs/>
                      <w:color w:val="auto"/>
                      <w:szCs w:val="21"/>
                    </w:rPr>
                    <w:t>低噪声设备、基础减震、建</w:t>
                  </w:r>
                </w:p>
                <w:p>
                  <w:pPr>
                    <w:jc w:val="center"/>
                    <w:rPr>
                      <w:bCs/>
                      <w:color w:val="auto"/>
                      <w:szCs w:val="21"/>
                    </w:rPr>
                  </w:pPr>
                  <w:r>
                    <w:rPr>
                      <w:bCs/>
                      <w:color w:val="auto"/>
                      <w:szCs w:val="21"/>
                    </w:rPr>
                    <w:t>筑隔声、阻尼减震</w:t>
                  </w:r>
                </w:p>
              </w:tc>
            </w:tr>
          </w:tbl>
          <w:p>
            <w:pPr>
              <w:spacing w:line="360" w:lineRule="auto"/>
              <w:ind w:firstLine="480" w:firstLineChars="200"/>
              <w:rPr>
                <w:color w:val="auto"/>
                <w:sz w:val="24"/>
              </w:rPr>
            </w:pPr>
          </w:p>
          <w:p>
            <w:pPr>
              <w:spacing w:line="360" w:lineRule="auto"/>
              <w:ind w:firstLine="480" w:firstLineChars="200"/>
              <w:rPr>
                <w:color w:val="auto"/>
                <w:sz w:val="24"/>
              </w:rPr>
            </w:pPr>
          </w:p>
        </w:tc>
      </w:tr>
    </w:tbl>
    <w:p>
      <w:pPr>
        <w:pageBreakBefore/>
        <w:tabs>
          <w:tab w:val="left" w:pos="6480"/>
        </w:tabs>
        <w:adjustRightInd w:val="0"/>
        <w:textAlignment w:val="baseline"/>
        <w:outlineLvl w:val="0"/>
        <w:rPr>
          <w:b/>
          <w:bCs/>
          <w:snapToGrid w:val="0"/>
          <w:color w:val="auto"/>
          <w:kern w:val="44"/>
          <w:sz w:val="28"/>
          <w:szCs w:val="20"/>
        </w:rPr>
      </w:pPr>
      <w:r>
        <w:rPr>
          <w:rFonts w:hint="eastAsia"/>
          <w:b/>
          <w:bCs/>
          <w:snapToGrid w:val="0"/>
          <w:color w:val="auto"/>
          <w:kern w:val="44"/>
          <w:sz w:val="28"/>
          <w:szCs w:val="20"/>
        </w:rPr>
        <w:t>本项目</w:t>
      </w:r>
      <w:r>
        <w:rPr>
          <w:b/>
          <w:bCs/>
          <w:snapToGrid w:val="0"/>
          <w:color w:val="auto"/>
          <w:kern w:val="44"/>
          <w:sz w:val="28"/>
          <w:szCs w:val="20"/>
        </w:rPr>
        <w:t>主要污染物产生及预计排放情况</w:t>
      </w:r>
    </w:p>
    <w:tbl>
      <w:tblPr>
        <w:tblStyle w:val="33"/>
        <w:tblW w:w="0" w:type="auto"/>
        <w:jc w:val="center"/>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fixed"/>
        <w:tblCellMar>
          <w:top w:w="0" w:type="dxa"/>
          <w:left w:w="108" w:type="dxa"/>
          <w:bottom w:w="0" w:type="dxa"/>
          <w:right w:w="108" w:type="dxa"/>
        </w:tblCellMar>
      </w:tblPr>
      <w:tblGrid>
        <w:gridCol w:w="734"/>
        <w:gridCol w:w="709"/>
        <w:gridCol w:w="1559"/>
        <w:gridCol w:w="1418"/>
        <w:gridCol w:w="1275"/>
        <w:gridCol w:w="1134"/>
        <w:gridCol w:w="1276"/>
        <w:gridCol w:w="1299"/>
      </w:tblGrid>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trHeight w:val="243" w:hRule="atLeast"/>
          <w:jc w:val="center"/>
        </w:trPr>
        <w:tc>
          <w:tcPr>
            <w:tcW w:w="734" w:type="dxa"/>
            <w:tcBorders>
              <w:top w:val="single" w:color="auto" w:sz="4" w:space="0"/>
              <w:left w:val="single" w:color="auto" w:sz="4" w:space="0"/>
              <w:bottom w:val="single" w:color="auto" w:sz="4" w:space="0"/>
              <w:right w:val="single" w:color="auto" w:sz="4" w:space="0"/>
              <w:tl2br w:val="single" w:color="auto" w:sz="6" w:space="0"/>
            </w:tcBorders>
            <w:vAlign w:val="center"/>
          </w:tcPr>
          <w:p>
            <w:pPr>
              <w:rPr>
                <w:color w:val="auto"/>
                <w:sz w:val="24"/>
              </w:rPr>
            </w:pPr>
            <w:bookmarkStart w:id="5" w:name="_Toc92187727"/>
            <w:r>
              <w:rPr>
                <w:color w:val="auto"/>
                <w:sz w:val="24"/>
              </w:rPr>
              <w:t>内容</w:t>
            </w:r>
          </w:p>
          <w:p>
            <w:pPr>
              <w:rPr>
                <w:color w:val="auto"/>
                <w:sz w:val="24"/>
              </w:rPr>
            </w:pPr>
            <w:r>
              <w:rPr>
                <w:color w:val="auto"/>
                <w:sz w:val="24"/>
              </w:rPr>
              <w:t>类型</w:t>
            </w:r>
          </w:p>
        </w:tc>
        <w:tc>
          <w:tcPr>
            <w:tcW w:w="2268" w:type="dxa"/>
            <w:gridSpan w:val="2"/>
            <w:tcBorders>
              <w:top w:val="single" w:color="auto" w:sz="4" w:space="0"/>
              <w:left w:val="single" w:color="auto" w:sz="4" w:space="0"/>
              <w:bottom w:val="single" w:color="auto" w:sz="4" w:space="0"/>
              <w:right w:val="single" w:color="auto" w:sz="4" w:space="0"/>
            </w:tcBorders>
            <w:vAlign w:val="center"/>
          </w:tcPr>
          <w:p>
            <w:pPr>
              <w:jc w:val="center"/>
              <w:rPr>
                <w:color w:val="auto"/>
                <w:sz w:val="24"/>
              </w:rPr>
            </w:pPr>
            <w:r>
              <w:rPr>
                <w:color w:val="auto"/>
                <w:sz w:val="24"/>
              </w:rPr>
              <w:t>排放源</w:t>
            </w:r>
          </w:p>
        </w:tc>
        <w:tc>
          <w:tcPr>
            <w:tcW w:w="1418" w:type="dxa"/>
            <w:tcBorders>
              <w:top w:val="single" w:color="auto" w:sz="4" w:space="0"/>
              <w:left w:val="single" w:color="auto" w:sz="4" w:space="0"/>
              <w:bottom w:val="single" w:color="auto" w:sz="4" w:space="0"/>
              <w:right w:val="single" w:color="auto" w:sz="4" w:space="0"/>
            </w:tcBorders>
            <w:vAlign w:val="center"/>
          </w:tcPr>
          <w:p>
            <w:pPr>
              <w:jc w:val="center"/>
              <w:rPr>
                <w:color w:val="auto"/>
                <w:sz w:val="24"/>
              </w:rPr>
            </w:pPr>
            <w:r>
              <w:rPr>
                <w:color w:val="auto"/>
                <w:sz w:val="24"/>
              </w:rPr>
              <w:t>污染物名称</w:t>
            </w:r>
          </w:p>
        </w:tc>
        <w:tc>
          <w:tcPr>
            <w:tcW w:w="2409" w:type="dxa"/>
            <w:gridSpan w:val="2"/>
            <w:tcBorders>
              <w:top w:val="single" w:color="auto" w:sz="4" w:space="0"/>
              <w:left w:val="single" w:color="auto" w:sz="4" w:space="0"/>
              <w:bottom w:val="single" w:color="auto" w:sz="4" w:space="0"/>
              <w:right w:val="single" w:color="auto" w:sz="4" w:space="0"/>
            </w:tcBorders>
            <w:vAlign w:val="center"/>
          </w:tcPr>
          <w:p>
            <w:pPr>
              <w:jc w:val="center"/>
              <w:rPr>
                <w:color w:val="auto"/>
                <w:sz w:val="24"/>
              </w:rPr>
            </w:pPr>
            <w:r>
              <w:rPr>
                <w:color w:val="auto"/>
                <w:sz w:val="24"/>
              </w:rPr>
              <w:t>处理前产生浓度及产生量（单位）</w:t>
            </w:r>
          </w:p>
        </w:tc>
        <w:tc>
          <w:tcPr>
            <w:tcW w:w="2575" w:type="dxa"/>
            <w:gridSpan w:val="2"/>
            <w:tcBorders>
              <w:top w:val="single" w:color="auto" w:sz="4" w:space="0"/>
              <w:left w:val="single" w:color="auto" w:sz="4" w:space="0"/>
              <w:bottom w:val="single" w:color="auto" w:sz="4" w:space="0"/>
              <w:right w:val="single" w:color="auto" w:sz="4" w:space="0"/>
            </w:tcBorders>
            <w:vAlign w:val="center"/>
          </w:tcPr>
          <w:p>
            <w:pPr>
              <w:jc w:val="center"/>
              <w:rPr>
                <w:color w:val="auto"/>
                <w:sz w:val="24"/>
              </w:rPr>
            </w:pPr>
            <w:r>
              <w:rPr>
                <w:color w:val="auto"/>
                <w:sz w:val="24"/>
              </w:rPr>
              <w:t>排放浓度及排放量（单位）</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cantSplit/>
          <w:trHeight w:val="318" w:hRule="atLeast"/>
          <w:jc w:val="center"/>
        </w:trPr>
        <w:tc>
          <w:tcPr>
            <w:tcW w:w="734" w:type="dxa"/>
            <w:vMerge w:val="restart"/>
            <w:tcBorders>
              <w:left w:val="single" w:color="auto" w:sz="4" w:space="0"/>
              <w:right w:val="single" w:color="auto" w:sz="4" w:space="0"/>
            </w:tcBorders>
            <w:vAlign w:val="center"/>
          </w:tcPr>
          <w:p>
            <w:pPr>
              <w:jc w:val="center"/>
              <w:rPr>
                <w:color w:val="auto"/>
                <w:sz w:val="24"/>
              </w:rPr>
            </w:pPr>
            <w:r>
              <w:rPr>
                <w:color w:val="auto"/>
                <w:sz w:val="24"/>
              </w:rPr>
              <w:t>大</w:t>
            </w:r>
          </w:p>
          <w:p>
            <w:pPr>
              <w:jc w:val="center"/>
              <w:rPr>
                <w:color w:val="auto"/>
                <w:sz w:val="24"/>
              </w:rPr>
            </w:pPr>
            <w:r>
              <w:rPr>
                <w:color w:val="auto"/>
                <w:sz w:val="24"/>
              </w:rPr>
              <w:t>气</w:t>
            </w:r>
          </w:p>
          <w:p>
            <w:pPr>
              <w:jc w:val="center"/>
              <w:rPr>
                <w:color w:val="auto"/>
                <w:sz w:val="24"/>
              </w:rPr>
            </w:pPr>
            <w:r>
              <w:rPr>
                <w:color w:val="auto"/>
                <w:sz w:val="24"/>
              </w:rPr>
              <w:t>污</w:t>
            </w:r>
          </w:p>
          <w:p>
            <w:pPr>
              <w:jc w:val="center"/>
              <w:rPr>
                <w:color w:val="auto"/>
                <w:sz w:val="24"/>
              </w:rPr>
            </w:pPr>
            <w:r>
              <w:rPr>
                <w:color w:val="auto"/>
                <w:sz w:val="24"/>
              </w:rPr>
              <w:t>染</w:t>
            </w:r>
          </w:p>
          <w:p>
            <w:pPr>
              <w:jc w:val="center"/>
              <w:rPr>
                <w:color w:val="auto"/>
                <w:sz w:val="24"/>
              </w:rPr>
            </w:pPr>
            <w:r>
              <w:rPr>
                <w:color w:val="auto"/>
                <w:sz w:val="24"/>
              </w:rPr>
              <w:t>物</w:t>
            </w:r>
          </w:p>
        </w:tc>
        <w:tc>
          <w:tcPr>
            <w:tcW w:w="709" w:type="dxa"/>
            <w:vMerge w:val="restart"/>
            <w:tcBorders>
              <w:top w:val="single" w:color="auto" w:sz="4" w:space="0"/>
              <w:left w:val="single" w:color="auto" w:sz="4" w:space="0"/>
              <w:right w:val="single" w:color="auto" w:sz="4" w:space="0"/>
            </w:tcBorders>
            <w:vAlign w:val="center"/>
          </w:tcPr>
          <w:p>
            <w:pPr>
              <w:jc w:val="center"/>
              <w:rPr>
                <w:color w:val="auto"/>
                <w:szCs w:val="21"/>
              </w:rPr>
            </w:pPr>
            <w:r>
              <w:rPr>
                <w:color w:val="auto"/>
                <w:szCs w:val="21"/>
              </w:rPr>
              <w:t>施</w:t>
            </w:r>
          </w:p>
          <w:p>
            <w:pPr>
              <w:jc w:val="center"/>
              <w:rPr>
                <w:color w:val="auto"/>
                <w:szCs w:val="21"/>
              </w:rPr>
            </w:pPr>
            <w:r>
              <w:rPr>
                <w:color w:val="auto"/>
                <w:szCs w:val="21"/>
              </w:rPr>
              <w:t>工</w:t>
            </w:r>
          </w:p>
          <w:p>
            <w:pPr>
              <w:jc w:val="center"/>
              <w:rPr>
                <w:color w:val="auto"/>
                <w:szCs w:val="21"/>
              </w:rPr>
            </w:pPr>
            <w:r>
              <w:rPr>
                <w:color w:val="auto"/>
                <w:szCs w:val="21"/>
              </w:rPr>
              <w:t>期</w:t>
            </w:r>
          </w:p>
        </w:tc>
        <w:tc>
          <w:tcPr>
            <w:tcW w:w="1559" w:type="dxa"/>
            <w:tcBorders>
              <w:top w:val="single" w:color="auto" w:sz="4" w:space="0"/>
              <w:left w:val="single" w:color="auto" w:sz="4" w:space="0"/>
              <w:bottom w:val="single" w:color="auto" w:sz="4" w:space="0"/>
              <w:right w:val="single" w:color="auto" w:sz="4" w:space="0"/>
            </w:tcBorders>
            <w:vAlign w:val="center"/>
          </w:tcPr>
          <w:p>
            <w:pPr>
              <w:jc w:val="center"/>
              <w:rPr>
                <w:color w:val="auto"/>
                <w:szCs w:val="21"/>
              </w:rPr>
            </w:pPr>
            <w:r>
              <w:rPr>
                <w:color w:val="auto"/>
                <w:szCs w:val="21"/>
              </w:rPr>
              <w:t>施工场内</w:t>
            </w:r>
          </w:p>
        </w:tc>
        <w:tc>
          <w:tcPr>
            <w:tcW w:w="1418" w:type="dxa"/>
            <w:vMerge w:val="restart"/>
            <w:tcBorders>
              <w:left w:val="single" w:color="auto" w:sz="4" w:space="0"/>
              <w:right w:val="single" w:color="auto" w:sz="4" w:space="0"/>
            </w:tcBorders>
            <w:vAlign w:val="center"/>
          </w:tcPr>
          <w:p>
            <w:pPr>
              <w:jc w:val="center"/>
              <w:rPr>
                <w:color w:val="auto"/>
                <w:szCs w:val="21"/>
              </w:rPr>
            </w:pPr>
            <w:r>
              <w:rPr>
                <w:color w:val="auto"/>
                <w:szCs w:val="21"/>
              </w:rPr>
              <w:t>扬尘</w:t>
            </w:r>
          </w:p>
        </w:tc>
        <w:tc>
          <w:tcPr>
            <w:tcW w:w="2409" w:type="dxa"/>
            <w:gridSpan w:val="2"/>
            <w:vMerge w:val="restart"/>
            <w:tcBorders>
              <w:top w:val="single" w:color="auto" w:sz="4" w:space="0"/>
              <w:left w:val="single" w:color="auto" w:sz="4" w:space="0"/>
              <w:right w:val="single" w:color="auto" w:sz="4" w:space="0"/>
            </w:tcBorders>
            <w:vAlign w:val="center"/>
          </w:tcPr>
          <w:p>
            <w:pPr>
              <w:jc w:val="center"/>
              <w:rPr>
                <w:color w:val="auto"/>
                <w:szCs w:val="21"/>
              </w:rPr>
            </w:pPr>
            <w:r>
              <w:rPr>
                <w:color w:val="auto"/>
                <w:szCs w:val="21"/>
              </w:rPr>
              <w:t>少量</w:t>
            </w:r>
          </w:p>
        </w:tc>
        <w:tc>
          <w:tcPr>
            <w:tcW w:w="2575" w:type="dxa"/>
            <w:gridSpan w:val="2"/>
            <w:vMerge w:val="restart"/>
            <w:tcBorders>
              <w:left w:val="single" w:color="auto" w:sz="4" w:space="0"/>
              <w:right w:val="single" w:color="auto" w:sz="4" w:space="0"/>
            </w:tcBorders>
            <w:vAlign w:val="center"/>
          </w:tcPr>
          <w:p>
            <w:pPr>
              <w:jc w:val="center"/>
              <w:rPr>
                <w:color w:val="auto"/>
                <w:szCs w:val="21"/>
              </w:rPr>
            </w:pPr>
            <w:bookmarkStart w:id="6" w:name="OLE_LINK3"/>
            <w:bookmarkStart w:id="7" w:name="OLE_LINK4"/>
            <w:r>
              <w:rPr>
                <w:color w:val="auto"/>
                <w:szCs w:val="21"/>
              </w:rPr>
              <w:t>少量</w:t>
            </w:r>
            <w:bookmarkEnd w:id="6"/>
            <w:bookmarkEnd w:id="7"/>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cantSplit/>
          <w:trHeight w:val="318" w:hRule="atLeast"/>
          <w:jc w:val="center"/>
        </w:trPr>
        <w:tc>
          <w:tcPr>
            <w:tcW w:w="734" w:type="dxa"/>
            <w:vMerge w:val="continue"/>
            <w:tcBorders>
              <w:left w:val="single" w:color="auto" w:sz="4" w:space="0"/>
              <w:right w:val="single" w:color="auto" w:sz="4" w:space="0"/>
            </w:tcBorders>
            <w:vAlign w:val="center"/>
          </w:tcPr>
          <w:p>
            <w:pPr>
              <w:jc w:val="center"/>
              <w:rPr>
                <w:color w:val="auto"/>
                <w:sz w:val="24"/>
              </w:rPr>
            </w:pPr>
          </w:p>
        </w:tc>
        <w:tc>
          <w:tcPr>
            <w:tcW w:w="709" w:type="dxa"/>
            <w:vMerge w:val="continue"/>
            <w:tcBorders>
              <w:left w:val="single" w:color="auto" w:sz="4" w:space="0"/>
              <w:right w:val="single" w:color="auto" w:sz="4" w:space="0"/>
            </w:tcBorders>
            <w:vAlign w:val="center"/>
          </w:tcPr>
          <w:p>
            <w:pPr>
              <w:jc w:val="center"/>
              <w:rPr>
                <w:color w:val="auto"/>
                <w:szCs w:val="21"/>
              </w:rPr>
            </w:pPr>
          </w:p>
        </w:tc>
        <w:tc>
          <w:tcPr>
            <w:tcW w:w="1559" w:type="dxa"/>
            <w:tcBorders>
              <w:top w:val="single" w:color="auto" w:sz="4" w:space="0"/>
              <w:left w:val="single" w:color="auto" w:sz="4" w:space="0"/>
              <w:bottom w:val="single" w:color="auto" w:sz="4" w:space="0"/>
              <w:right w:val="single" w:color="auto" w:sz="4" w:space="0"/>
            </w:tcBorders>
            <w:vAlign w:val="center"/>
          </w:tcPr>
          <w:p>
            <w:pPr>
              <w:jc w:val="center"/>
              <w:rPr>
                <w:color w:val="auto"/>
                <w:szCs w:val="21"/>
              </w:rPr>
            </w:pPr>
            <w:r>
              <w:rPr>
                <w:color w:val="auto"/>
                <w:szCs w:val="21"/>
              </w:rPr>
              <w:t>车辆运输</w:t>
            </w:r>
          </w:p>
        </w:tc>
        <w:tc>
          <w:tcPr>
            <w:tcW w:w="1418" w:type="dxa"/>
            <w:vMerge w:val="continue"/>
            <w:tcBorders>
              <w:left w:val="single" w:color="auto" w:sz="4" w:space="0"/>
              <w:bottom w:val="single" w:color="auto" w:sz="4" w:space="0"/>
              <w:right w:val="single" w:color="auto" w:sz="4" w:space="0"/>
            </w:tcBorders>
            <w:vAlign w:val="center"/>
          </w:tcPr>
          <w:p>
            <w:pPr>
              <w:jc w:val="center"/>
              <w:rPr>
                <w:color w:val="auto"/>
                <w:szCs w:val="21"/>
              </w:rPr>
            </w:pPr>
          </w:p>
        </w:tc>
        <w:tc>
          <w:tcPr>
            <w:tcW w:w="2409" w:type="dxa"/>
            <w:gridSpan w:val="2"/>
            <w:vMerge w:val="continue"/>
            <w:tcBorders>
              <w:top w:val="single" w:color="auto" w:sz="4" w:space="0"/>
              <w:left w:val="single" w:color="auto" w:sz="4" w:space="0"/>
              <w:right w:val="single" w:color="auto" w:sz="4" w:space="0"/>
            </w:tcBorders>
            <w:vAlign w:val="center"/>
          </w:tcPr>
          <w:p>
            <w:pPr>
              <w:jc w:val="center"/>
              <w:rPr>
                <w:color w:val="auto"/>
                <w:szCs w:val="21"/>
              </w:rPr>
            </w:pPr>
          </w:p>
        </w:tc>
        <w:tc>
          <w:tcPr>
            <w:tcW w:w="2575" w:type="dxa"/>
            <w:gridSpan w:val="2"/>
            <w:vMerge w:val="continue"/>
            <w:tcBorders>
              <w:left w:val="single" w:color="auto" w:sz="4" w:space="0"/>
              <w:right w:val="single" w:color="auto" w:sz="4" w:space="0"/>
            </w:tcBorders>
            <w:vAlign w:val="center"/>
          </w:tcPr>
          <w:p>
            <w:pPr>
              <w:jc w:val="center"/>
              <w:rPr>
                <w:color w:val="auto"/>
                <w:szCs w:val="21"/>
              </w:rPr>
            </w:pP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cantSplit/>
          <w:trHeight w:val="182" w:hRule="atLeast"/>
          <w:jc w:val="center"/>
        </w:trPr>
        <w:tc>
          <w:tcPr>
            <w:tcW w:w="734" w:type="dxa"/>
            <w:vMerge w:val="continue"/>
            <w:tcBorders>
              <w:left w:val="single" w:color="auto" w:sz="4" w:space="0"/>
              <w:right w:val="single" w:color="auto" w:sz="4" w:space="0"/>
            </w:tcBorders>
            <w:vAlign w:val="center"/>
          </w:tcPr>
          <w:p>
            <w:pPr>
              <w:jc w:val="center"/>
              <w:rPr>
                <w:color w:val="auto"/>
                <w:sz w:val="24"/>
              </w:rPr>
            </w:pPr>
          </w:p>
        </w:tc>
        <w:tc>
          <w:tcPr>
            <w:tcW w:w="709" w:type="dxa"/>
            <w:vMerge w:val="continue"/>
            <w:tcBorders>
              <w:left w:val="single" w:color="auto" w:sz="4" w:space="0"/>
              <w:right w:val="single" w:color="auto" w:sz="4" w:space="0"/>
            </w:tcBorders>
            <w:vAlign w:val="center"/>
          </w:tcPr>
          <w:p>
            <w:pPr>
              <w:rPr>
                <w:color w:val="auto"/>
                <w:szCs w:val="21"/>
              </w:rPr>
            </w:pPr>
          </w:p>
        </w:tc>
        <w:tc>
          <w:tcPr>
            <w:tcW w:w="1559" w:type="dxa"/>
            <w:tcBorders>
              <w:left w:val="single" w:color="auto" w:sz="4" w:space="0"/>
              <w:bottom w:val="single" w:color="auto" w:sz="4" w:space="0"/>
              <w:right w:val="single" w:color="auto" w:sz="4" w:space="0"/>
            </w:tcBorders>
            <w:vAlign w:val="center"/>
          </w:tcPr>
          <w:p>
            <w:pPr>
              <w:jc w:val="center"/>
              <w:rPr>
                <w:color w:val="auto"/>
                <w:szCs w:val="21"/>
              </w:rPr>
            </w:pPr>
            <w:r>
              <w:rPr>
                <w:color w:val="auto"/>
                <w:szCs w:val="21"/>
              </w:rPr>
              <w:t>施工机械废气和车辆尾气</w:t>
            </w:r>
          </w:p>
        </w:tc>
        <w:tc>
          <w:tcPr>
            <w:tcW w:w="1418" w:type="dxa"/>
            <w:tcBorders>
              <w:left w:val="single" w:color="auto" w:sz="4" w:space="0"/>
              <w:bottom w:val="single" w:color="auto" w:sz="4" w:space="0"/>
              <w:right w:val="single" w:color="auto" w:sz="4" w:space="0"/>
            </w:tcBorders>
            <w:vAlign w:val="center"/>
          </w:tcPr>
          <w:p>
            <w:pPr>
              <w:jc w:val="center"/>
              <w:rPr>
                <w:color w:val="auto"/>
                <w:szCs w:val="21"/>
              </w:rPr>
            </w:pPr>
            <w:r>
              <w:rPr>
                <w:color w:val="auto"/>
                <w:szCs w:val="21"/>
              </w:rPr>
              <w:t>SO</w:t>
            </w:r>
            <w:r>
              <w:rPr>
                <w:color w:val="auto"/>
                <w:szCs w:val="21"/>
                <w:vertAlign w:val="subscript"/>
              </w:rPr>
              <w:t>2</w:t>
            </w:r>
            <w:r>
              <w:rPr>
                <w:color w:val="auto"/>
                <w:szCs w:val="21"/>
              </w:rPr>
              <w:t>、CO、NO</w:t>
            </w:r>
            <w:r>
              <w:rPr>
                <w:color w:val="auto"/>
                <w:szCs w:val="21"/>
                <w:vertAlign w:val="subscript"/>
              </w:rPr>
              <w:t>X</w:t>
            </w:r>
            <w:r>
              <w:rPr>
                <w:color w:val="auto"/>
                <w:szCs w:val="21"/>
              </w:rPr>
              <w:t>等</w:t>
            </w:r>
          </w:p>
        </w:tc>
        <w:tc>
          <w:tcPr>
            <w:tcW w:w="2409" w:type="dxa"/>
            <w:gridSpan w:val="2"/>
            <w:vMerge w:val="continue"/>
            <w:tcBorders>
              <w:left w:val="single" w:color="auto" w:sz="4" w:space="0"/>
              <w:bottom w:val="single" w:color="auto" w:sz="4" w:space="0"/>
              <w:right w:val="single" w:color="auto" w:sz="4" w:space="0"/>
            </w:tcBorders>
            <w:vAlign w:val="center"/>
          </w:tcPr>
          <w:p>
            <w:pPr>
              <w:jc w:val="center"/>
              <w:rPr>
                <w:color w:val="auto"/>
                <w:szCs w:val="21"/>
              </w:rPr>
            </w:pPr>
          </w:p>
        </w:tc>
        <w:tc>
          <w:tcPr>
            <w:tcW w:w="2575" w:type="dxa"/>
            <w:gridSpan w:val="2"/>
            <w:vMerge w:val="continue"/>
            <w:tcBorders>
              <w:left w:val="single" w:color="auto" w:sz="4" w:space="0"/>
              <w:bottom w:val="single" w:color="auto" w:sz="4" w:space="0"/>
              <w:right w:val="single" w:color="auto" w:sz="4" w:space="0"/>
            </w:tcBorders>
            <w:vAlign w:val="center"/>
          </w:tcPr>
          <w:p>
            <w:pPr>
              <w:jc w:val="center"/>
              <w:rPr>
                <w:color w:val="auto"/>
                <w:szCs w:val="21"/>
              </w:rPr>
            </w:pP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cantSplit/>
          <w:trHeight w:val="303" w:hRule="atLeast"/>
          <w:jc w:val="center"/>
        </w:trPr>
        <w:tc>
          <w:tcPr>
            <w:tcW w:w="734" w:type="dxa"/>
            <w:vMerge w:val="restart"/>
            <w:tcBorders>
              <w:top w:val="single" w:color="auto" w:sz="4" w:space="0"/>
              <w:left w:val="single" w:color="auto" w:sz="4" w:space="0"/>
              <w:right w:val="single" w:color="auto" w:sz="4" w:space="0"/>
            </w:tcBorders>
            <w:vAlign w:val="center"/>
          </w:tcPr>
          <w:p>
            <w:pPr>
              <w:jc w:val="center"/>
              <w:rPr>
                <w:color w:val="auto"/>
                <w:sz w:val="24"/>
              </w:rPr>
            </w:pPr>
            <w:r>
              <w:rPr>
                <w:color w:val="auto"/>
                <w:sz w:val="24"/>
              </w:rPr>
              <w:t>水</w:t>
            </w:r>
          </w:p>
          <w:p>
            <w:pPr>
              <w:jc w:val="center"/>
              <w:rPr>
                <w:color w:val="auto"/>
                <w:sz w:val="24"/>
              </w:rPr>
            </w:pPr>
            <w:r>
              <w:rPr>
                <w:color w:val="auto"/>
                <w:sz w:val="24"/>
              </w:rPr>
              <w:t>污</w:t>
            </w:r>
          </w:p>
          <w:p>
            <w:pPr>
              <w:jc w:val="center"/>
              <w:rPr>
                <w:color w:val="auto"/>
                <w:sz w:val="24"/>
              </w:rPr>
            </w:pPr>
            <w:r>
              <w:rPr>
                <w:color w:val="auto"/>
                <w:sz w:val="24"/>
              </w:rPr>
              <w:t>染</w:t>
            </w:r>
          </w:p>
          <w:p>
            <w:pPr>
              <w:jc w:val="center"/>
              <w:rPr>
                <w:color w:val="auto"/>
                <w:sz w:val="24"/>
              </w:rPr>
            </w:pPr>
            <w:r>
              <w:rPr>
                <w:color w:val="auto"/>
                <w:sz w:val="24"/>
              </w:rPr>
              <w:t>物</w:t>
            </w:r>
          </w:p>
        </w:tc>
        <w:tc>
          <w:tcPr>
            <w:tcW w:w="709" w:type="dxa"/>
            <w:vMerge w:val="restart"/>
            <w:tcBorders>
              <w:top w:val="single" w:color="auto" w:sz="4" w:space="0"/>
              <w:left w:val="single" w:color="auto" w:sz="4" w:space="0"/>
              <w:right w:val="single" w:color="auto" w:sz="4" w:space="0"/>
            </w:tcBorders>
            <w:vAlign w:val="center"/>
          </w:tcPr>
          <w:p>
            <w:pPr>
              <w:jc w:val="center"/>
              <w:rPr>
                <w:color w:val="auto"/>
                <w:szCs w:val="21"/>
              </w:rPr>
            </w:pPr>
            <w:r>
              <w:rPr>
                <w:color w:val="auto"/>
                <w:szCs w:val="21"/>
              </w:rPr>
              <w:t>施</w:t>
            </w:r>
          </w:p>
          <w:p>
            <w:pPr>
              <w:jc w:val="center"/>
              <w:rPr>
                <w:color w:val="auto"/>
                <w:szCs w:val="21"/>
              </w:rPr>
            </w:pPr>
            <w:r>
              <w:rPr>
                <w:color w:val="auto"/>
                <w:szCs w:val="21"/>
              </w:rPr>
              <w:t>工</w:t>
            </w:r>
          </w:p>
          <w:p>
            <w:pPr>
              <w:jc w:val="center"/>
              <w:rPr>
                <w:color w:val="auto"/>
                <w:szCs w:val="21"/>
              </w:rPr>
            </w:pPr>
            <w:r>
              <w:rPr>
                <w:color w:val="auto"/>
                <w:szCs w:val="21"/>
              </w:rPr>
              <w:t>期</w:t>
            </w:r>
          </w:p>
        </w:tc>
        <w:tc>
          <w:tcPr>
            <w:tcW w:w="1559" w:type="dxa"/>
            <w:tcBorders>
              <w:top w:val="single" w:color="auto" w:sz="4" w:space="0"/>
              <w:left w:val="single" w:color="auto" w:sz="4" w:space="0"/>
              <w:bottom w:val="single" w:color="auto" w:sz="4" w:space="0"/>
              <w:right w:val="single" w:color="auto" w:sz="4" w:space="0"/>
            </w:tcBorders>
            <w:vAlign w:val="center"/>
          </w:tcPr>
          <w:p>
            <w:pPr>
              <w:jc w:val="center"/>
              <w:rPr>
                <w:color w:val="auto"/>
                <w:szCs w:val="21"/>
              </w:rPr>
            </w:pPr>
            <w:bookmarkStart w:id="8" w:name="_Toc60538585"/>
            <w:bookmarkStart w:id="9" w:name="_Toc60538513"/>
            <w:r>
              <w:rPr>
                <w:color w:val="auto"/>
                <w:szCs w:val="21"/>
              </w:rPr>
              <w:t>施工废水</w:t>
            </w:r>
            <w:bookmarkEnd w:id="8"/>
            <w:bookmarkEnd w:id="9"/>
          </w:p>
        </w:tc>
        <w:tc>
          <w:tcPr>
            <w:tcW w:w="1418" w:type="dxa"/>
            <w:tcBorders>
              <w:top w:val="single" w:color="auto" w:sz="4" w:space="0"/>
              <w:left w:val="single" w:color="auto" w:sz="4" w:space="0"/>
              <w:bottom w:val="single" w:color="auto" w:sz="4" w:space="0"/>
              <w:right w:val="single" w:color="auto" w:sz="4" w:space="0"/>
            </w:tcBorders>
            <w:vAlign w:val="center"/>
          </w:tcPr>
          <w:p>
            <w:pPr>
              <w:jc w:val="center"/>
              <w:rPr>
                <w:color w:val="auto"/>
                <w:szCs w:val="21"/>
              </w:rPr>
            </w:pPr>
            <w:bookmarkStart w:id="10" w:name="_Toc60538593"/>
            <w:bookmarkStart w:id="11" w:name="_Toc60538521"/>
            <w:r>
              <w:rPr>
                <w:color w:val="auto"/>
                <w:szCs w:val="21"/>
              </w:rPr>
              <w:t>SS</w:t>
            </w:r>
            <w:bookmarkEnd w:id="10"/>
            <w:bookmarkEnd w:id="11"/>
            <w:r>
              <w:rPr>
                <w:color w:val="auto"/>
                <w:szCs w:val="21"/>
              </w:rPr>
              <w:t>、石油类</w:t>
            </w:r>
          </w:p>
        </w:tc>
        <w:tc>
          <w:tcPr>
            <w:tcW w:w="2409" w:type="dxa"/>
            <w:gridSpan w:val="2"/>
            <w:tcBorders>
              <w:top w:val="single" w:color="auto" w:sz="4" w:space="0"/>
              <w:left w:val="single" w:color="auto" w:sz="4" w:space="0"/>
              <w:bottom w:val="single" w:color="auto" w:sz="4" w:space="0"/>
              <w:right w:val="single" w:color="auto" w:sz="4" w:space="0"/>
            </w:tcBorders>
            <w:vAlign w:val="center"/>
          </w:tcPr>
          <w:p>
            <w:pPr>
              <w:jc w:val="center"/>
              <w:rPr>
                <w:color w:val="auto"/>
                <w:szCs w:val="21"/>
              </w:rPr>
            </w:pPr>
            <w:r>
              <w:rPr>
                <w:color w:val="auto"/>
                <w:szCs w:val="21"/>
              </w:rPr>
              <w:t>少量</w:t>
            </w:r>
          </w:p>
        </w:tc>
        <w:tc>
          <w:tcPr>
            <w:tcW w:w="2575" w:type="dxa"/>
            <w:gridSpan w:val="2"/>
            <w:tcBorders>
              <w:top w:val="single" w:color="auto" w:sz="4" w:space="0"/>
              <w:left w:val="single" w:color="auto" w:sz="4" w:space="0"/>
              <w:bottom w:val="single" w:color="auto" w:sz="4" w:space="0"/>
              <w:right w:val="single" w:color="auto" w:sz="4" w:space="0"/>
            </w:tcBorders>
            <w:vAlign w:val="center"/>
          </w:tcPr>
          <w:p>
            <w:pPr>
              <w:jc w:val="center"/>
              <w:rPr>
                <w:color w:val="auto"/>
              </w:rPr>
            </w:pPr>
            <w:r>
              <w:rPr>
                <w:color w:val="auto"/>
              </w:rPr>
              <w:t>隔油、沉淀后回用于施工</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cantSplit/>
          <w:trHeight w:val="565" w:hRule="atLeast"/>
          <w:jc w:val="center"/>
        </w:trPr>
        <w:tc>
          <w:tcPr>
            <w:tcW w:w="734" w:type="dxa"/>
            <w:vMerge w:val="continue"/>
            <w:tcBorders>
              <w:left w:val="single" w:color="auto" w:sz="4" w:space="0"/>
              <w:right w:val="single" w:color="auto" w:sz="4" w:space="0"/>
            </w:tcBorders>
            <w:vAlign w:val="center"/>
          </w:tcPr>
          <w:p>
            <w:pPr>
              <w:jc w:val="center"/>
              <w:rPr>
                <w:color w:val="auto"/>
                <w:sz w:val="24"/>
              </w:rPr>
            </w:pPr>
          </w:p>
        </w:tc>
        <w:tc>
          <w:tcPr>
            <w:tcW w:w="709" w:type="dxa"/>
            <w:vMerge w:val="continue"/>
            <w:tcBorders>
              <w:left w:val="single" w:color="auto" w:sz="4" w:space="0"/>
              <w:right w:val="single" w:color="auto" w:sz="4" w:space="0"/>
            </w:tcBorders>
            <w:vAlign w:val="center"/>
          </w:tcPr>
          <w:p>
            <w:pPr>
              <w:jc w:val="center"/>
              <w:rPr>
                <w:color w:val="auto"/>
                <w:szCs w:val="21"/>
              </w:rPr>
            </w:pPr>
          </w:p>
        </w:tc>
        <w:tc>
          <w:tcPr>
            <w:tcW w:w="1559" w:type="dxa"/>
            <w:vMerge w:val="restart"/>
            <w:tcBorders>
              <w:top w:val="single" w:color="auto" w:sz="4" w:space="0"/>
              <w:left w:val="single" w:color="auto" w:sz="4" w:space="0"/>
              <w:right w:val="single" w:color="auto" w:sz="4" w:space="0"/>
            </w:tcBorders>
            <w:vAlign w:val="center"/>
          </w:tcPr>
          <w:p>
            <w:pPr>
              <w:jc w:val="center"/>
              <w:rPr>
                <w:color w:val="auto"/>
                <w:szCs w:val="21"/>
              </w:rPr>
            </w:pPr>
            <w:r>
              <w:rPr>
                <w:color w:val="auto"/>
                <w:szCs w:val="21"/>
              </w:rPr>
              <w:t>生活污水</w:t>
            </w:r>
          </w:p>
          <w:p>
            <w:pPr>
              <w:jc w:val="center"/>
              <w:rPr>
                <w:color w:val="auto"/>
                <w:szCs w:val="21"/>
              </w:rPr>
            </w:pPr>
            <w:r>
              <w:rPr>
                <w:color w:val="auto"/>
                <w:szCs w:val="21"/>
              </w:rPr>
              <w:t>324t</w:t>
            </w:r>
          </w:p>
        </w:tc>
        <w:tc>
          <w:tcPr>
            <w:tcW w:w="1418" w:type="dxa"/>
            <w:tcBorders>
              <w:top w:val="single" w:color="auto" w:sz="4" w:space="0"/>
              <w:left w:val="single" w:color="auto" w:sz="4" w:space="0"/>
              <w:bottom w:val="single" w:color="auto" w:sz="4" w:space="0"/>
              <w:right w:val="single" w:color="auto" w:sz="4" w:space="0"/>
            </w:tcBorders>
            <w:vAlign w:val="center"/>
          </w:tcPr>
          <w:p>
            <w:pPr>
              <w:snapToGrid w:val="0"/>
              <w:jc w:val="center"/>
              <w:rPr>
                <w:color w:val="auto"/>
                <w:szCs w:val="21"/>
              </w:rPr>
            </w:pPr>
            <w:r>
              <w:rPr>
                <w:color w:val="auto"/>
                <w:szCs w:val="21"/>
              </w:rPr>
              <w:t>COD</w:t>
            </w:r>
            <w:r>
              <w:rPr>
                <w:color w:val="auto"/>
                <w:szCs w:val="21"/>
                <w:vertAlign w:val="subscript"/>
              </w:rPr>
              <w:t>cr</w:t>
            </w:r>
          </w:p>
        </w:tc>
        <w:tc>
          <w:tcPr>
            <w:tcW w:w="1275" w:type="dxa"/>
            <w:tcBorders>
              <w:top w:val="single" w:color="auto" w:sz="4" w:space="0"/>
              <w:left w:val="single" w:color="auto" w:sz="4" w:space="0"/>
              <w:bottom w:val="single" w:color="auto" w:sz="4" w:space="0"/>
              <w:right w:val="single" w:color="auto" w:sz="4" w:space="0"/>
            </w:tcBorders>
            <w:vAlign w:val="center"/>
          </w:tcPr>
          <w:p>
            <w:pPr>
              <w:snapToGrid w:val="0"/>
              <w:jc w:val="center"/>
              <w:rPr>
                <w:color w:val="auto"/>
                <w:szCs w:val="21"/>
              </w:rPr>
            </w:pPr>
            <w:r>
              <w:rPr>
                <w:rFonts w:hint="eastAsia"/>
                <w:color w:val="auto"/>
              </w:rPr>
              <w:t xml:space="preserve">250 </w:t>
            </w:r>
            <w:r>
              <w:rPr>
                <w:color w:val="auto"/>
              </w:rPr>
              <w:t>mg/L</w:t>
            </w:r>
          </w:p>
        </w:tc>
        <w:tc>
          <w:tcPr>
            <w:tcW w:w="1134" w:type="dxa"/>
            <w:tcBorders>
              <w:top w:val="single" w:color="auto" w:sz="4" w:space="0"/>
              <w:left w:val="single" w:color="auto" w:sz="4" w:space="0"/>
              <w:bottom w:val="single" w:color="auto" w:sz="4" w:space="0"/>
              <w:right w:val="single" w:color="auto" w:sz="4" w:space="0"/>
            </w:tcBorders>
            <w:vAlign w:val="center"/>
          </w:tcPr>
          <w:p>
            <w:pPr>
              <w:snapToGrid w:val="0"/>
              <w:jc w:val="center"/>
              <w:rPr>
                <w:color w:val="auto"/>
                <w:szCs w:val="21"/>
              </w:rPr>
            </w:pPr>
            <w:r>
              <w:rPr>
                <w:rFonts w:hint="eastAsia"/>
                <w:color w:val="auto"/>
              </w:rPr>
              <w:t xml:space="preserve">0.0810 </w:t>
            </w:r>
            <w:r>
              <w:rPr>
                <w:color w:val="auto"/>
              </w:rPr>
              <w:t>t/a</w:t>
            </w:r>
          </w:p>
        </w:tc>
        <w:tc>
          <w:tcPr>
            <w:tcW w:w="1276" w:type="dxa"/>
            <w:tcBorders>
              <w:top w:val="single" w:color="auto" w:sz="4" w:space="0"/>
              <w:left w:val="single" w:color="auto" w:sz="4" w:space="0"/>
              <w:bottom w:val="single" w:color="auto" w:sz="4" w:space="0"/>
              <w:right w:val="single" w:color="auto" w:sz="4" w:space="0"/>
            </w:tcBorders>
            <w:vAlign w:val="center"/>
          </w:tcPr>
          <w:p>
            <w:pPr>
              <w:snapToGrid w:val="0"/>
              <w:jc w:val="center"/>
              <w:rPr>
                <w:color w:val="auto"/>
                <w:szCs w:val="21"/>
              </w:rPr>
            </w:pPr>
            <w:r>
              <w:rPr>
                <w:rFonts w:hint="eastAsia"/>
                <w:color w:val="auto"/>
              </w:rPr>
              <w:t xml:space="preserve">200 </w:t>
            </w:r>
            <w:r>
              <w:rPr>
                <w:color w:val="auto"/>
              </w:rPr>
              <w:t>mg/L</w:t>
            </w:r>
          </w:p>
        </w:tc>
        <w:tc>
          <w:tcPr>
            <w:tcW w:w="1299" w:type="dxa"/>
            <w:tcBorders>
              <w:top w:val="single" w:color="auto" w:sz="4" w:space="0"/>
              <w:left w:val="single" w:color="auto" w:sz="4" w:space="0"/>
              <w:bottom w:val="single" w:color="auto" w:sz="4" w:space="0"/>
              <w:right w:val="single" w:color="auto" w:sz="4" w:space="0"/>
            </w:tcBorders>
            <w:vAlign w:val="center"/>
          </w:tcPr>
          <w:p>
            <w:pPr>
              <w:snapToGrid w:val="0"/>
              <w:jc w:val="center"/>
              <w:rPr>
                <w:color w:val="auto"/>
                <w:szCs w:val="21"/>
              </w:rPr>
            </w:pPr>
            <w:r>
              <w:rPr>
                <w:rFonts w:hint="eastAsia"/>
                <w:color w:val="auto"/>
              </w:rPr>
              <w:t xml:space="preserve">0.0648 </w:t>
            </w:r>
            <w:r>
              <w:rPr>
                <w:color w:val="auto"/>
              </w:rPr>
              <w:t>t/a</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cantSplit/>
          <w:trHeight w:val="545" w:hRule="atLeast"/>
          <w:jc w:val="center"/>
        </w:trPr>
        <w:tc>
          <w:tcPr>
            <w:tcW w:w="734" w:type="dxa"/>
            <w:vMerge w:val="continue"/>
            <w:tcBorders>
              <w:left w:val="single" w:color="auto" w:sz="4" w:space="0"/>
              <w:right w:val="single" w:color="auto" w:sz="4" w:space="0"/>
            </w:tcBorders>
            <w:vAlign w:val="center"/>
          </w:tcPr>
          <w:p>
            <w:pPr>
              <w:jc w:val="center"/>
              <w:rPr>
                <w:color w:val="auto"/>
                <w:sz w:val="24"/>
              </w:rPr>
            </w:pPr>
          </w:p>
        </w:tc>
        <w:tc>
          <w:tcPr>
            <w:tcW w:w="709" w:type="dxa"/>
            <w:vMerge w:val="continue"/>
            <w:tcBorders>
              <w:left w:val="single" w:color="auto" w:sz="4" w:space="0"/>
              <w:right w:val="single" w:color="auto" w:sz="4" w:space="0"/>
            </w:tcBorders>
            <w:vAlign w:val="center"/>
          </w:tcPr>
          <w:p>
            <w:pPr>
              <w:jc w:val="center"/>
              <w:rPr>
                <w:color w:val="auto"/>
                <w:szCs w:val="21"/>
              </w:rPr>
            </w:pPr>
          </w:p>
        </w:tc>
        <w:tc>
          <w:tcPr>
            <w:tcW w:w="1559" w:type="dxa"/>
            <w:vMerge w:val="continue"/>
            <w:tcBorders>
              <w:left w:val="single" w:color="auto" w:sz="4" w:space="0"/>
              <w:right w:val="single" w:color="auto" w:sz="4" w:space="0"/>
            </w:tcBorders>
            <w:vAlign w:val="center"/>
          </w:tcPr>
          <w:p>
            <w:pPr>
              <w:jc w:val="center"/>
              <w:rPr>
                <w:color w:val="auto"/>
                <w:szCs w:val="21"/>
              </w:rPr>
            </w:pPr>
          </w:p>
        </w:tc>
        <w:tc>
          <w:tcPr>
            <w:tcW w:w="1418" w:type="dxa"/>
            <w:tcBorders>
              <w:top w:val="single" w:color="auto" w:sz="4" w:space="0"/>
              <w:left w:val="single" w:color="auto" w:sz="4" w:space="0"/>
              <w:bottom w:val="single" w:color="auto" w:sz="4" w:space="0"/>
              <w:right w:val="single" w:color="auto" w:sz="4" w:space="0"/>
            </w:tcBorders>
            <w:vAlign w:val="center"/>
          </w:tcPr>
          <w:p>
            <w:pPr>
              <w:snapToGrid w:val="0"/>
              <w:jc w:val="center"/>
              <w:rPr>
                <w:color w:val="auto"/>
                <w:szCs w:val="21"/>
              </w:rPr>
            </w:pPr>
            <w:r>
              <w:rPr>
                <w:color w:val="auto"/>
                <w:szCs w:val="21"/>
              </w:rPr>
              <w:t>BOD</w:t>
            </w:r>
            <w:r>
              <w:rPr>
                <w:color w:val="auto"/>
                <w:szCs w:val="21"/>
                <w:vertAlign w:val="subscript"/>
              </w:rPr>
              <w:t>5</w:t>
            </w:r>
          </w:p>
        </w:tc>
        <w:tc>
          <w:tcPr>
            <w:tcW w:w="1275" w:type="dxa"/>
            <w:tcBorders>
              <w:top w:val="single" w:color="auto" w:sz="4" w:space="0"/>
              <w:left w:val="single" w:color="auto" w:sz="4" w:space="0"/>
              <w:bottom w:val="single" w:color="auto" w:sz="4" w:space="0"/>
              <w:right w:val="single" w:color="auto" w:sz="4" w:space="0"/>
            </w:tcBorders>
            <w:vAlign w:val="center"/>
          </w:tcPr>
          <w:p>
            <w:pPr>
              <w:snapToGrid w:val="0"/>
              <w:jc w:val="center"/>
              <w:rPr>
                <w:color w:val="auto"/>
                <w:szCs w:val="21"/>
              </w:rPr>
            </w:pPr>
            <w:r>
              <w:rPr>
                <w:rFonts w:hint="eastAsia"/>
                <w:color w:val="auto"/>
              </w:rPr>
              <w:t xml:space="preserve">150 </w:t>
            </w:r>
            <w:r>
              <w:rPr>
                <w:color w:val="auto"/>
              </w:rPr>
              <w:t>mg/L</w:t>
            </w:r>
          </w:p>
        </w:tc>
        <w:tc>
          <w:tcPr>
            <w:tcW w:w="1134" w:type="dxa"/>
            <w:tcBorders>
              <w:top w:val="single" w:color="auto" w:sz="4" w:space="0"/>
              <w:left w:val="single" w:color="auto" w:sz="4" w:space="0"/>
              <w:bottom w:val="single" w:color="auto" w:sz="4" w:space="0"/>
              <w:right w:val="single" w:color="auto" w:sz="4" w:space="0"/>
            </w:tcBorders>
            <w:vAlign w:val="center"/>
          </w:tcPr>
          <w:p>
            <w:pPr>
              <w:snapToGrid w:val="0"/>
              <w:jc w:val="center"/>
              <w:rPr>
                <w:color w:val="auto"/>
                <w:szCs w:val="21"/>
              </w:rPr>
            </w:pPr>
            <w:r>
              <w:rPr>
                <w:rFonts w:hint="eastAsia"/>
                <w:color w:val="auto"/>
              </w:rPr>
              <w:t xml:space="preserve">0.0486 </w:t>
            </w:r>
            <w:r>
              <w:rPr>
                <w:color w:val="auto"/>
              </w:rPr>
              <w:t>t/a</w:t>
            </w:r>
          </w:p>
        </w:tc>
        <w:tc>
          <w:tcPr>
            <w:tcW w:w="1276" w:type="dxa"/>
            <w:tcBorders>
              <w:top w:val="single" w:color="auto" w:sz="4" w:space="0"/>
              <w:left w:val="single" w:color="auto" w:sz="4" w:space="0"/>
              <w:bottom w:val="single" w:color="auto" w:sz="4" w:space="0"/>
              <w:right w:val="single" w:color="auto" w:sz="4" w:space="0"/>
            </w:tcBorders>
            <w:vAlign w:val="center"/>
          </w:tcPr>
          <w:p>
            <w:pPr>
              <w:snapToGrid w:val="0"/>
              <w:jc w:val="center"/>
              <w:rPr>
                <w:color w:val="auto"/>
                <w:szCs w:val="21"/>
              </w:rPr>
            </w:pPr>
            <w:r>
              <w:rPr>
                <w:rFonts w:hint="eastAsia"/>
                <w:color w:val="auto"/>
              </w:rPr>
              <w:t xml:space="preserve">120 </w:t>
            </w:r>
            <w:r>
              <w:rPr>
                <w:color w:val="auto"/>
              </w:rPr>
              <w:t>mg/L</w:t>
            </w:r>
          </w:p>
        </w:tc>
        <w:tc>
          <w:tcPr>
            <w:tcW w:w="1299" w:type="dxa"/>
            <w:tcBorders>
              <w:top w:val="single" w:color="auto" w:sz="4" w:space="0"/>
              <w:left w:val="single" w:color="auto" w:sz="4" w:space="0"/>
              <w:bottom w:val="single" w:color="auto" w:sz="4" w:space="0"/>
              <w:right w:val="single" w:color="auto" w:sz="4" w:space="0"/>
            </w:tcBorders>
            <w:vAlign w:val="center"/>
          </w:tcPr>
          <w:p>
            <w:pPr>
              <w:snapToGrid w:val="0"/>
              <w:jc w:val="center"/>
              <w:rPr>
                <w:color w:val="auto"/>
                <w:szCs w:val="21"/>
              </w:rPr>
            </w:pPr>
            <w:r>
              <w:rPr>
                <w:rFonts w:hint="eastAsia"/>
                <w:color w:val="auto"/>
              </w:rPr>
              <w:t xml:space="preserve">0.0389 </w:t>
            </w:r>
            <w:r>
              <w:rPr>
                <w:color w:val="auto"/>
              </w:rPr>
              <w:t>t/a</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cantSplit/>
          <w:trHeight w:val="487" w:hRule="atLeast"/>
          <w:jc w:val="center"/>
        </w:trPr>
        <w:tc>
          <w:tcPr>
            <w:tcW w:w="734" w:type="dxa"/>
            <w:vMerge w:val="continue"/>
            <w:tcBorders>
              <w:left w:val="single" w:color="auto" w:sz="4" w:space="0"/>
              <w:right w:val="single" w:color="auto" w:sz="4" w:space="0"/>
            </w:tcBorders>
            <w:vAlign w:val="center"/>
          </w:tcPr>
          <w:p>
            <w:pPr>
              <w:jc w:val="center"/>
              <w:rPr>
                <w:color w:val="auto"/>
                <w:sz w:val="24"/>
              </w:rPr>
            </w:pPr>
          </w:p>
        </w:tc>
        <w:tc>
          <w:tcPr>
            <w:tcW w:w="709" w:type="dxa"/>
            <w:vMerge w:val="continue"/>
            <w:tcBorders>
              <w:left w:val="single" w:color="auto" w:sz="4" w:space="0"/>
              <w:right w:val="single" w:color="auto" w:sz="4" w:space="0"/>
            </w:tcBorders>
            <w:vAlign w:val="center"/>
          </w:tcPr>
          <w:p>
            <w:pPr>
              <w:jc w:val="center"/>
              <w:rPr>
                <w:color w:val="auto"/>
                <w:szCs w:val="21"/>
              </w:rPr>
            </w:pPr>
          </w:p>
        </w:tc>
        <w:tc>
          <w:tcPr>
            <w:tcW w:w="1559" w:type="dxa"/>
            <w:vMerge w:val="continue"/>
            <w:tcBorders>
              <w:left w:val="single" w:color="auto" w:sz="4" w:space="0"/>
              <w:right w:val="single" w:color="auto" w:sz="4" w:space="0"/>
            </w:tcBorders>
            <w:vAlign w:val="center"/>
          </w:tcPr>
          <w:p>
            <w:pPr>
              <w:jc w:val="center"/>
              <w:rPr>
                <w:color w:val="auto"/>
                <w:szCs w:val="21"/>
              </w:rPr>
            </w:pPr>
          </w:p>
        </w:tc>
        <w:tc>
          <w:tcPr>
            <w:tcW w:w="1418" w:type="dxa"/>
            <w:tcBorders>
              <w:top w:val="single" w:color="auto" w:sz="4" w:space="0"/>
              <w:left w:val="single" w:color="auto" w:sz="4" w:space="0"/>
              <w:bottom w:val="single" w:color="auto" w:sz="4" w:space="0"/>
              <w:right w:val="single" w:color="auto" w:sz="4" w:space="0"/>
            </w:tcBorders>
            <w:vAlign w:val="center"/>
          </w:tcPr>
          <w:p>
            <w:pPr>
              <w:snapToGrid w:val="0"/>
              <w:jc w:val="center"/>
              <w:rPr>
                <w:color w:val="auto"/>
                <w:szCs w:val="21"/>
              </w:rPr>
            </w:pPr>
            <w:r>
              <w:rPr>
                <w:color w:val="auto"/>
                <w:szCs w:val="21"/>
              </w:rPr>
              <w:t>SS</w:t>
            </w:r>
          </w:p>
        </w:tc>
        <w:tc>
          <w:tcPr>
            <w:tcW w:w="1275" w:type="dxa"/>
            <w:tcBorders>
              <w:top w:val="single" w:color="auto" w:sz="4" w:space="0"/>
              <w:left w:val="single" w:color="auto" w:sz="4" w:space="0"/>
              <w:bottom w:val="single" w:color="auto" w:sz="4" w:space="0"/>
              <w:right w:val="single" w:color="auto" w:sz="4" w:space="0"/>
            </w:tcBorders>
            <w:vAlign w:val="center"/>
          </w:tcPr>
          <w:p>
            <w:pPr>
              <w:snapToGrid w:val="0"/>
              <w:jc w:val="center"/>
              <w:rPr>
                <w:color w:val="auto"/>
                <w:szCs w:val="21"/>
              </w:rPr>
            </w:pPr>
            <w:r>
              <w:rPr>
                <w:rFonts w:hint="eastAsia"/>
                <w:color w:val="auto"/>
              </w:rPr>
              <w:t xml:space="preserve">200 </w:t>
            </w:r>
            <w:r>
              <w:rPr>
                <w:color w:val="auto"/>
              </w:rPr>
              <w:t>mg/L</w:t>
            </w:r>
          </w:p>
        </w:tc>
        <w:tc>
          <w:tcPr>
            <w:tcW w:w="1134" w:type="dxa"/>
            <w:tcBorders>
              <w:top w:val="single" w:color="auto" w:sz="4" w:space="0"/>
              <w:left w:val="single" w:color="auto" w:sz="4" w:space="0"/>
              <w:bottom w:val="single" w:color="auto" w:sz="4" w:space="0"/>
              <w:right w:val="single" w:color="auto" w:sz="4" w:space="0"/>
            </w:tcBorders>
            <w:vAlign w:val="center"/>
          </w:tcPr>
          <w:p>
            <w:pPr>
              <w:snapToGrid w:val="0"/>
              <w:jc w:val="center"/>
              <w:rPr>
                <w:color w:val="auto"/>
                <w:szCs w:val="21"/>
              </w:rPr>
            </w:pPr>
            <w:r>
              <w:rPr>
                <w:rFonts w:hint="eastAsia"/>
                <w:color w:val="auto"/>
              </w:rPr>
              <w:t xml:space="preserve">0.0648 </w:t>
            </w:r>
            <w:r>
              <w:rPr>
                <w:color w:val="auto"/>
              </w:rPr>
              <w:t>t/a</w:t>
            </w:r>
          </w:p>
        </w:tc>
        <w:tc>
          <w:tcPr>
            <w:tcW w:w="1276" w:type="dxa"/>
            <w:tcBorders>
              <w:top w:val="single" w:color="auto" w:sz="4" w:space="0"/>
              <w:left w:val="single" w:color="auto" w:sz="4" w:space="0"/>
              <w:bottom w:val="single" w:color="auto" w:sz="4" w:space="0"/>
              <w:right w:val="single" w:color="auto" w:sz="4" w:space="0"/>
            </w:tcBorders>
            <w:vAlign w:val="center"/>
          </w:tcPr>
          <w:p>
            <w:pPr>
              <w:snapToGrid w:val="0"/>
              <w:jc w:val="center"/>
              <w:rPr>
                <w:color w:val="auto"/>
                <w:szCs w:val="21"/>
              </w:rPr>
            </w:pPr>
            <w:r>
              <w:rPr>
                <w:rFonts w:hint="eastAsia"/>
                <w:color w:val="auto"/>
              </w:rPr>
              <w:t xml:space="preserve">150 </w:t>
            </w:r>
            <w:r>
              <w:rPr>
                <w:color w:val="auto"/>
              </w:rPr>
              <w:t>mg/L</w:t>
            </w:r>
          </w:p>
        </w:tc>
        <w:tc>
          <w:tcPr>
            <w:tcW w:w="1299" w:type="dxa"/>
            <w:tcBorders>
              <w:top w:val="single" w:color="auto" w:sz="4" w:space="0"/>
              <w:left w:val="single" w:color="auto" w:sz="4" w:space="0"/>
              <w:bottom w:val="single" w:color="auto" w:sz="4" w:space="0"/>
              <w:right w:val="single" w:color="auto" w:sz="4" w:space="0"/>
            </w:tcBorders>
            <w:vAlign w:val="center"/>
          </w:tcPr>
          <w:p>
            <w:pPr>
              <w:snapToGrid w:val="0"/>
              <w:jc w:val="center"/>
              <w:rPr>
                <w:color w:val="auto"/>
                <w:szCs w:val="21"/>
              </w:rPr>
            </w:pPr>
            <w:r>
              <w:rPr>
                <w:rFonts w:hint="eastAsia"/>
                <w:color w:val="auto"/>
              </w:rPr>
              <w:t xml:space="preserve">0.0486 </w:t>
            </w:r>
            <w:r>
              <w:rPr>
                <w:color w:val="auto"/>
              </w:rPr>
              <w:t>t/a</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cantSplit/>
          <w:trHeight w:val="503" w:hRule="atLeast"/>
          <w:jc w:val="center"/>
        </w:trPr>
        <w:tc>
          <w:tcPr>
            <w:tcW w:w="734" w:type="dxa"/>
            <w:vMerge w:val="continue"/>
            <w:tcBorders>
              <w:left w:val="single" w:color="auto" w:sz="4" w:space="0"/>
              <w:right w:val="single" w:color="auto" w:sz="4" w:space="0"/>
            </w:tcBorders>
            <w:vAlign w:val="center"/>
          </w:tcPr>
          <w:p>
            <w:pPr>
              <w:jc w:val="center"/>
              <w:rPr>
                <w:color w:val="auto"/>
                <w:sz w:val="24"/>
              </w:rPr>
            </w:pPr>
          </w:p>
        </w:tc>
        <w:tc>
          <w:tcPr>
            <w:tcW w:w="709" w:type="dxa"/>
            <w:vMerge w:val="continue"/>
            <w:tcBorders>
              <w:left w:val="single" w:color="auto" w:sz="4" w:space="0"/>
              <w:bottom w:val="single" w:color="auto" w:sz="4" w:space="0"/>
              <w:right w:val="single" w:color="auto" w:sz="4" w:space="0"/>
            </w:tcBorders>
            <w:vAlign w:val="center"/>
          </w:tcPr>
          <w:p>
            <w:pPr>
              <w:jc w:val="center"/>
              <w:rPr>
                <w:color w:val="auto"/>
                <w:szCs w:val="21"/>
              </w:rPr>
            </w:pPr>
          </w:p>
        </w:tc>
        <w:tc>
          <w:tcPr>
            <w:tcW w:w="1559" w:type="dxa"/>
            <w:vMerge w:val="continue"/>
            <w:tcBorders>
              <w:left w:val="single" w:color="auto" w:sz="4" w:space="0"/>
              <w:bottom w:val="single" w:color="auto" w:sz="4" w:space="0"/>
              <w:right w:val="single" w:color="auto" w:sz="4" w:space="0"/>
            </w:tcBorders>
            <w:vAlign w:val="center"/>
          </w:tcPr>
          <w:p>
            <w:pPr>
              <w:jc w:val="center"/>
              <w:rPr>
                <w:color w:val="auto"/>
                <w:szCs w:val="21"/>
              </w:rPr>
            </w:pPr>
          </w:p>
        </w:tc>
        <w:tc>
          <w:tcPr>
            <w:tcW w:w="1418" w:type="dxa"/>
            <w:tcBorders>
              <w:top w:val="single" w:color="auto" w:sz="4" w:space="0"/>
              <w:left w:val="single" w:color="auto" w:sz="4" w:space="0"/>
              <w:bottom w:val="single" w:color="auto" w:sz="4" w:space="0"/>
              <w:right w:val="single" w:color="auto" w:sz="4" w:space="0"/>
            </w:tcBorders>
            <w:vAlign w:val="center"/>
          </w:tcPr>
          <w:p>
            <w:pPr>
              <w:snapToGrid w:val="0"/>
              <w:jc w:val="center"/>
              <w:rPr>
                <w:color w:val="auto"/>
                <w:szCs w:val="21"/>
              </w:rPr>
            </w:pPr>
            <w:r>
              <w:rPr>
                <w:color w:val="auto"/>
                <w:szCs w:val="21"/>
              </w:rPr>
              <w:t>氨氮</w:t>
            </w:r>
          </w:p>
        </w:tc>
        <w:tc>
          <w:tcPr>
            <w:tcW w:w="1275" w:type="dxa"/>
            <w:tcBorders>
              <w:top w:val="single" w:color="auto" w:sz="4" w:space="0"/>
              <w:left w:val="single" w:color="auto" w:sz="4" w:space="0"/>
              <w:bottom w:val="single" w:color="auto" w:sz="4" w:space="0"/>
              <w:right w:val="single" w:color="auto" w:sz="4" w:space="0"/>
            </w:tcBorders>
            <w:vAlign w:val="center"/>
          </w:tcPr>
          <w:p>
            <w:pPr>
              <w:snapToGrid w:val="0"/>
              <w:jc w:val="center"/>
              <w:rPr>
                <w:color w:val="auto"/>
                <w:szCs w:val="21"/>
              </w:rPr>
            </w:pPr>
            <w:r>
              <w:rPr>
                <w:rFonts w:hint="eastAsia"/>
                <w:color w:val="auto"/>
              </w:rPr>
              <w:t xml:space="preserve">30 </w:t>
            </w:r>
            <w:r>
              <w:rPr>
                <w:color w:val="auto"/>
              </w:rPr>
              <w:t>mg/L</w:t>
            </w:r>
          </w:p>
        </w:tc>
        <w:tc>
          <w:tcPr>
            <w:tcW w:w="1134" w:type="dxa"/>
            <w:tcBorders>
              <w:top w:val="single" w:color="auto" w:sz="4" w:space="0"/>
              <w:left w:val="single" w:color="auto" w:sz="4" w:space="0"/>
              <w:bottom w:val="single" w:color="auto" w:sz="4" w:space="0"/>
              <w:right w:val="single" w:color="auto" w:sz="4" w:space="0"/>
            </w:tcBorders>
            <w:vAlign w:val="center"/>
          </w:tcPr>
          <w:p>
            <w:pPr>
              <w:snapToGrid w:val="0"/>
              <w:jc w:val="center"/>
              <w:rPr>
                <w:color w:val="auto"/>
                <w:szCs w:val="21"/>
              </w:rPr>
            </w:pPr>
            <w:r>
              <w:rPr>
                <w:rFonts w:hint="eastAsia"/>
                <w:color w:val="auto"/>
              </w:rPr>
              <w:t xml:space="preserve">0.0097 </w:t>
            </w:r>
            <w:r>
              <w:rPr>
                <w:color w:val="auto"/>
              </w:rPr>
              <w:t>t/a</w:t>
            </w:r>
          </w:p>
        </w:tc>
        <w:tc>
          <w:tcPr>
            <w:tcW w:w="1276" w:type="dxa"/>
            <w:tcBorders>
              <w:top w:val="single" w:color="auto" w:sz="4" w:space="0"/>
              <w:left w:val="single" w:color="auto" w:sz="4" w:space="0"/>
              <w:bottom w:val="single" w:color="auto" w:sz="4" w:space="0"/>
              <w:right w:val="single" w:color="auto" w:sz="4" w:space="0"/>
            </w:tcBorders>
            <w:vAlign w:val="center"/>
          </w:tcPr>
          <w:p>
            <w:pPr>
              <w:snapToGrid w:val="0"/>
              <w:jc w:val="center"/>
              <w:rPr>
                <w:color w:val="auto"/>
                <w:szCs w:val="21"/>
              </w:rPr>
            </w:pPr>
            <w:r>
              <w:rPr>
                <w:rFonts w:hint="eastAsia"/>
                <w:color w:val="auto"/>
              </w:rPr>
              <w:t xml:space="preserve">20 </w:t>
            </w:r>
            <w:r>
              <w:rPr>
                <w:color w:val="auto"/>
              </w:rPr>
              <w:t>mg/L</w:t>
            </w:r>
          </w:p>
        </w:tc>
        <w:tc>
          <w:tcPr>
            <w:tcW w:w="1299" w:type="dxa"/>
            <w:tcBorders>
              <w:top w:val="single" w:color="auto" w:sz="4" w:space="0"/>
              <w:left w:val="single" w:color="auto" w:sz="4" w:space="0"/>
              <w:bottom w:val="single" w:color="auto" w:sz="4" w:space="0"/>
              <w:right w:val="single" w:color="auto" w:sz="4" w:space="0"/>
            </w:tcBorders>
            <w:vAlign w:val="center"/>
          </w:tcPr>
          <w:p>
            <w:pPr>
              <w:snapToGrid w:val="0"/>
              <w:jc w:val="center"/>
              <w:rPr>
                <w:color w:val="auto"/>
                <w:szCs w:val="21"/>
              </w:rPr>
            </w:pPr>
            <w:r>
              <w:rPr>
                <w:rFonts w:hint="eastAsia"/>
                <w:color w:val="auto"/>
              </w:rPr>
              <w:t xml:space="preserve">0.0065 </w:t>
            </w:r>
            <w:r>
              <w:rPr>
                <w:color w:val="auto"/>
              </w:rPr>
              <w:t>t/a</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cantSplit/>
          <w:trHeight w:val="503" w:hRule="atLeast"/>
          <w:jc w:val="center"/>
        </w:trPr>
        <w:tc>
          <w:tcPr>
            <w:tcW w:w="734" w:type="dxa"/>
            <w:vMerge w:val="continue"/>
            <w:tcBorders>
              <w:left w:val="single" w:color="auto" w:sz="4" w:space="0"/>
              <w:right w:val="single" w:color="auto" w:sz="4" w:space="0"/>
            </w:tcBorders>
            <w:vAlign w:val="center"/>
          </w:tcPr>
          <w:p>
            <w:pPr>
              <w:jc w:val="center"/>
              <w:rPr>
                <w:color w:val="auto"/>
                <w:sz w:val="24"/>
              </w:rPr>
            </w:pPr>
          </w:p>
        </w:tc>
        <w:tc>
          <w:tcPr>
            <w:tcW w:w="709" w:type="dxa"/>
            <w:vMerge w:val="restart"/>
            <w:tcBorders>
              <w:top w:val="single" w:color="auto" w:sz="4" w:space="0"/>
              <w:left w:val="single" w:color="auto" w:sz="4" w:space="0"/>
              <w:bottom w:val="single" w:color="auto" w:sz="4" w:space="0"/>
              <w:right w:val="single" w:color="auto" w:sz="4" w:space="0"/>
            </w:tcBorders>
            <w:vAlign w:val="center"/>
          </w:tcPr>
          <w:p>
            <w:pPr>
              <w:jc w:val="center"/>
              <w:rPr>
                <w:color w:val="auto"/>
                <w:szCs w:val="21"/>
              </w:rPr>
            </w:pPr>
            <w:r>
              <w:rPr>
                <w:rFonts w:hint="eastAsia"/>
                <w:color w:val="auto"/>
                <w:szCs w:val="21"/>
              </w:rPr>
              <w:t>运营期</w:t>
            </w:r>
          </w:p>
        </w:tc>
        <w:tc>
          <w:tcPr>
            <w:tcW w:w="1559" w:type="dxa"/>
            <w:vMerge w:val="restart"/>
            <w:tcBorders>
              <w:left w:val="single" w:color="auto" w:sz="4" w:space="0"/>
              <w:right w:val="single" w:color="auto" w:sz="4" w:space="0"/>
            </w:tcBorders>
            <w:vAlign w:val="center"/>
          </w:tcPr>
          <w:p>
            <w:pPr>
              <w:jc w:val="center"/>
              <w:rPr>
                <w:color w:val="auto"/>
                <w:szCs w:val="21"/>
              </w:rPr>
            </w:pPr>
            <w:r>
              <w:rPr>
                <w:rFonts w:hint="eastAsia"/>
                <w:color w:val="auto"/>
                <w:szCs w:val="21"/>
              </w:rPr>
              <w:t>生活污水</w:t>
            </w:r>
          </w:p>
          <w:p>
            <w:pPr>
              <w:jc w:val="center"/>
              <w:rPr>
                <w:color w:val="auto"/>
                <w:szCs w:val="21"/>
              </w:rPr>
            </w:pPr>
            <w:r>
              <w:rPr>
                <w:rFonts w:hint="eastAsia"/>
                <w:color w:val="auto"/>
                <w:szCs w:val="21"/>
              </w:rPr>
              <w:t>1</w:t>
            </w:r>
            <w:r>
              <w:rPr>
                <w:color w:val="auto"/>
                <w:szCs w:val="21"/>
              </w:rPr>
              <w:t>3</w:t>
            </w:r>
            <w:r>
              <w:rPr>
                <w:rFonts w:hint="eastAsia"/>
                <w:color w:val="auto"/>
                <w:szCs w:val="21"/>
              </w:rPr>
              <w:t>t</w:t>
            </w:r>
            <w:r>
              <w:rPr>
                <w:color w:val="auto"/>
                <w:szCs w:val="21"/>
              </w:rPr>
              <w:t>/a</w:t>
            </w:r>
          </w:p>
        </w:tc>
        <w:tc>
          <w:tcPr>
            <w:tcW w:w="1418" w:type="dxa"/>
            <w:tcBorders>
              <w:top w:val="single" w:color="auto" w:sz="4" w:space="0"/>
              <w:left w:val="single" w:color="auto" w:sz="4" w:space="0"/>
              <w:bottom w:val="single" w:color="auto" w:sz="4" w:space="0"/>
              <w:right w:val="single" w:color="auto" w:sz="4" w:space="0"/>
            </w:tcBorders>
            <w:vAlign w:val="center"/>
          </w:tcPr>
          <w:p>
            <w:pPr>
              <w:snapToGrid w:val="0"/>
              <w:jc w:val="center"/>
              <w:rPr>
                <w:color w:val="auto"/>
                <w:szCs w:val="21"/>
              </w:rPr>
            </w:pPr>
            <w:r>
              <w:rPr>
                <w:color w:val="auto"/>
                <w:szCs w:val="21"/>
              </w:rPr>
              <w:t>COD</w:t>
            </w:r>
            <w:r>
              <w:rPr>
                <w:color w:val="auto"/>
                <w:szCs w:val="21"/>
                <w:vertAlign w:val="subscript"/>
              </w:rPr>
              <w:t>cr</w:t>
            </w:r>
          </w:p>
        </w:tc>
        <w:tc>
          <w:tcPr>
            <w:tcW w:w="1275" w:type="dxa"/>
            <w:tcBorders>
              <w:top w:val="single" w:color="auto" w:sz="4" w:space="0"/>
              <w:left w:val="single" w:color="auto" w:sz="4" w:space="0"/>
              <w:bottom w:val="single" w:color="auto" w:sz="4" w:space="0"/>
              <w:right w:val="single" w:color="auto" w:sz="4" w:space="0"/>
            </w:tcBorders>
            <w:vAlign w:val="center"/>
          </w:tcPr>
          <w:p>
            <w:pPr>
              <w:snapToGrid w:val="0"/>
              <w:jc w:val="center"/>
              <w:rPr>
                <w:color w:val="auto"/>
              </w:rPr>
            </w:pPr>
            <w:r>
              <w:rPr>
                <w:rFonts w:hint="eastAsia"/>
                <w:color w:val="auto"/>
              </w:rPr>
              <w:t xml:space="preserve">250 </w:t>
            </w:r>
            <w:r>
              <w:rPr>
                <w:color w:val="auto"/>
              </w:rPr>
              <w:t>mg/L</w:t>
            </w:r>
          </w:p>
        </w:tc>
        <w:tc>
          <w:tcPr>
            <w:tcW w:w="1134" w:type="dxa"/>
            <w:tcBorders>
              <w:top w:val="single" w:color="auto" w:sz="4" w:space="0"/>
              <w:left w:val="single" w:color="auto" w:sz="4" w:space="0"/>
              <w:bottom w:val="single" w:color="auto" w:sz="4" w:space="0"/>
              <w:right w:val="single" w:color="auto" w:sz="4" w:space="0"/>
            </w:tcBorders>
            <w:vAlign w:val="center"/>
          </w:tcPr>
          <w:p>
            <w:pPr>
              <w:snapToGrid w:val="0"/>
              <w:jc w:val="center"/>
              <w:rPr>
                <w:color w:val="auto"/>
              </w:rPr>
            </w:pPr>
            <w:r>
              <w:rPr>
                <w:rFonts w:hint="eastAsia"/>
                <w:color w:val="auto"/>
              </w:rPr>
              <w:t xml:space="preserve">0.0032 </w:t>
            </w:r>
            <w:r>
              <w:rPr>
                <w:color w:val="auto"/>
              </w:rPr>
              <w:t>t/a</w:t>
            </w:r>
          </w:p>
        </w:tc>
        <w:tc>
          <w:tcPr>
            <w:tcW w:w="1276" w:type="dxa"/>
            <w:tcBorders>
              <w:top w:val="single" w:color="auto" w:sz="4" w:space="0"/>
              <w:left w:val="single" w:color="auto" w:sz="4" w:space="0"/>
              <w:bottom w:val="single" w:color="auto" w:sz="4" w:space="0"/>
              <w:right w:val="single" w:color="auto" w:sz="4" w:space="0"/>
            </w:tcBorders>
            <w:vAlign w:val="center"/>
          </w:tcPr>
          <w:p>
            <w:pPr>
              <w:snapToGrid w:val="0"/>
              <w:jc w:val="center"/>
              <w:rPr>
                <w:color w:val="auto"/>
              </w:rPr>
            </w:pPr>
            <w:r>
              <w:rPr>
                <w:rFonts w:hint="eastAsia"/>
                <w:color w:val="auto"/>
              </w:rPr>
              <w:t xml:space="preserve">200 </w:t>
            </w:r>
            <w:r>
              <w:rPr>
                <w:color w:val="auto"/>
              </w:rPr>
              <w:t>mg/L</w:t>
            </w:r>
          </w:p>
        </w:tc>
        <w:tc>
          <w:tcPr>
            <w:tcW w:w="1299" w:type="dxa"/>
            <w:tcBorders>
              <w:top w:val="single" w:color="auto" w:sz="4" w:space="0"/>
              <w:left w:val="single" w:color="auto" w:sz="4" w:space="0"/>
              <w:bottom w:val="single" w:color="auto" w:sz="4" w:space="0"/>
              <w:right w:val="single" w:color="auto" w:sz="4" w:space="0"/>
            </w:tcBorders>
            <w:vAlign w:val="center"/>
          </w:tcPr>
          <w:p>
            <w:pPr>
              <w:snapToGrid w:val="0"/>
              <w:jc w:val="center"/>
              <w:rPr>
                <w:color w:val="auto"/>
              </w:rPr>
            </w:pPr>
            <w:r>
              <w:rPr>
                <w:rFonts w:hint="eastAsia"/>
                <w:color w:val="auto"/>
              </w:rPr>
              <w:t xml:space="preserve">0.0026 </w:t>
            </w:r>
            <w:r>
              <w:rPr>
                <w:color w:val="auto"/>
              </w:rPr>
              <w:t>t/a</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cantSplit/>
          <w:trHeight w:val="503" w:hRule="atLeast"/>
          <w:jc w:val="center"/>
        </w:trPr>
        <w:tc>
          <w:tcPr>
            <w:tcW w:w="734" w:type="dxa"/>
            <w:vMerge w:val="continue"/>
            <w:tcBorders>
              <w:left w:val="single" w:color="auto" w:sz="4" w:space="0"/>
              <w:right w:val="single" w:color="auto" w:sz="4" w:space="0"/>
            </w:tcBorders>
            <w:vAlign w:val="center"/>
          </w:tcPr>
          <w:p>
            <w:pPr>
              <w:jc w:val="center"/>
              <w:rPr>
                <w:color w:val="auto"/>
                <w:sz w:val="24"/>
              </w:rPr>
            </w:pPr>
          </w:p>
        </w:tc>
        <w:tc>
          <w:tcPr>
            <w:tcW w:w="709" w:type="dxa"/>
            <w:vMerge w:val="continue"/>
            <w:tcBorders>
              <w:top w:val="nil"/>
              <w:left w:val="single" w:color="auto" w:sz="4" w:space="0"/>
              <w:bottom w:val="single" w:color="auto" w:sz="4" w:space="0"/>
              <w:right w:val="single" w:color="auto" w:sz="4" w:space="0"/>
            </w:tcBorders>
            <w:vAlign w:val="center"/>
          </w:tcPr>
          <w:p>
            <w:pPr>
              <w:jc w:val="center"/>
              <w:rPr>
                <w:color w:val="auto"/>
                <w:szCs w:val="21"/>
              </w:rPr>
            </w:pPr>
          </w:p>
        </w:tc>
        <w:tc>
          <w:tcPr>
            <w:tcW w:w="1559" w:type="dxa"/>
            <w:vMerge w:val="continue"/>
            <w:tcBorders>
              <w:left w:val="single" w:color="auto" w:sz="4" w:space="0"/>
              <w:right w:val="single" w:color="auto" w:sz="4" w:space="0"/>
            </w:tcBorders>
            <w:vAlign w:val="center"/>
          </w:tcPr>
          <w:p>
            <w:pPr>
              <w:jc w:val="center"/>
              <w:rPr>
                <w:color w:val="auto"/>
                <w:szCs w:val="21"/>
              </w:rPr>
            </w:pPr>
          </w:p>
        </w:tc>
        <w:tc>
          <w:tcPr>
            <w:tcW w:w="1418" w:type="dxa"/>
            <w:tcBorders>
              <w:top w:val="single" w:color="auto" w:sz="4" w:space="0"/>
              <w:left w:val="single" w:color="auto" w:sz="4" w:space="0"/>
              <w:bottom w:val="single" w:color="auto" w:sz="4" w:space="0"/>
              <w:right w:val="single" w:color="auto" w:sz="4" w:space="0"/>
            </w:tcBorders>
            <w:vAlign w:val="center"/>
          </w:tcPr>
          <w:p>
            <w:pPr>
              <w:snapToGrid w:val="0"/>
              <w:jc w:val="center"/>
              <w:rPr>
                <w:color w:val="auto"/>
                <w:szCs w:val="21"/>
              </w:rPr>
            </w:pPr>
            <w:r>
              <w:rPr>
                <w:color w:val="auto"/>
                <w:szCs w:val="21"/>
              </w:rPr>
              <w:t>BOD</w:t>
            </w:r>
            <w:r>
              <w:rPr>
                <w:color w:val="auto"/>
                <w:szCs w:val="21"/>
                <w:vertAlign w:val="subscript"/>
              </w:rPr>
              <w:t>5</w:t>
            </w:r>
          </w:p>
        </w:tc>
        <w:tc>
          <w:tcPr>
            <w:tcW w:w="1275" w:type="dxa"/>
            <w:tcBorders>
              <w:top w:val="single" w:color="auto" w:sz="4" w:space="0"/>
              <w:left w:val="single" w:color="auto" w:sz="4" w:space="0"/>
              <w:bottom w:val="single" w:color="auto" w:sz="4" w:space="0"/>
              <w:right w:val="single" w:color="auto" w:sz="4" w:space="0"/>
            </w:tcBorders>
            <w:vAlign w:val="center"/>
          </w:tcPr>
          <w:p>
            <w:pPr>
              <w:snapToGrid w:val="0"/>
              <w:jc w:val="center"/>
              <w:rPr>
                <w:color w:val="auto"/>
              </w:rPr>
            </w:pPr>
            <w:r>
              <w:rPr>
                <w:rFonts w:hint="eastAsia"/>
                <w:color w:val="auto"/>
              </w:rPr>
              <w:t xml:space="preserve">150 </w:t>
            </w:r>
            <w:r>
              <w:rPr>
                <w:color w:val="auto"/>
              </w:rPr>
              <w:t>mg/L</w:t>
            </w:r>
          </w:p>
        </w:tc>
        <w:tc>
          <w:tcPr>
            <w:tcW w:w="1134" w:type="dxa"/>
            <w:tcBorders>
              <w:top w:val="single" w:color="auto" w:sz="4" w:space="0"/>
              <w:left w:val="single" w:color="auto" w:sz="4" w:space="0"/>
              <w:bottom w:val="single" w:color="auto" w:sz="4" w:space="0"/>
              <w:right w:val="single" w:color="auto" w:sz="4" w:space="0"/>
            </w:tcBorders>
            <w:vAlign w:val="center"/>
          </w:tcPr>
          <w:p>
            <w:pPr>
              <w:snapToGrid w:val="0"/>
              <w:jc w:val="center"/>
              <w:rPr>
                <w:color w:val="auto"/>
              </w:rPr>
            </w:pPr>
            <w:r>
              <w:rPr>
                <w:rFonts w:hint="eastAsia"/>
                <w:color w:val="auto"/>
              </w:rPr>
              <w:t xml:space="preserve">0.0019 </w:t>
            </w:r>
            <w:r>
              <w:rPr>
                <w:color w:val="auto"/>
              </w:rPr>
              <w:t>t/a</w:t>
            </w:r>
          </w:p>
        </w:tc>
        <w:tc>
          <w:tcPr>
            <w:tcW w:w="1276" w:type="dxa"/>
            <w:tcBorders>
              <w:top w:val="single" w:color="auto" w:sz="4" w:space="0"/>
              <w:left w:val="single" w:color="auto" w:sz="4" w:space="0"/>
              <w:bottom w:val="single" w:color="auto" w:sz="4" w:space="0"/>
              <w:right w:val="single" w:color="auto" w:sz="4" w:space="0"/>
            </w:tcBorders>
            <w:vAlign w:val="center"/>
          </w:tcPr>
          <w:p>
            <w:pPr>
              <w:snapToGrid w:val="0"/>
              <w:jc w:val="center"/>
              <w:rPr>
                <w:color w:val="auto"/>
              </w:rPr>
            </w:pPr>
            <w:r>
              <w:rPr>
                <w:rFonts w:hint="eastAsia"/>
                <w:color w:val="auto"/>
              </w:rPr>
              <w:t xml:space="preserve">120 </w:t>
            </w:r>
            <w:r>
              <w:rPr>
                <w:color w:val="auto"/>
              </w:rPr>
              <w:t>mg/L</w:t>
            </w:r>
          </w:p>
        </w:tc>
        <w:tc>
          <w:tcPr>
            <w:tcW w:w="1299" w:type="dxa"/>
            <w:tcBorders>
              <w:top w:val="single" w:color="auto" w:sz="4" w:space="0"/>
              <w:left w:val="single" w:color="auto" w:sz="4" w:space="0"/>
              <w:bottom w:val="single" w:color="auto" w:sz="4" w:space="0"/>
              <w:right w:val="single" w:color="auto" w:sz="4" w:space="0"/>
            </w:tcBorders>
            <w:vAlign w:val="center"/>
          </w:tcPr>
          <w:p>
            <w:pPr>
              <w:snapToGrid w:val="0"/>
              <w:jc w:val="center"/>
              <w:rPr>
                <w:color w:val="auto"/>
              </w:rPr>
            </w:pPr>
            <w:r>
              <w:rPr>
                <w:rFonts w:hint="eastAsia"/>
                <w:color w:val="auto"/>
              </w:rPr>
              <w:t xml:space="preserve">0.0016 </w:t>
            </w:r>
            <w:r>
              <w:rPr>
                <w:color w:val="auto"/>
              </w:rPr>
              <w:t>t/a</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cantSplit/>
          <w:trHeight w:val="503" w:hRule="atLeast"/>
          <w:jc w:val="center"/>
        </w:trPr>
        <w:tc>
          <w:tcPr>
            <w:tcW w:w="734" w:type="dxa"/>
            <w:vMerge w:val="continue"/>
            <w:tcBorders>
              <w:left w:val="single" w:color="auto" w:sz="4" w:space="0"/>
              <w:right w:val="single" w:color="auto" w:sz="4" w:space="0"/>
            </w:tcBorders>
            <w:vAlign w:val="center"/>
          </w:tcPr>
          <w:p>
            <w:pPr>
              <w:jc w:val="center"/>
              <w:rPr>
                <w:color w:val="auto"/>
                <w:sz w:val="24"/>
              </w:rPr>
            </w:pPr>
          </w:p>
        </w:tc>
        <w:tc>
          <w:tcPr>
            <w:tcW w:w="709" w:type="dxa"/>
            <w:vMerge w:val="continue"/>
            <w:tcBorders>
              <w:top w:val="nil"/>
              <w:left w:val="single" w:color="auto" w:sz="4" w:space="0"/>
              <w:bottom w:val="single" w:color="auto" w:sz="4" w:space="0"/>
              <w:right w:val="single" w:color="auto" w:sz="4" w:space="0"/>
            </w:tcBorders>
            <w:vAlign w:val="center"/>
          </w:tcPr>
          <w:p>
            <w:pPr>
              <w:jc w:val="center"/>
              <w:rPr>
                <w:color w:val="auto"/>
                <w:szCs w:val="21"/>
              </w:rPr>
            </w:pPr>
          </w:p>
        </w:tc>
        <w:tc>
          <w:tcPr>
            <w:tcW w:w="1559" w:type="dxa"/>
            <w:vMerge w:val="continue"/>
            <w:tcBorders>
              <w:left w:val="single" w:color="auto" w:sz="4" w:space="0"/>
              <w:right w:val="single" w:color="auto" w:sz="4" w:space="0"/>
            </w:tcBorders>
            <w:vAlign w:val="center"/>
          </w:tcPr>
          <w:p>
            <w:pPr>
              <w:jc w:val="center"/>
              <w:rPr>
                <w:color w:val="auto"/>
                <w:szCs w:val="21"/>
              </w:rPr>
            </w:pPr>
          </w:p>
        </w:tc>
        <w:tc>
          <w:tcPr>
            <w:tcW w:w="1418" w:type="dxa"/>
            <w:tcBorders>
              <w:top w:val="single" w:color="auto" w:sz="4" w:space="0"/>
              <w:left w:val="single" w:color="auto" w:sz="4" w:space="0"/>
              <w:bottom w:val="single" w:color="auto" w:sz="4" w:space="0"/>
              <w:right w:val="single" w:color="auto" w:sz="4" w:space="0"/>
            </w:tcBorders>
            <w:vAlign w:val="center"/>
          </w:tcPr>
          <w:p>
            <w:pPr>
              <w:snapToGrid w:val="0"/>
              <w:jc w:val="center"/>
              <w:rPr>
                <w:color w:val="auto"/>
                <w:szCs w:val="21"/>
              </w:rPr>
            </w:pPr>
            <w:r>
              <w:rPr>
                <w:color w:val="auto"/>
                <w:szCs w:val="21"/>
              </w:rPr>
              <w:t>SS</w:t>
            </w:r>
          </w:p>
        </w:tc>
        <w:tc>
          <w:tcPr>
            <w:tcW w:w="1275" w:type="dxa"/>
            <w:tcBorders>
              <w:top w:val="single" w:color="auto" w:sz="4" w:space="0"/>
              <w:left w:val="single" w:color="auto" w:sz="4" w:space="0"/>
              <w:bottom w:val="single" w:color="auto" w:sz="4" w:space="0"/>
              <w:right w:val="single" w:color="auto" w:sz="4" w:space="0"/>
            </w:tcBorders>
            <w:vAlign w:val="center"/>
          </w:tcPr>
          <w:p>
            <w:pPr>
              <w:snapToGrid w:val="0"/>
              <w:jc w:val="center"/>
              <w:rPr>
                <w:color w:val="auto"/>
              </w:rPr>
            </w:pPr>
            <w:r>
              <w:rPr>
                <w:rFonts w:hint="eastAsia"/>
                <w:color w:val="auto"/>
              </w:rPr>
              <w:t xml:space="preserve">200 </w:t>
            </w:r>
            <w:r>
              <w:rPr>
                <w:color w:val="auto"/>
              </w:rPr>
              <w:t>mg/L</w:t>
            </w:r>
          </w:p>
        </w:tc>
        <w:tc>
          <w:tcPr>
            <w:tcW w:w="1134" w:type="dxa"/>
            <w:tcBorders>
              <w:top w:val="single" w:color="auto" w:sz="4" w:space="0"/>
              <w:left w:val="single" w:color="auto" w:sz="4" w:space="0"/>
              <w:bottom w:val="single" w:color="auto" w:sz="4" w:space="0"/>
              <w:right w:val="single" w:color="auto" w:sz="4" w:space="0"/>
            </w:tcBorders>
            <w:vAlign w:val="center"/>
          </w:tcPr>
          <w:p>
            <w:pPr>
              <w:snapToGrid w:val="0"/>
              <w:jc w:val="center"/>
              <w:rPr>
                <w:color w:val="auto"/>
              </w:rPr>
            </w:pPr>
            <w:r>
              <w:rPr>
                <w:rFonts w:hint="eastAsia"/>
                <w:color w:val="auto"/>
              </w:rPr>
              <w:t xml:space="preserve">0.0026 </w:t>
            </w:r>
            <w:r>
              <w:rPr>
                <w:color w:val="auto"/>
              </w:rPr>
              <w:t>t/a</w:t>
            </w:r>
          </w:p>
        </w:tc>
        <w:tc>
          <w:tcPr>
            <w:tcW w:w="1276" w:type="dxa"/>
            <w:tcBorders>
              <w:top w:val="single" w:color="auto" w:sz="4" w:space="0"/>
              <w:left w:val="single" w:color="auto" w:sz="4" w:space="0"/>
              <w:bottom w:val="single" w:color="auto" w:sz="4" w:space="0"/>
              <w:right w:val="single" w:color="auto" w:sz="4" w:space="0"/>
            </w:tcBorders>
            <w:vAlign w:val="center"/>
          </w:tcPr>
          <w:p>
            <w:pPr>
              <w:snapToGrid w:val="0"/>
              <w:jc w:val="center"/>
              <w:rPr>
                <w:color w:val="auto"/>
              </w:rPr>
            </w:pPr>
            <w:r>
              <w:rPr>
                <w:rFonts w:hint="eastAsia"/>
                <w:color w:val="auto"/>
              </w:rPr>
              <w:t xml:space="preserve">150 </w:t>
            </w:r>
            <w:r>
              <w:rPr>
                <w:color w:val="auto"/>
              </w:rPr>
              <w:t>mg/L</w:t>
            </w:r>
          </w:p>
        </w:tc>
        <w:tc>
          <w:tcPr>
            <w:tcW w:w="1299" w:type="dxa"/>
            <w:tcBorders>
              <w:top w:val="single" w:color="auto" w:sz="4" w:space="0"/>
              <w:left w:val="single" w:color="auto" w:sz="4" w:space="0"/>
              <w:bottom w:val="single" w:color="auto" w:sz="4" w:space="0"/>
              <w:right w:val="single" w:color="auto" w:sz="4" w:space="0"/>
            </w:tcBorders>
            <w:vAlign w:val="center"/>
          </w:tcPr>
          <w:p>
            <w:pPr>
              <w:snapToGrid w:val="0"/>
              <w:jc w:val="center"/>
              <w:rPr>
                <w:color w:val="auto"/>
              </w:rPr>
            </w:pPr>
            <w:r>
              <w:rPr>
                <w:rFonts w:hint="eastAsia"/>
                <w:color w:val="auto"/>
              </w:rPr>
              <w:t xml:space="preserve">0.0019 </w:t>
            </w:r>
            <w:r>
              <w:rPr>
                <w:color w:val="auto"/>
              </w:rPr>
              <w:t>t/a</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cantSplit/>
          <w:trHeight w:val="503" w:hRule="atLeast"/>
          <w:jc w:val="center"/>
        </w:trPr>
        <w:tc>
          <w:tcPr>
            <w:tcW w:w="734" w:type="dxa"/>
            <w:vMerge w:val="continue"/>
            <w:tcBorders>
              <w:left w:val="single" w:color="auto" w:sz="4" w:space="0"/>
              <w:right w:val="single" w:color="auto" w:sz="4" w:space="0"/>
            </w:tcBorders>
            <w:vAlign w:val="center"/>
          </w:tcPr>
          <w:p>
            <w:pPr>
              <w:jc w:val="center"/>
              <w:rPr>
                <w:color w:val="auto"/>
                <w:sz w:val="24"/>
              </w:rPr>
            </w:pPr>
          </w:p>
        </w:tc>
        <w:tc>
          <w:tcPr>
            <w:tcW w:w="709" w:type="dxa"/>
            <w:vMerge w:val="continue"/>
            <w:tcBorders>
              <w:top w:val="nil"/>
              <w:left w:val="single" w:color="auto" w:sz="4" w:space="0"/>
              <w:bottom w:val="single" w:color="auto" w:sz="4" w:space="0"/>
              <w:right w:val="single" w:color="auto" w:sz="4" w:space="0"/>
            </w:tcBorders>
            <w:vAlign w:val="center"/>
          </w:tcPr>
          <w:p>
            <w:pPr>
              <w:jc w:val="center"/>
              <w:rPr>
                <w:color w:val="auto"/>
                <w:szCs w:val="21"/>
              </w:rPr>
            </w:pPr>
          </w:p>
        </w:tc>
        <w:tc>
          <w:tcPr>
            <w:tcW w:w="1559" w:type="dxa"/>
            <w:vMerge w:val="continue"/>
            <w:tcBorders>
              <w:left w:val="single" w:color="auto" w:sz="4" w:space="0"/>
              <w:bottom w:val="single" w:color="auto" w:sz="4" w:space="0"/>
              <w:right w:val="single" w:color="auto" w:sz="4" w:space="0"/>
            </w:tcBorders>
            <w:vAlign w:val="center"/>
          </w:tcPr>
          <w:p>
            <w:pPr>
              <w:jc w:val="center"/>
              <w:rPr>
                <w:color w:val="auto"/>
                <w:szCs w:val="21"/>
              </w:rPr>
            </w:pPr>
          </w:p>
        </w:tc>
        <w:tc>
          <w:tcPr>
            <w:tcW w:w="1418" w:type="dxa"/>
            <w:tcBorders>
              <w:top w:val="single" w:color="auto" w:sz="4" w:space="0"/>
              <w:left w:val="single" w:color="auto" w:sz="4" w:space="0"/>
              <w:bottom w:val="single" w:color="auto" w:sz="4" w:space="0"/>
              <w:right w:val="single" w:color="auto" w:sz="4" w:space="0"/>
            </w:tcBorders>
            <w:vAlign w:val="center"/>
          </w:tcPr>
          <w:p>
            <w:pPr>
              <w:snapToGrid w:val="0"/>
              <w:jc w:val="center"/>
              <w:rPr>
                <w:color w:val="auto"/>
                <w:szCs w:val="21"/>
              </w:rPr>
            </w:pPr>
            <w:r>
              <w:rPr>
                <w:color w:val="auto"/>
                <w:szCs w:val="21"/>
              </w:rPr>
              <w:t>氨氮</w:t>
            </w:r>
          </w:p>
        </w:tc>
        <w:tc>
          <w:tcPr>
            <w:tcW w:w="1275" w:type="dxa"/>
            <w:tcBorders>
              <w:top w:val="single" w:color="auto" w:sz="4" w:space="0"/>
              <w:left w:val="single" w:color="auto" w:sz="4" w:space="0"/>
              <w:bottom w:val="single" w:color="auto" w:sz="4" w:space="0"/>
              <w:right w:val="single" w:color="auto" w:sz="4" w:space="0"/>
            </w:tcBorders>
            <w:vAlign w:val="center"/>
          </w:tcPr>
          <w:p>
            <w:pPr>
              <w:snapToGrid w:val="0"/>
              <w:jc w:val="center"/>
              <w:rPr>
                <w:color w:val="auto"/>
              </w:rPr>
            </w:pPr>
            <w:r>
              <w:rPr>
                <w:rFonts w:hint="eastAsia"/>
                <w:color w:val="auto"/>
              </w:rPr>
              <w:t xml:space="preserve">30 </w:t>
            </w:r>
            <w:r>
              <w:rPr>
                <w:color w:val="auto"/>
              </w:rPr>
              <w:t>mg/L</w:t>
            </w:r>
          </w:p>
        </w:tc>
        <w:tc>
          <w:tcPr>
            <w:tcW w:w="1134" w:type="dxa"/>
            <w:tcBorders>
              <w:top w:val="single" w:color="auto" w:sz="4" w:space="0"/>
              <w:left w:val="single" w:color="auto" w:sz="4" w:space="0"/>
              <w:bottom w:val="single" w:color="auto" w:sz="4" w:space="0"/>
              <w:right w:val="single" w:color="auto" w:sz="4" w:space="0"/>
            </w:tcBorders>
            <w:vAlign w:val="center"/>
          </w:tcPr>
          <w:p>
            <w:pPr>
              <w:snapToGrid w:val="0"/>
              <w:jc w:val="center"/>
              <w:rPr>
                <w:color w:val="auto"/>
              </w:rPr>
            </w:pPr>
            <w:r>
              <w:rPr>
                <w:rFonts w:hint="eastAsia"/>
                <w:color w:val="auto"/>
              </w:rPr>
              <w:t xml:space="preserve">0.0004 </w:t>
            </w:r>
            <w:r>
              <w:rPr>
                <w:color w:val="auto"/>
              </w:rPr>
              <w:t>t/a</w:t>
            </w:r>
          </w:p>
        </w:tc>
        <w:tc>
          <w:tcPr>
            <w:tcW w:w="1276" w:type="dxa"/>
            <w:tcBorders>
              <w:top w:val="single" w:color="auto" w:sz="4" w:space="0"/>
              <w:left w:val="single" w:color="auto" w:sz="4" w:space="0"/>
              <w:bottom w:val="single" w:color="auto" w:sz="4" w:space="0"/>
              <w:right w:val="single" w:color="auto" w:sz="4" w:space="0"/>
            </w:tcBorders>
            <w:vAlign w:val="center"/>
          </w:tcPr>
          <w:p>
            <w:pPr>
              <w:snapToGrid w:val="0"/>
              <w:jc w:val="center"/>
              <w:rPr>
                <w:color w:val="auto"/>
              </w:rPr>
            </w:pPr>
            <w:r>
              <w:rPr>
                <w:rFonts w:hint="eastAsia"/>
                <w:color w:val="auto"/>
              </w:rPr>
              <w:t xml:space="preserve">20 </w:t>
            </w:r>
            <w:r>
              <w:rPr>
                <w:color w:val="auto"/>
              </w:rPr>
              <w:t>mg/L</w:t>
            </w:r>
          </w:p>
        </w:tc>
        <w:tc>
          <w:tcPr>
            <w:tcW w:w="1299" w:type="dxa"/>
            <w:tcBorders>
              <w:top w:val="single" w:color="auto" w:sz="4" w:space="0"/>
              <w:left w:val="single" w:color="auto" w:sz="4" w:space="0"/>
              <w:bottom w:val="single" w:color="auto" w:sz="4" w:space="0"/>
              <w:right w:val="single" w:color="auto" w:sz="4" w:space="0"/>
            </w:tcBorders>
            <w:vAlign w:val="center"/>
          </w:tcPr>
          <w:p>
            <w:pPr>
              <w:snapToGrid w:val="0"/>
              <w:jc w:val="center"/>
              <w:rPr>
                <w:color w:val="auto"/>
              </w:rPr>
            </w:pPr>
            <w:r>
              <w:rPr>
                <w:rFonts w:hint="eastAsia"/>
                <w:color w:val="auto"/>
              </w:rPr>
              <w:t xml:space="preserve">0.0003 </w:t>
            </w:r>
            <w:r>
              <w:rPr>
                <w:color w:val="auto"/>
              </w:rPr>
              <w:t>t/a</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cantSplit/>
          <w:trHeight w:val="206" w:hRule="atLeast"/>
          <w:jc w:val="center"/>
        </w:trPr>
        <w:tc>
          <w:tcPr>
            <w:tcW w:w="734" w:type="dxa"/>
            <w:vMerge w:val="restart"/>
            <w:tcBorders>
              <w:top w:val="single" w:color="auto" w:sz="4" w:space="0"/>
              <w:left w:val="single" w:color="auto" w:sz="4" w:space="0"/>
              <w:right w:val="single" w:color="auto" w:sz="4" w:space="0"/>
            </w:tcBorders>
            <w:vAlign w:val="center"/>
          </w:tcPr>
          <w:p>
            <w:pPr>
              <w:jc w:val="center"/>
              <w:rPr>
                <w:color w:val="auto"/>
                <w:sz w:val="24"/>
              </w:rPr>
            </w:pPr>
            <w:r>
              <w:rPr>
                <w:color w:val="auto"/>
                <w:sz w:val="24"/>
              </w:rPr>
              <w:t>固</w:t>
            </w:r>
          </w:p>
          <w:p>
            <w:pPr>
              <w:jc w:val="center"/>
              <w:rPr>
                <w:color w:val="auto"/>
                <w:sz w:val="24"/>
              </w:rPr>
            </w:pPr>
            <w:r>
              <w:rPr>
                <w:color w:val="auto"/>
                <w:sz w:val="24"/>
              </w:rPr>
              <w:t>体</w:t>
            </w:r>
          </w:p>
          <w:p>
            <w:pPr>
              <w:jc w:val="center"/>
              <w:rPr>
                <w:color w:val="auto"/>
                <w:sz w:val="24"/>
              </w:rPr>
            </w:pPr>
            <w:r>
              <w:rPr>
                <w:color w:val="auto"/>
                <w:sz w:val="24"/>
              </w:rPr>
              <w:t>废</w:t>
            </w:r>
          </w:p>
          <w:p>
            <w:pPr>
              <w:jc w:val="center"/>
              <w:rPr>
                <w:color w:val="auto"/>
                <w:sz w:val="24"/>
              </w:rPr>
            </w:pPr>
            <w:r>
              <w:rPr>
                <w:color w:val="auto"/>
                <w:sz w:val="24"/>
              </w:rPr>
              <w:t>物</w:t>
            </w:r>
          </w:p>
        </w:tc>
        <w:tc>
          <w:tcPr>
            <w:tcW w:w="709" w:type="dxa"/>
            <w:vMerge w:val="restart"/>
            <w:tcBorders>
              <w:top w:val="single" w:color="auto" w:sz="4" w:space="0"/>
              <w:left w:val="single" w:color="auto" w:sz="4" w:space="0"/>
              <w:right w:val="single" w:color="auto" w:sz="4" w:space="0"/>
            </w:tcBorders>
            <w:vAlign w:val="center"/>
          </w:tcPr>
          <w:p>
            <w:pPr>
              <w:jc w:val="center"/>
              <w:rPr>
                <w:color w:val="auto"/>
                <w:szCs w:val="21"/>
              </w:rPr>
            </w:pPr>
            <w:r>
              <w:rPr>
                <w:color w:val="auto"/>
                <w:szCs w:val="21"/>
              </w:rPr>
              <w:t>施</w:t>
            </w:r>
          </w:p>
          <w:p>
            <w:pPr>
              <w:jc w:val="center"/>
              <w:rPr>
                <w:color w:val="auto"/>
                <w:szCs w:val="21"/>
              </w:rPr>
            </w:pPr>
            <w:r>
              <w:rPr>
                <w:color w:val="auto"/>
                <w:szCs w:val="21"/>
              </w:rPr>
              <w:t>工</w:t>
            </w:r>
          </w:p>
          <w:p>
            <w:pPr>
              <w:jc w:val="center"/>
              <w:rPr>
                <w:color w:val="auto"/>
                <w:szCs w:val="21"/>
              </w:rPr>
            </w:pPr>
            <w:r>
              <w:rPr>
                <w:color w:val="auto"/>
                <w:szCs w:val="21"/>
              </w:rPr>
              <w:t>期</w:t>
            </w:r>
          </w:p>
        </w:tc>
        <w:tc>
          <w:tcPr>
            <w:tcW w:w="1559" w:type="dxa"/>
            <w:tcBorders>
              <w:top w:val="single" w:color="auto" w:sz="4" w:space="0"/>
              <w:left w:val="single" w:color="auto" w:sz="4" w:space="0"/>
              <w:bottom w:val="single" w:color="auto" w:sz="4" w:space="0"/>
              <w:right w:val="single" w:color="auto" w:sz="4" w:space="0"/>
            </w:tcBorders>
            <w:vAlign w:val="center"/>
          </w:tcPr>
          <w:p>
            <w:pPr>
              <w:jc w:val="center"/>
              <w:rPr>
                <w:color w:val="auto"/>
                <w:szCs w:val="21"/>
              </w:rPr>
            </w:pPr>
            <w:r>
              <w:rPr>
                <w:color w:val="auto"/>
                <w:szCs w:val="21"/>
              </w:rPr>
              <w:t>土石方开挖</w:t>
            </w:r>
          </w:p>
        </w:tc>
        <w:tc>
          <w:tcPr>
            <w:tcW w:w="1418" w:type="dxa"/>
            <w:tcBorders>
              <w:top w:val="single" w:color="auto" w:sz="4" w:space="0"/>
              <w:left w:val="single" w:color="auto" w:sz="4" w:space="0"/>
              <w:bottom w:val="single" w:color="auto" w:sz="4" w:space="0"/>
              <w:right w:val="single" w:color="auto" w:sz="4" w:space="0"/>
            </w:tcBorders>
            <w:vAlign w:val="center"/>
          </w:tcPr>
          <w:p>
            <w:pPr>
              <w:jc w:val="center"/>
              <w:rPr>
                <w:color w:val="auto"/>
                <w:szCs w:val="21"/>
              </w:rPr>
            </w:pPr>
            <w:r>
              <w:rPr>
                <w:color w:val="auto"/>
                <w:szCs w:val="21"/>
              </w:rPr>
              <w:t>弃土</w:t>
            </w:r>
          </w:p>
        </w:tc>
        <w:tc>
          <w:tcPr>
            <w:tcW w:w="2409" w:type="dxa"/>
            <w:gridSpan w:val="2"/>
            <w:tcBorders>
              <w:top w:val="single" w:color="auto" w:sz="4" w:space="0"/>
              <w:left w:val="single" w:color="auto" w:sz="4" w:space="0"/>
              <w:bottom w:val="single" w:color="auto" w:sz="4" w:space="0"/>
              <w:right w:val="single" w:color="auto" w:sz="4" w:space="0"/>
            </w:tcBorders>
            <w:vAlign w:val="center"/>
          </w:tcPr>
          <w:p>
            <w:pPr>
              <w:jc w:val="center"/>
              <w:rPr>
                <w:color w:val="auto"/>
                <w:szCs w:val="21"/>
              </w:rPr>
            </w:pPr>
            <w:r>
              <w:rPr>
                <w:color w:val="auto"/>
                <w:szCs w:val="21"/>
              </w:rPr>
              <w:t>2581m</w:t>
            </w:r>
            <w:r>
              <w:rPr>
                <w:color w:val="auto"/>
                <w:szCs w:val="21"/>
                <w:vertAlign w:val="superscript"/>
              </w:rPr>
              <w:t>3</w:t>
            </w:r>
          </w:p>
        </w:tc>
        <w:tc>
          <w:tcPr>
            <w:tcW w:w="2575" w:type="dxa"/>
            <w:gridSpan w:val="2"/>
            <w:tcBorders>
              <w:top w:val="single" w:color="auto" w:sz="4" w:space="0"/>
              <w:left w:val="single" w:color="auto" w:sz="4" w:space="0"/>
              <w:bottom w:val="single" w:color="auto" w:sz="4" w:space="0"/>
              <w:right w:val="single" w:color="auto" w:sz="4" w:space="0"/>
            </w:tcBorders>
            <w:vAlign w:val="center"/>
          </w:tcPr>
          <w:p>
            <w:pPr>
              <w:jc w:val="center"/>
              <w:rPr>
                <w:color w:val="auto"/>
                <w:szCs w:val="21"/>
              </w:rPr>
            </w:pPr>
            <w:r>
              <w:rPr>
                <w:color w:val="auto"/>
                <w:szCs w:val="21"/>
              </w:rPr>
              <w:t>运往余泥渣土</w:t>
            </w:r>
            <w:r>
              <w:rPr>
                <w:rFonts w:hint="eastAsia"/>
                <w:color w:val="auto"/>
                <w:szCs w:val="21"/>
              </w:rPr>
              <w:t>受纳点</w:t>
            </w:r>
            <w:r>
              <w:rPr>
                <w:color w:val="auto"/>
                <w:szCs w:val="21"/>
              </w:rPr>
              <w:t>处理</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cantSplit/>
          <w:trHeight w:val="206" w:hRule="atLeast"/>
          <w:jc w:val="center"/>
        </w:trPr>
        <w:tc>
          <w:tcPr>
            <w:tcW w:w="734" w:type="dxa"/>
            <w:vMerge w:val="continue"/>
            <w:tcBorders>
              <w:top w:val="single" w:color="auto" w:sz="4" w:space="0"/>
              <w:left w:val="single" w:color="auto" w:sz="4" w:space="0"/>
              <w:right w:val="single" w:color="auto" w:sz="4" w:space="0"/>
            </w:tcBorders>
            <w:vAlign w:val="center"/>
          </w:tcPr>
          <w:p>
            <w:pPr>
              <w:jc w:val="center"/>
              <w:rPr>
                <w:color w:val="auto"/>
                <w:sz w:val="24"/>
              </w:rPr>
            </w:pPr>
          </w:p>
        </w:tc>
        <w:tc>
          <w:tcPr>
            <w:tcW w:w="709" w:type="dxa"/>
            <w:vMerge w:val="continue"/>
            <w:tcBorders>
              <w:top w:val="single" w:color="auto" w:sz="4" w:space="0"/>
              <w:left w:val="single" w:color="auto" w:sz="4" w:space="0"/>
              <w:right w:val="single" w:color="auto" w:sz="4" w:space="0"/>
            </w:tcBorders>
            <w:vAlign w:val="center"/>
          </w:tcPr>
          <w:p>
            <w:pPr>
              <w:jc w:val="center"/>
              <w:rPr>
                <w:color w:val="auto"/>
                <w:szCs w:val="21"/>
              </w:rPr>
            </w:pPr>
          </w:p>
        </w:tc>
        <w:tc>
          <w:tcPr>
            <w:tcW w:w="1559" w:type="dxa"/>
            <w:tcBorders>
              <w:top w:val="single" w:color="auto" w:sz="4" w:space="0"/>
              <w:left w:val="single" w:color="auto" w:sz="4" w:space="0"/>
              <w:bottom w:val="single" w:color="auto" w:sz="4" w:space="0"/>
              <w:right w:val="single" w:color="auto" w:sz="4" w:space="0"/>
            </w:tcBorders>
            <w:vAlign w:val="center"/>
          </w:tcPr>
          <w:p>
            <w:pPr>
              <w:jc w:val="center"/>
              <w:rPr>
                <w:color w:val="auto"/>
                <w:szCs w:val="21"/>
              </w:rPr>
            </w:pPr>
            <w:r>
              <w:rPr>
                <w:rFonts w:hint="eastAsia"/>
                <w:color w:val="auto"/>
                <w:szCs w:val="21"/>
              </w:rPr>
              <w:t>建筑垃圾</w:t>
            </w:r>
          </w:p>
        </w:tc>
        <w:tc>
          <w:tcPr>
            <w:tcW w:w="1418" w:type="dxa"/>
            <w:tcBorders>
              <w:top w:val="single" w:color="auto" w:sz="4" w:space="0"/>
              <w:left w:val="single" w:color="auto" w:sz="4" w:space="0"/>
              <w:bottom w:val="single" w:color="auto" w:sz="4" w:space="0"/>
              <w:right w:val="single" w:color="auto" w:sz="4" w:space="0"/>
            </w:tcBorders>
            <w:vAlign w:val="center"/>
          </w:tcPr>
          <w:p>
            <w:pPr>
              <w:jc w:val="center"/>
              <w:rPr>
                <w:color w:val="auto"/>
                <w:szCs w:val="21"/>
              </w:rPr>
            </w:pPr>
            <w:r>
              <w:rPr>
                <w:rFonts w:hint="eastAsia"/>
                <w:color w:val="auto"/>
                <w:szCs w:val="21"/>
              </w:rPr>
              <w:t>建筑垃圾</w:t>
            </w:r>
          </w:p>
        </w:tc>
        <w:tc>
          <w:tcPr>
            <w:tcW w:w="2409" w:type="dxa"/>
            <w:gridSpan w:val="2"/>
            <w:tcBorders>
              <w:top w:val="single" w:color="auto" w:sz="4" w:space="0"/>
              <w:left w:val="single" w:color="auto" w:sz="4" w:space="0"/>
              <w:bottom w:val="single" w:color="auto" w:sz="4" w:space="0"/>
              <w:right w:val="single" w:color="auto" w:sz="4" w:space="0"/>
            </w:tcBorders>
            <w:vAlign w:val="center"/>
          </w:tcPr>
          <w:p>
            <w:pPr>
              <w:jc w:val="center"/>
              <w:rPr>
                <w:color w:val="auto"/>
                <w:szCs w:val="21"/>
              </w:rPr>
            </w:pPr>
            <w:r>
              <w:rPr>
                <w:color w:val="auto"/>
                <w:szCs w:val="21"/>
              </w:rPr>
              <w:t>0.296t</w:t>
            </w:r>
          </w:p>
        </w:tc>
        <w:tc>
          <w:tcPr>
            <w:tcW w:w="2575" w:type="dxa"/>
            <w:gridSpan w:val="2"/>
            <w:tcBorders>
              <w:top w:val="single" w:color="auto" w:sz="4" w:space="0"/>
              <w:left w:val="single" w:color="auto" w:sz="4" w:space="0"/>
              <w:bottom w:val="single" w:color="auto" w:sz="4" w:space="0"/>
              <w:right w:val="single" w:color="auto" w:sz="4" w:space="0"/>
            </w:tcBorders>
            <w:vAlign w:val="center"/>
          </w:tcPr>
          <w:p>
            <w:pPr>
              <w:jc w:val="center"/>
              <w:rPr>
                <w:color w:val="auto"/>
                <w:szCs w:val="21"/>
              </w:rPr>
            </w:pPr>
            <w:r>
              <w:rPr>
                <w:color w:val="auto"/>
                <w:szCs w:val="21"/>
              </w:rPr>
              <w:t>运至垃圾填埋场填埋处理</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cantSplit/>
          <w:trHeight w:val="423" w:hRule="atLeast"/>
          <w:jc w:val="center"/>
        </w:trPr>
        <w:tc>
          <w:tcPr>
            <w:tcW w:w="734" w:type="dxa"/>
            <w:vMerge w:val="continue"/>
            <w:tcBorders>
              <w:left w:val="single" w:color="auto" w:sz="4" w:space="0"/>
              <w:right w:val="single" w:color="auto" w:sz="4" w:space="0"/>
            </w:tcBorders>
            <w:vAlign w:val="center"/>
          </w:tcPr>
          <w:p>
            <w:pPr>
              <w:jc w:val="center"/>
              <w:rPr>
                <w:color w:val="auto"/>
                <w:sz w:val="24"/>
              </w:rPr>
            </w:pPr>
          </w:p>
        </w:tc>
        <w:tc>
          <w:tcPr>
            <w:tcW w:w="709" w:type="dxa"/>
            <w:vMerge w:val="continue"/>
            <w:tcBorders>
              <w:left w:val="single" w:color="auto" w:sz="4" w:space="0"/>
              <w:right w:val="single" w:color="auto" w:sz="4" w:space="0"/>
            </w:tcBorders>
            <w:vAlign w:val="center"/>
          </w:tcPr>
          <w:p>
            <w:pPr>
              <w:jc w:val="center"/>
              <w:rPr>
                <w:color w:val="auto"/>
                <w:szCs w:val="21"/>
              </w:rPr>
            </w:pPr>
          </w:p>
        </w:tc>
        <w:tc>
          <w:tcPr>
            <w:tcW w:w="1559" w:type="dxa"/>
            <w:tcBorders>
              <w:top w:val="single" w:color="auto" w:sz="4" w:space="0"/>
              <w:left w:val="single" w:color="auto" w:sz="4" w:space="0"/>
              <w:bottom w:val="single" w:color="auto" w:sz="4" w:space="0"/>
              <w:right w:val="single" w:color="auto" w:sz="4" w:space="0"/>
            </w:tcBorders>
            <w:vAlign w:val="center"/>
          </w:tcPr>
          <w:p>
            <w:pPr>
              <w:jc w:val="center"/>
              <w:rPr>
                <w:color w:val="auto"/>
                <w:szCs w:val="21"/>
              </w:rPr>
            </w:pPr>
            <w:r>
              <w:rPr>
                <w:rFonts w:hint="eastAsia"/>
                <w:color w:val="auto"/>
                <w:szCs w:val="21"/>
              </w:rPr>
              <w:t>施工</w:t>
            </w:r>
            <w:r>
              <w:rPr>
                <w:color w:val="auto"/>
                <w:szCs w:val="21"/>
              </w:rPr>
              <w:t>垃圾</w:t>
            </w:r>
          </w:p>
        </w:tc>
        <w:tc>
          <w:tcPr>
            <w:tcW w:w="1418" w:type="dxa"/>
            <w:tcBorders>
              <w:top w:val="single" w:color="auto" w:sz="4" w:space="0"/>
              <w:left w:val="single" w:color="auto" w:sz="4" w:space="0"/>
              <w:bottom w:val="single" w:color="auto" w:sz="4" w:space="0"/>
              <w:right w:val="single" w:color="auto" w:sz="4" w:space="0"/>
            </w:tcBorders>
            <w:vAlign w:val="center"/>
          </w:tcPr>
          <w:p>
            <w:pPr>
              <w:jc w:val="center"/>
              <w:rPr>
                <w:color w:val="auto"/>
                <w:szCs w:val="21"/>
              </w:rPr>
            </w:pPr>
            <w:r>
              <w:rPr>
                <w:rFonts w:hint="eastAsia"/>
                <w:color w:val="auto"/>
                <w:szCs w:val="21"/>
              </w:rPr>
              <w:t>施工</w:t>
            </w:r>
            <w:r>
              <w:rPr>
                <w:color w:val="auto"/>
                <w:szCs w:val="21"/>
              </w:rPr>
              <w:t>垃圾</w:t>
            </w:r>
          </w:p>
        </w:tc>
        <w:tc>
          <w:tcPr>
            <w:tcW w:w="2409" w:type="dxa"/>
            <w:gridSpan w:val="2"/>
            <w:tcBorders>
              <w:top w:val="single" w:color="auto" w:sz="4" w:space="0"/>
              <w:left w:val="single" w:color="auto" w:sz="4" w:space="0"/>
              <w:bottom w:val="single" w:color="auto" w:sz="4" w:space="0"/>
              <w:right w:val="single" w:color="auto" w:sz="4" w:space="0"/>
            </w:tcBorders>
            <w:vAlign w:val="center"/>
          </w:tcPr>
          <w:p>
            <w:pPr>
              <w:jc w:val="center"/>
              <w:rPr>
                <w:color w:val="auto"/>
                <w:szCs w:val="21"/>
              </w:rPr>
            </w:pPr>
            <w:r>
              <w:rPr>
                <w:color w:val="auto"/>
                <w:szCs w:val="21"/>
              </w:rPr>
              <w:t>2.5t</w:t>
            </w:r>
          </w:p>
        </w:tc>
        <w:tc>
          <w:tcPr>
            <w:tcW w:w="2575" w:type="dxa"/>
            <w:gridSpan w:val="2"/>
            <w:tcBorders>
              <w:top w:val="single" w:color="auto" w:sz="4" w:space="0"/>
              <w:left w:val="single" w:color="auto" w:sz="4" w:space="0"/>
              <w:bottom w:val="single" w:color="auto" w:sz="4" w:space="0"/>
              <w:right w:val="single" w:color="auto" w:sz="4" w:space="0"/>
            </w:tcBorders>
            <w:vAlign w:val="center"/>
          </w:tcPr>
          <w:p>
            <w:pPr>
              <w:jc w:val="center"/>
              <w:rPr>
                <w:color w:val="auto"/>
                <w:szCs w:val="21"/>
              </w:rPr>
            </w:pPr>
            <w:r>
              <w:rPr>
                <w:color w:val="auto"/>
                <w:szCs w:val="21"/>
              </w:rPr>
              <w:t>运至垃圾填埋场填埋处理</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cantSplit/>
          <w:trHeight w:val="431" w:hRule="atLeast"/>
          <w:jc w:val="center"/>
        </w:trPr>
        <w:tc>
          <w:tcPr>
            <w:tcW w:w="734" w:type="dxa"/>
            <w:vMerge w:val="continue"/>
            <w:tcBorders>
              <w:left w:val="single" w:color="auto" w:sz="4" w:space="0"/>
              <w:right w:val="single" w:color="auto" w:sz="4" w:space="0"/>
            </w:tcBorders>
            <w:vAlign w:val="center"/>
          </w:tcPr>
          <w:p>
            <w:pPr>
              <w:jc w:val="center"/>
              <w:rPr>
                <w:color w:val="auto"/>
                <w:sz w:val="24"/>
              </w:rPr>
            </w:pPr>
          </w:p>
        </w:tc>
        <w:tc>
          <w:tcPr>
            <w:tcW w:w="709" w:type="dxa"/>
            <w:vMerge w:val="continue"/>
            <w:tcBorders>
              <w:left w:val="single" w:color="auto" w:sz="4" w:space="0"/>
              <w:bottom w:val="single" w:color="auto" w:sz="4" w:space="0"/>
              <w:right w:val="single" w:color="auto" w:sz="4" w:space="0"/>
            </w:tcBorders>
            <w:vAlign w:val="center"/>
          </w:tcPr>
          <w:p>
            <w:pPr>
              <w:jc w:val="center"/>
              <w:rPr>
                <w:color w:val="auto"/>
                <w:szCs w:val="21"/>
              </w:rPr>
            </w:pPr>
          </w:p>
        </w:tc>
        <w:tc>
          <w:tcPr>
            <w:tcW w:w="1559" w:type="dxa"/>
            <w:tcBorders>
              <w:top w:val="single" w:color="auto" w:sz="4" w:space="0"/>
              <w:left w:val="single" w:color="auto" w:sz="4" w:space="0"/>
              <w:bottom w:val="single" w:color="auto" w:sz="4" w:space="0"/>
              <w:right w:val="single" w:color="auto" w:sz="4" w:space="0"/>
            </w:tcBorders>
            <w:vAlign w:val="center"/>
          </w:tcPr>
          <w:p>
            <w:pPr>
              <w:jc w:val="center"/>
              <w:rPr>
                <w:color w:val="auto"/>
                <w:szCs w:val="21"/>
              </w:rPr>
            </w:pPr>
            <w:r>
              <w:rPr>
                <w:color w:val="auto"/>
                <w:szCs w:val="21"/>
              </w:rPr>
              <w:t>生活垃圾</w:t>
            </w:r>
          </w:p>
        </w:tc>
        <w:tc>
          <w:tcPr>
            <w:tcW w:w="1418" w:type="dxa"/>
            <w:tcBorders>
              <w:top w:val="single" w:color="auto" w:sz="4" w:space="0"/>
              <w:left w:val="single" w:color="auto" w:sz="4" w:space="0"/>
              <w:bottom w:val="single" w:color="auto" w:sz="4" w:space="0"/>
              <w:right w:val="single" w:color="auto" w:sz="4" w:space="0"/>
            </w:tcBorders>
            <w:vAlign w:val="center"/>
          </w:tcPr>
          <w:p>
            <w:pPr>
              <w:jc w:val="center"/>
              <w:rPr>
                <w:color w:val="auto"/>
                <w:szCs w:val="21"/>
              </w:rPr>
            </w:pPr>
            <w:r>
              <w:rPr>
                <w:color w:val="auto"/>
                <w:szCs w:val="21"/>
              </w:rPr>
              <w:t>生活垃圾</w:t>
            </w:r>
          </w:p>
        </w:tc>
        <w:tc>
          <w:tcPr>
            <w:tcW w:w="2409" w:type="dxa"/>
            <w:gridSpan w:val="2"/>
            <w:tcBorders>
              <w:top w:val="single" w:color="auto" w:sz="4" w:space="0"/>
              <w:left w:val="single" w:color="auto" w:sz="4" w:space="0"/>
              <w:bottom w:val="single" w:color="auto" w:sz="4" w:space="0"/>
              <w:right w:val="single" w:color="auto" w:sz="4" w:space="0"/>
            </w:tcBorders>
            <w:vAlign w:val="center"/>
          </w:tcPr>
          <w:p>
            <w:pPr>
              <w:jc w:val="center"/>
              <w:rPr>
                <w:color w:val="auto"/>
                <w:szCs w:val="21"/>
              </w:rPr>
            </w:pPr>
            <w:r>
              <w:rPr>
                <w:color w:val="auto"/>
                <w:szCs w:val="21"/>
              </w:rPr>
              <w:t>4.5t</w:t>
            </w:r>
          </w:p>
        </w:tc>
        <w:tc>
          <w:tcPr>
            <w:tcW w:w="2575" w:type="dxa"/>
            <w:gridSpan w:val="2"/>
            <w:tcBorders>
              <w:top w:val="single" w:color="auto" w:sz="4" w:space="0"/>
              <w:left w:val="single" w:color="auto" w:sz="4" w:space="0"/>
              <w:bottom w:val="single" w:color="auto" w:sz="4" w:space="0"/>
              <w:right w:val="single" w:color="auto" w:sz="4" w:space="0"/>
            </w:tcBorders>
            <w:vAlign w:val="center"/>
          </w:tcPr>
          <w:p>
            <w:pPr>
              <w:jc w:val="center"/>
              <w:rPr>
                <w:color w:val="auto"/>
                <w:szCs w:val="21"/>
              </w:rPr>
            </w:pPr>
            <w:r>
              <w:rPr>
                <w:color w:val="auto"/>
                <w:szCs w:val="21"/>
              </w:rPr>
              <w:t>交由环卫部门处理</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cantSplit/>
          <w:trHeight w:val="431" w:hRule="atLeast"/>
          <w:jc w:val="center"/>
        </w:trPr>
        <w:tc>
          <w:tcPr>
            <w:tcW w:w="734" w:type="dxa"/>
            <w:vMerge w:val="continue"/>
            <w:tcBorders>
              <w:left w:val="single" w:color="auto" w:sz="4" w:space="0"/>
              <w:right w:val="single" w:color="auto" w:sz="4" w:space="0"/>
            </w:tcBorders>
            <w:vAlign w:val="center"/>
          </w:tcPr>
          <w:p>
            <w:pPr>
              <w:jc w:val="center"/>
              <w:rPr>
                <w:color w:val="auto"/>
                <w:sz w:val="24"/>
              </w:rPr>
            </w:pPr>
          </w:p>
        </w:tc>
        <w:tc>
          <w:tcPr>
            <w:tcW w:w="709" w:type="dxa"/>
            <w:tcBorders>
              <w:left w:val="single" w:color="auto" w:sz="4" w:space="0"/>
              <w:bottom w:val="single" w:color="auto" w:sz="4" w:space="0"/>
              <w:right w:val="single" w:color="auto" w:sz="4" w:space="0"/>
            </w:tcBorders>
            <w:vAlign w:val="center"/>
          </w:tcPr>
          <w:p>
            <w:pPr>
              <w:jc w:val="center"/>
              <w:rPr>
                <w:color w:val="auto"/>
                <w:szCs w:val="21"/>
              </w:rPr>
            </w:pPr>
            <w:r>
              <w:rPr>
                <w:rFonts w:hint="eastAsia"/>
                <w:color w:val="auto"/>
                <w:szCs w:val="21"/>
              </w:rPr>
              <w:t>运营期</w:t>
            </w:r>
          </w:p>
        </w:tc>
        <w:tc>
          <w:tcPr>
            <w:tcW w:w="1559" w:type="dxa"/>
            <w:tcBorders>
              <w:top w:val="single" w:color="auto" w:sz="4" w:space="0"/>
              <w:left w:val="single" w:color="auto" w:sz="4" w:space="0"/>
              <w:bottom w:val="single" w:color="auto" w:sz="4" w:space="0"/>
              <w:right w:val="single" w:color="auto" w:sz="4" w:space="0"/>
            </w:tcBorders>
            <w:vAlign w:val="center"/>
          </w:tcPr>
          <w:p>
            <w:pPr>
              <w:jc w:val="center"/>
              <w:rPr>
                <w:color w:val="auto"/>
                <w:szCs w:val="21"/>
              </w:rPr>
            </w:pPr>
            <w:r>
              <w:rPr>
                <w:rFonts w:hint="eastAsia"/>
                <w:color w:val="auto"/>
                <w:szCs w:val="21"/>
              </w:rPr>
              <w:t>生活垃圾</w:t>
            </w:r>
          </w:p>
        </w:tc>
        <w:tc>
          <w:tcPr>
            <w:tcW w:w="1418" w:type="dxa"/>
            <w:tcBorders>
              <w:top w:val="single" w:color="auto" w:sz="4" w:space="0"/>
              <w:left w:val="single" w:color="auto" w:sz="4" w:space="0"/>
              <w:bottom w:val="single" w:color="auto" w:sz="4" w:space="0"/>
              <w:right w:val="single" w:color="auto" w:sz="4" w:space="0"/>
            </w:tcBorders>
            <w:vAlign w:val="center"/>
          </w:tcPr>
          <w:p>
            <w:pPr>
              <w:jc w:val="center"/>
              <w:rPr>
                <w:color w:val="auto"/>
                <w:szCs w:val="21"/>
              </w:rPr>
            </w:pPr>
            <w:r>
              <w:rPr>
                <w:color w:val="auto"/>
                <w:szCs w:val="21"/>
              </w:rPr>
              <w:t>生活垃圾</w:t>
            </w:r>
          </w:p>
        </w:tc>
        <w:tc>
          <w:tcPr>
            <w:tcW w:w="2409" w:type="dxa"/>
            <w:gridSpan w:val="2"/>
            <w:tcBorders>
              <w:top w:val="single" w:color="auto" w:sz="4" w:space="0"/>
              <w:left w:val="single" w:color="auto" w:sz="4" w:space="0"/>
              <w:bottom w:val="single" w:color="auto" w:sz="4" w:space="0"/>
              <w:right w:val="single" w:color="auto" w:sz="4" w:space="0"/>
            </w:tcBorders>
            <w:vAlign w:val="center"/>
          </w:tcPr>
          <w:p>
            <w:pPr>
              <w:jc w:val="center"/>
              <w:rPr>
                <w:color w:val="auto"/>
                <w:szCs w:val="21"/>
              </w:rPr>
            </w:pPr>
            <w:r>
              <w:rPr>
                <w:rFonts w:hint="eastAsia"/>
                <w:color w:val="auto"/>
                <w:szCs w:val="21"/>
              </w:rPr>
              <w:t>0</w:t>
            </w:r>
            <w:r>
              <w:rPr>
                <w:color w:val="auto"/>
                <w:szCs w:val="21"/>
              </w:rPr>
              <w:t>.18t/a</w:t>
            </w:r>
          </w:p>
        </w:tc>
        <w:tc>
          <w:tcPr>
            <w:tcW w:w="2575" w:type="dxa"/>
            <w:gridSpan w:val="2"/>
            <w:tcBorders>
              <w:top w:val="single" w:color="auto" w:sz="4" w:space="0"/>
              <w:left w:val="single" w:color="auto" w:sz="4" w:space="0"/>
              <w:bottom w:val="single" w:color="auto" w:sz="4" w:space="0"/>
              <w:right w:val="single" w:color="auto" w:sz="4" w:space="0"/>
            </w:tcBorders>
            <w:vAlign w:val="center"/>
          </w:tcPr>
          <w:p>
            <w:pPr>
              <w:jc w:val="center"/>
              <w:rPr>
                <w:color w:val="auto"/>
                <w:szCs w:val="21"/>
              </w:rPr>
            </w:pPr>
            <w:r>
              <w:rPr>
                <w:color w:val="auto"/>
                <w:szCs w:val="21"/>
              </w:rPr>
              <w:t>交由环卫部门处理</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cantSplit/>
          <w:trHeight w:val="273" w:hRule="atLeast"/>
          <w:jc w:val="center"/>
        </w:trPr>
        <w:tc>
          <w:tcPr>
            <w:tcW w:w="734" w:type="dxa"/>
            <w:vMerge w:val="restart"/>
            <w:tcBorders>
              <w:top w:val="single" w:color="auto" w:sz="4" w:space="0"/>
              <w:left w:val="single" w:color="auto" w:sz="4" w:space="0"/>
              <w:right w:val="single" w:color="auto" w:sz="4" w:space="0"/>
            </w:tcBorders>
            <w:vAlign w:val="center"/>
          </w:tcPr>
          <w:p>
            <w:pPr>
              <w:jc w:val="center"/>
              <w:rPr>
                <w:color w:val="auto"/>
                <w:sz w:val="24"/>
              </w:rPr>
            </w:pPr>
            <w:r>
              <w:rPr>
                <w:color w:val="auto"/>
                <w:sz w:val="24"/>
              </w:rPr>
              <w:t>噪</w:t>
            </w:r>
          </w:p>
          <w:p>
            <w:pPr>
              <w:jc w:val="center"/>
              <w:rPr>
                <w:color w:val="auto"/>
                <w:sz w:val="24"/>
              </w:rPr>
            </w:pPr>
            <w:r>
              <w:rPr>
                <w:color w:val="auto"/>
                <w:sz w:val="24"/>
              </w:rPr>
              <w:t>声</w:t>
            </w:r>
          </w:p>
        </w:tc>
        <w:tc>
          <w:tcPr>
            <w:tcW w:w="709" w:type="dxa"/>
            <w:tcBorders>
              <w:top w:val="single" w:color="auto" w:sz="4" w:space="0"/>
              <w:left w:val="single" w:color="auto" w:sz="4" w:space="0"/>
              <w:bottom w:val="single" w:color="auto" w:sz="4" w:space="0"/>
              <w:right w:val="single" w:color="auto" w:sz="4" w:space="0"/>
            </w:tcBorders>
            <w:vAlign w:val="center"/>
          </w:tcPr>
          <w:p>
            <w:pPr>
              <w:ind w:leftChars="-1" w:hanging="2" w:hangingChars="1"/>
              <w:jc w:val="center"/>
              <w:rPr>
                <w:color w:val="auto"/>
                <w:szCs w:val="21"/>
              </w:rPr>
            </w:pPr>
            <w:r>
              <w:rPr>
                <w:color w:val="auto"/>
                <w:szCs w:val="21"/>
              </w:rPr>
              <w:t>施</w:t>
            </w:r>
          </w:p>
          <w:p>
            <w:pPr>
              <w:ind w:leftChars="-1" w:hanging="2" w:hangingChars="1"/>
              <w:jc w:val="center"/>
              <w:rPr>
                <w:color w:val="auto"/>
                <w:szCs w:val="21"/>
              </w:rPr>
            </w:pPr>
            <w:r>
              <w:rPr>
                <w:color w:val="auto"/>
                <w:szCs w:val="21"/>
              </w:rPr>
              <w:t>工</w:t>
            </w:r>
          </w:p>
          <w:p>
            <w:pPr>
              <w:ind w:leftChars="-1" w:hanging="2" w:hangingChars="1"/>
              <w:jc w:val="center"/>
              <w:rPr>
                <w:color w:val="auto"/>
                <w:szCs w:val="21"/>
              </w:rPr>
            </w:pPr>
            <w:r>
              <w:rPr>
                <w:color w:val="auto"/>
                <w:szCs w:val="21"/>
              </w:rPr>
              <w:t>期</w:t>
            </w:r>
          </w:p>
        </w:tc>
        <w:tc>
          <w:tcPr>
            <w:tcW w:w="7961" w:type="dxa"/>
            <w:gridSpan w:val="6"/>
            <w:tcBorders>
              <w:top w:val="single" w:color="auto" w:sz="4" w:space="0"/>
              <w:left w:val="single" w:color="auto" w:sz="4" w:space="0"/>
              <w:bottom w:val="single" w:color="auto" w:sz="4" w:space="0"/>
              <w:right w:val="single" w:color="auto" w:sz="4" w:space="0"/>
            </w:tcBorders>
            <w:vAlign w:val="center"/>
          </w:tcPr>
          <w:p>
            <w:pPr>
              <w:ind w:leftChars="-1" w:hanging="2" w:hangingChars="1"/>
              <w:jc w:val="center"/>
              <w:rPr>
                <w:color w:val="auto"/>
                <w:szCs w:val="21"/>
              </w:rPr>
            </w:pPr>
            <w:r>
              <w:rPr>
                <w:color w:val="auto"/>
                <w:szCs w:val="21"/>
              </w:rPr>
              <w:t>交通运输工具、施工机械设备运行时产生一定强度的噪声，声压值在82～95dB dB（A）之间</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cantSplit/>
          <w:trHeight w:val="273" w:hRule="atLeast"/>
          <w:jc w:val="center"/>
        </w:trPr>
        <w:tc>
          <w:tcPr>
            <w:tcW w:w="734" w:type="dxa"/>
            <w:vMerge w:val="continue"/>
            <w:tcBorders>
              <w:left w:val="single" w:color="auto" w:sz="4" w:space="0"/>
              <w:right w:val="single" w:color="auto" w:sz="4" w:space="0"/>
            </w:tcBorders>
            <w:vAlign w:val="center"/>
          </w:tcPr>
          <w:p>
            <w:pPr>
              <w:jc w:val="center"/>
              <w:rPr>
                <w:color w:val="auto"/>
                <w:sz w:val="24"/>
              </w:rPr>
            </w:pPr>
          </w:p>
        </w:tc>
        <w:tc>
          <w:tcPr>
            <w:tcW w:w="709" w:type="dxa"/>
            <w:tcBorders>
              <w:top w:val="single" w:color="auto" w:sz="4" w:space="0"/>
              <w:left w:val="single" w:color="auto" w:sz="4" w:space="0"/>
              <w:bottom w:val="single" w:color="auto" w:sz="4" w:space="0"/>
              <w:right w:val="single" w:color="auto" w:sz="4" w:space="0"/>
            </w:tcBorders>
            <w:vAlign w:val="center"/>
          </w:tcPr>
          <w:p>
            <w:pPr>
              <w:ind w:leftChars="-1" w:hanging="2" w:hangingChars="1"/>
              <w:jc w:val="center"/>
              <w:rPr>
                <w:color w:val="auto"/>
                <w:szCs w:val="21"/>
              </w:rPr>
            </w:pPr>
            <w:r>
              <w:rPr>
                <w:rFonts w:hint="eastAsia"/>
                <w:color w:val="auto"/>
                <w:szCs w:val="21"/>
              </w:rPr>
              <w:t>运</w:t>
            </w:r>
          </w:p>
          <w:p>
            <w:pPr>
              <w:ind w:leftChars="-1" w:hanging="2" w:hangingChars="1"/>
              <w:jc w:val="center"/>
              <w:rPr>
                <w:color w:val="auto"/>
                <w:szCs w:val="21"/>
              </w:rPr>
            </w:pPr>
            <w:r>
              <w:rPr>
                <w:rFonts w:hint="eastAsia"/>
                <w:color w:val="auto"/>
                <w:szCs w:val="21"/>
              </w:rPr>
              <w:t>营</w:t>
            </w:r>
          </w:p>
          <w:p>
            <w:pPr>
              <w:ind w:leftChars="-1" w:hanging="2" w:hangingChars="1"/>
              <w:jc w:val="center"/>
              <w:rPr>
                <w:color w:val="auto"/>
                <w:szCs w:val="21"/>
              </w:rPr>
            </w:pPr>
            <w:r>
              <w:rPr>
                <w:rFonts w:hint="eastAsia"/>
                <w:color w:val="auto"/>
                <w:szCs w:val="21"/>
              </w:rPr>
              <w:t>期</w:t>
            </w:r>
          </w:p>
        </w:tc>
        <w:tc>
          <w:tcPr>
            <w:tcW w:w="7961" w:type="dxa"/>
            <w:gridSpan w:val="6"/>
            <w:tcBorders>
              <w:top w:val="single" w:color="auto" w:sz="4" w:space="0"/>
              <w:left w:val="single" w:color="auto" w:sz="4" w:space="0"/>
              <w:bottom w:val="single" w:color="auto" w:sz="4" w:space="0"/>
              <w:right w:val="single" w:color="auto" w:sz="4" w:space="0"/>
            </w:tcBorders>
            <w:vAlign w:val="center"/>
          </w:tcPr>
          <w:p>
            <w:pPr>
              <w:ind w:leftChars="-1" w:hanging="2" w:hangingChars="1"/>
              <w:jc w:val="center"/>
              <w:rPr>
                <w:color w:val="auto"/>
                <w:szCs w:val="21"/>
              </w:rPr>
            </w:pPr>
            <w:r>
              <w:rPr>
                <w:rFonts w:hint="eastAsia"/>
                <w:color w:val="auto"/>
                <w:szCs w:val="21"/>
              </w:rPr>
              <w:t>加压泵站的水泵在运行时产生一定的噪声，</w:t>
            </w:r>
            <w:r>
              <w:rPr>
                <w:color w:val="auto"/>
                <w:szCs w:val="21"/>
              </w:rPr>
              <w:t>声压值在</w:t>
            </w:r>
            <w:r>
              <w:rPr>
                <w:rFonts w:hint="eastAsia"/>
                <w:color w:val="auto"/>
                <w:szCs w:val="21"/>
                <w:lang w:val="en-US" w:eastAsia="zh-CN"/>
              </w:rPr>
              <w:t>80</w:t>
            </w:r>
            <w:r>
              <w:rPr>
                <w:color w:val="auto"/>
                <w:szCs w:val="21"/>
              </w:rPr>
              <w:t>～</w:t>
            </w:r>
            <w:r>
              <w:rPr>
                <w:rFonts w:hint="eastAsia"/>
                <w:color w:val="auto"/>
                <w:szCs w:val="21"/>
                <w:lang w:val="en-US" w:eastAsia="zh-CN"/>
              </w:rPr>
              <w:t>90</w:t>
            </w:r>
            <w:r>
              <w:rPr>
                <w:color w:val="auto"/>
                <w:szCs w:val="21"/>
              </w:rPr>
              <w:t>dB dB（A）之间</w:t>
            </w: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108" w:type="dxa"/>
            <w:bottom w:w="0" w:type="dxa"/>
            <w:right w:w="108" w:type="dxa"/>
          </w:tblCellMar>
        </w:tblPrEx>
        <w:trPr>
          <w:cantSplit/>
          <w:trHeight w:val="2549" w:hRule="atLeast"/>
          <w:jc w:val="center"/>
        </w:trPr>
        <w:tc>
          <w:tcPr>
            <w:tcW w:w="9404" w:type="dxa"/>
            <w:gridSpan w:val="8"/>
            <w:tcBorders>
              <w:top w:val="single" w:color="auto" w:sz="4" w:space="0"/>
              <w:left w:val="single" w:color="auto" w:sz="4" w:space="0"/>
              <w:bottom w:val="single" w:color="auto" w:sz="4" w:space="0"/>
              <w:right w:val="single" w:color="auto" w:sz="4" w:space="0"/>
            </w:tcBorders>
          </w:tcPr>
          <w:p>
            <w:pPr>
              <w:spacing w:line="460" w:lineRule="exact"/>
              <w:rPr>
                <w:b/>
                <w:color w:val="auto"/>
                <w:sz w:val="24"/>
              </w:rPr>
            </w:pPr>
            <w:r>
              <w:rPr>
                <w:b/>
                <w:color w:val="auto"/>
                <w:sz w:val="24"/>
              </w:rPr>
              <w:t>主要生态影响</w:t>
            </w:r>
          </w:p>
          <w:p>
            <w:pPr>
              <w:tabs>
                <w:tab w:val="left" w:pos="7650"/>
              </w:tabs>
              <w:adjustRightInd w:val="0"/>
              <w:snapToGrid w:val="0"/>
              <w:spacing w:line="360" w:lineRule="auto"/>
              <w:ind w:firstLine="420" w:firstLineChars="200"/>
              <w:rPr>
                <w:color w:val="auto"/>
                <w:sz w:val="24"/>
              </w:rPr>
            </w:pPr>
            <w:r>
              <w:rPr>
                <w:bCs/>
                <w:color w:val="auto"/>
                <w:szCs w:val="21"/>
              </w:rPr>
              <w:t>本工程生态环境影响主要是建设期的影响。本工程管线敷设作业属于短期的临时性占地，而且施工地段多为建成区，在施工开挖过程中，会造成地面裸露，加深土壤侵蚀和水土流失。施工过程中将有部分挖方和填方工程，造成裸露，杂乱和凌乱。在雨季的气候条件下还会产生水土流失，这些将对景观环境都会造成一定的破坏。</w:t>
            </w:r>
            <w:r>
              <w:rPr>
                <w:color w:val="auto"/>
                <w:szCs w:val="21"/>
              </w:rPr>
              <w:t>项目通过采取相应的生态保护和恢复措施，尤其是通过施工管理和强化施工期的保护和恢复，能最大限度地降低项目建设对生态环境的影响。</w:t>
            </w:r>
          </w:p>
        </w:tc>
      </w:tr>
      <w:bookmarkEnd w:id="5"/>
    </w:tbl>
    <w:p>
      <w:pPr>
        <w:spacing w:line="300" w:lineRule="auto"/>
        <w:rPr>
          <w:rFonts w:eastAsia="黑体"/>
          <w:color w:val="auto"/>
          <w:sz w:val="30"/>
        </w:rPr>
        <w:sectPr>
          <w:footerReference r:id="rId4" w:type="default"/>
          <w:pgSz w:w="11907" w:h="16840"/>
          <w:pgMar w:top="1531" w:right="1134" w:bottom="1134" w:left="1418" w:header="907" w:footer="907" w:gutter="0"/>
          <w:cols w:space="720" w:num="1"/>
          <w:docGrid w:linePitch="326" w:charSpace="-4916"/>
        </w:sectPr>
      </w:pPr>
    </w:p>
    <w:p>
      <w:pPr>
        <w:rPr>
          <w:rFonts w:eastAsia="黑体"/>
          <w:color w:val="auto"/>
          <w:sz w:val="30"/>
        </w:rPr>
      </w:pPr>
      <w:r>
        <w:rPr>
          <w:rFonts w:eastAsia="黑体"/>
          <w:color w:val="auto"/>
          <w:sz w:val="30"/>
        </w:rPr>
        <w:t>环境影响分析</w:t>
      </w:r>
    </w:p>
    <w:tbl>
      <w:tblPr>
        <w:tblStyle w:val="33"/>
        <w:tblW w:w="9348"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9348"/>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c>
          <w:tcPr>
            <w:tcW w:w="9348" w:type="dxa"/>
          </w:tcPr>
          <w:p>
            <w:pPr>
              <w:adjustRightInd w:val="0"/>
              <w:snapToGrid w:val="0"/>
              <w:spacing w:line="480" w:lineRule="exact"/>
              <w:ind w:firstLine="482" w:firstLineChars="200"/>
              <w:rPr>
                <w:b/>
                <w:bCs/>
                <w:color w:val="auto"/>
                <w:sz w:val="24"/>
              </w:rPr>
            </w:pPr>
            <w:r>
              <w:rPr>
                <w:b/>
                <w:bCs/>
                <w:color w:val="auto"/>
                <w:sz w:val="24"/>
              </w:rPr>
              <w:t>一、施工期环境影响分析</w:t>
            </w:r>
          </w:p>
          <w:p>
            <w:pPr>
              <w:adjustRightInd w:val="0"/>
              <w:snapToGrid w:val="0"/>
              <w:spacing w:line="480" w:lineRule="exact"/>
              <w:ind w:firstLine="480" w:firstLineChars="200"/>
              <w:rPr>
                <w:color w:val="auto"/>
                <w:sz w:val="24"/>
              </w:rPr>
            </w:pPr>
            <w:r>
              <w:rPr>
                <w:color w:val="auto"/>
                <w:sz w:val="24"/>
              </w:rPr>
              <w:t>项目</w:t>
            </w:r>
            <w:r>
              <w:rPr>
                <w:rFonts w:hint="eastAsia"/>
                <w:color w:val="auto"/>
                <w:sz w:val="24"/>
              </w:rPr>
              <w:t>加压泵站打桩、基础、主体工程、</w:t>
            </w:r>
            <w:r>
              <w:rPr>
                <w:color w:val="auto"/>
                <w:sz w:val="24"/>
              </w:rPr>
              <w:t>场地开挖、回填、场地平整、基础处理、管道铺设等施工过程中产生的扬尘、废水、噪声、固体废物以及引起水土流失等污染情况，上述污染情况若得不到及时妥善处理，将会对周围环境产生不利影响。</w:t>
            </w:r>
          </w:p>
          <w:p>
            <w:pPr>
              <w:adjustRightInd w:val="0"/>
              <w:snapToGrid w:val="0"/>
              <w:spacing w:line="480" w:lineRule="exact"/>
              <w:ind w:firstLine="482" w:firstLineChars="200"/>
              <w:rPr>
                <w:b/>
                <w:color w:val="auto"/>
                <w:sz w:val="24"/>
              </w:rPr>
            </w:pPr>
            <w:r>
              <w:rPr>
                <w:b/>
                <w:color w:val="auto"/>
                <w:sz w:val="24"/>
              </w:rPr>
              <w:t>1、水土流失环境影响分析</w:t>
            </w:r>
          </w:p>
          <w:p>
            <w:pPr>
              <w:pStyle w:val="21"/>
              <w:spacing w:line="480" w:lineRule="exact"/>
              <w:ind w:firstLine="480" w:firstLineChars="200"/>
              <w:rPr>
                <w:bCs/>
                <w:color w:val="auto"/>
              </w:rPr>
            </w:pPr>
            <w:r>
              <w:rPr>
                <w:bCs/>
                <w:color w:val="auto"/>
              </w:rPr>
              <w:t>（1）水土流失原因及预测时段</w:t>
            </w:r>
          </w:p>
          <w:p>
            <w:pPr>
              <w:pStyle w:val="21"/>
              <w:spacing w:line="480" w:lineRule="exact"/>
              <w:ind w:firstLine="480" w:firstLineChars="200"/>
              <w:rPr>
                <w:bCs/>
                <w:color w:val="auto"/>
              </w:rPr>
            </w:pPr>
            <w:r>
              <w:rPr>
                <w:bCs/>
                <w:color w:val="auto"/>
              </w:rPr>
              <w:t>本工程建设将产生人为的水土流失，而水土流失主要发生在施工期。一是在工程施工过程中，开挖使植被破坏，表面土层</w:t>
            </w:r>
            <w:r>
              <w:rPr>
                <w:rFonts w:hint="eastAsia"/>
                <w:bCs/>
                <w:color w:val="auto"/>
              </w:rPr>
              <w:t>抗</w:t>
            </w:r>
            <w:r>
              <w:rPr>
                <w:bCs/>
                <w:color w:val="auto"/>
              </w:rPr>
              <w:t>蚀能力减弱，加剧水土流失；二是开挖产生裸露面，裸露面表层结构较为疏松，易产生水土流失；三是施工期间，土石渣料在搬运和弃置过程中，不可避免产生部分水土流失。而在工程运行期，各项水土流失防治措施相继完成，尽管在运行初期由于植物措施的滞后，可能还有一定的水土流失现象，但也只是暂时的，随着植物措施的实施，运行期的水土流失将得以有效的控制，不会产生长期的水土流失。</w:t>
            </w:r>
          </w:p>
          <w:p>
            <w:pPr>
              <w:pStyle w:val="21"/>
              <w:spacing w:line="480" w:lineRule="exact"/>
              <w:ind w:firstLine="480" w:firstLineChars="200"/>
              <w:rPr>
                <w:bCs/>
                <w:color w:val="auto"/>
              </w:rPr>
            </w:pPr>
            <w:r>
              <w:rPr>
                <w:bCs/>
                <w:color w:val="auto"/>
              </w:rPr>
              <w:t>因此，本工程水土流失预测时段主要为工程建设期。</w:t>
            </w:r>
          </w:p>
          <w:p>
            <w:pPr>
              <w:pStyle w:val="21"/>
              <w:spacing w:line="480" w:lineRule="exact"/>
              <w:ind w:firstLine="480" w:firstLineChars="200"/>
              <w:rPr>
                <w:bCs/>
                <w:color w:val="auto"/>
              </w:rPr>
            </w:pPr>
            <w:r>
              <w:rPr>
                <w:bCs/>
                <w:color w:val="auto"/>
              </w:rPr>
              <w:t>（2）扰动原地貌、损坏土地和植被面积</w:t>
            </w:r>
          </w:p>
          <w:p>
            <w:pPr>
              <w:pStyle w:val="21"/>
              <w:spacing w:line="480" w:lineRule="exact"/>
              <w:ind w:firstLine="480" w:firstLineChars="200"/>
              <w:jc w:val="both"/>
              <w:rPr>
                <w:bCs/>
                <w:color w:val="auto"/>
              </w:rPr>
            </w:pPr>
            <w:r>
              <w:rPr>
                <w:bCs/>
                <w:color w:val="auto"/>
              </w:rPr>
              <w:t>本工程扰动原地貌的面积主要是施工地和临时便道等占地引起，包括工程的永久占地和临时占地。临时占地主要为施工便道、线外运输便道、建材堆放场等，可以结合城防工程永久占地等统筹安排</w:t>
            </w:r>
            <w:r>
              <w:rPr>
                <w:rFonts w:hint="eastAsia"/>
                <w:bCs/>
                <w:color w:val="auto"/>
              </w:rPr>
              <w:t>，占地类型为建设用地</w:t>
            </w:r>
            <w:r>
              <w:rPr>
                <w:bCs/>
                <w:color w:val="auto"/>
              </w:rPr>
              <w:t>。</w:t>
            </w:r>
          </w:p>
          <w:p>
            <w:pPr>
              <w:pStyle w:val="21"/>
              <w:spacing w:line="480" w:lineRule="exact"/>
              <w:ind w:firstLine="480" w:firstLineChars="200"/>
              <w:jc w:val="both"/>
              <w:rPr>
                <w:bCs/>
                <w:color w:val="auto"/>
              </w:rPr>
            </w:pPr>
            <w:r>
              <w:rPr>
                <w:bCs/>
                <w:color w:val="auto"/>
              </w:rPr>
              <w:t>（3）损坏的水土保持设施和面积</w:t>
            </w:r>
          </w:p>
          <w:p>
            <w:pPr>
              <w:pStyle w:val="21"/>
              <w:spacing w:line="480" w:lineRule="exact"/>
              <w:ind w:firstLine="480" w:firstLineChars="200"/>
              <w:jc w:val="both"/>
              <w:rPr>
                <w:bCs/>
                <w:color w:val="auto"/>
              </w:rPr>
            </w:pPr>
            <w:r>
              <w:rPr>
                <w:bCs/>
                <w:color w:val="auto"/>
              </w:rPr>
              <w:t>工程建设中损失和损坏的水土保持设施主要为项目永久占地和临时占地范围的土地。</w:t>
            </w:r>
          </w:p>
          <w:p>
            <w:pPr>
              <w:pStyle w:val="21"/>
              <w:spacing w:line="480" w:lineRule="exact"/>
              <w:ind w:firstLine="480" w:firstLineChars="200"/>
              <w:jc w:val="both"/>
              <w:rPr>
                <w:bCs/>
                <w:color w:val="auto"/>
              </w:rPr>
            </w:pPr>
            <w:r>
              <w:rPr>
                <w:bCs/>
                <w:color w:val="auto"/>
              </w:rPr>
              <w:t>项目临时用地包括施工便道、线外运输便道、建材堆放场等临时设施占地，可以结合城防工程永久占地等统筹安排。土地类型为硬化地面，其中损失和损坏的水土保持设施工程结束后恢复。</w:t>
            </w:r>
          </w:p>
          <w:p>
            <w:pPr>
              <w:pStyle w:val="21"/>
              <w:spacing w:line="480" w:lineRule="exact"/>
              <w:ind w:firstLine="480" w:firstLineChars="200"/>
              <w:rPr>
                <w:bCs/>
                <w:color w:val="auto"/>
              </w:rPr>
            </w:pPr>
            <w:r>
              <w:rPr>
                <w:bCs/>
                <w:color w:val="auto"/>
              </w:rPr>
              <w:t>（4）可能造成的水土流失</w:t>
            </w:r>
          </w:p>
          <w:p>
            <w:pPr>
              <w:pStyle w:val="21"/>
              <w:spacing w:line="480" w:lineRule="exact"/>
              <w:ind w:firstLine="480" w:firstLineChars="200"/>
              <w:rPr>
                <w:bCs/>
                <w:color w:val="auto"/>
              </w:rPr>
            </w:pPr>
            <w:r>
              <w:rPr>
                <w:bCs/>
                <w:color w:val="auto"/>
              </w:rPr>
              <w:t>本项目在建设工程中，一方面由于施工扰动沿线的地形地貌，破坏了原来的水土保持设施，使其原有的水土保持功能丧失或降低；另一方由于在施工中开挖、填筑、弃渣、土石方调用搬迁，极易造成水土流失。</w:t>
            </w:r>
          </w:p>
          <w:p>
            <w:pPr>
              <w:pStyle w:val="21"/>
              <w:spacing w:line="480" w:lineRule="exact"/>
              <w:ind w:firstLine="480" w:firstLineChars="200"/>
              <w:rPr>
                <w:bCs/>
                <w:color w:val="auto"/>
              </w:rPr>
            </w:pPr>
            <w:r>
              <w:rPr>
                <w:bCs/>
                <w:color w:val="auto"/>
              </w:rPr>
              <w:t>（5）采用先进的施工方法</w:t>
            </w:r>
          </w:p>
          <w:p>
            <w:pPr>
              <w:pStyle w:val="21"/>
              <w:spacing w:line="480" w:lineRule="exact"/>
              <w:ind w:firstLine="480" w:firstLineChars="200"/>
              <w:rPr>
                <w:bCs/>
                <w:color w:val="auto"/>
              </w:rPr>
            </w:pPr>
            <w:r>
              <w:rPr>
                <w:bCs/>
                <w:color w:val="auto"/>
              </w:rPr>
              <w:t>项目建设的开挖土方应以机械化施工为主，在减少扰动面积的同时，缩短施工期，尤其要注意开挖土的临时防护问题，并且要及时对不再扰动区恢复植被，减少水土流失量和水土流失危害。</w:t>
            </w:r>
          </w:p>
          <w:p>
            <w:pPr>
              <w:pStyle w:val="21"/>
              <w:spacing w:line="480" w:lineRule="exact"/>
              <w:ind w:firstLine="480" w:firstLineChars="200"/>
              <w:rPr>
                <w:bCs/>
                <w:color w:val="auto"/>
              </w:rPr>
            </w:pPr>
            <w:r>
              <w:rPr>
                <w:bCs/>
                <w:color w:val="auto"/>
              </w:rPr>
              <w:t>（6）施工要求</w:t>
            </w:r>
          </w:p>
          <w:p>
            <w:pPr>
              <w:pStyle w:val="21"/>
              <w:spacing w:line="480" w:lineRule="exact"/>
              <w:ind w:firstLine="480" w:firstLineChars="200"/>
              <w:rPr>
                <w:bCs/>
                <w:color w:val="auto"/>
              </w:rPr>
            </w:pPr>
            <w:r>
              <w:rPr>
                <w:bCs/>
                <w:color w:val="auto"/>
              </w:rPr>
              <w:t>a.严格按照先剥离表土集中堆放，后施工的施工工艺进行；</w:t>
            </w:r>
          </w:p>
          <w:p>
            <w:pPr>
              <w:pStyle w:val="21"/>
              <w:spacing w:line="480" w:lineRule="exact"/>
              <w:ind w:firstLine="480" w:firstLineChars="200"/>
              <w:rPr>
                <w:bCs/>
                <w:color w:val="auto"/>
              </w:rPr>
            </w:pPr>
            <w:r>
              <w:rPr>
                <w:bCs/>
                <w:color w:val="auto"/>
              </w:rPr>
              <w:t>b.加强挖填施工过程中的临时拦挡措施，减少施工过程中的水土流失；</w:t>
            </w:r>
          </w:p>
          <w:p>
            <w:pPr>
              <w:pStyle w:val="21"/>
              <w:spacing w:line="480" w:lineRule="exact"/>
              <w:ind w:firstLine="480" w:firstLineChars="200"/>
              <w:rPr>
                <w:bCs/>
                <w:color w:val="auto"/>
              </w:rPr>
            </w:pPr>
            <w:r>
              <w:rPr>
                <w:bCs/>
                <w:color w:val="auto"/>
              </w:rPr>
              <w:t>c.土方开挖时，应尽量避免在雨天施工，如果雨天施工，注意采取防护措施，防止水土流失发生；</w:t>
            </w:r>
          </w:p>
          <w:p>
            <w:pPr>
              <w:pStyle w:val="21"/>
              <w:spacing w:line="480" w:lineRule="exact"/>
              <w:ind w:firstLine="480" w:firstLineChars="200"/>
              <w:rPr>
                <w:bCs/>
                <w:color w:val="auto"/>
              </w:rPr>
            </w:pPr>
            <w:r>
              <w:rPr>
                <w:bCs/>
                <w:color w:val="auto"/>
              </w:rPr>
              <w:t>d.明确防治责任范围，限定作业面，在容许的范围内施工，不能堵塞、隔阻水流，保证河道行洪畅通。</w:t>
            </w:r>
          </w:p>
          <w:p>
            <w:pPr>
              <w:pStyle w:val="21"/>
              <w:spacing w:line="480" w:lineRule="exact"/>
              <w:ind w:firstLine="480" w:firstLineChars="200"/>
              <w:rPr>
                <w:bCs/>
                <w:color w:val="auto"/>
              </w:rPr>
            </w:pPr>
            <w:r>
              <w:rPr>
                <w:bCs/>
                <w:color w:val="auto"/>
              </w:rPr>
              <w:t>施工过程中还应注意水土保持应急措施，主要包括下雨的时候彩条布置覆盖裸露地表，覆盖松散土体，做好排水措施，避免场地积水，造成地基松软，影响稳定</w:t>
            </w:r>
            <w:r>
              <w:rPr>
                <w:rFonts w:hint="eastAsia"/>
                <w:bCs/>
                <w:color w:val="auto"/>
              </w:rPr>
              <w:t>、</w:t>
            </w:r>
            <w:r>
              <w:rPr>
                <w:bCs/>
                <w:color w:val="auto"/>
              </w:rPr>
              <w:t>安全。同时应避免流沙、流土流入项目附近的</w:t>
            </w:r>
            <w:r>
              <w:rPr>
                <w:rFonts w:hint="eastAsia"/>
                <w:bCs/>
                <w:color w:val="auto"/>
              </w:rPr>
              <w:t>周溪河</w:t>
            </w:r>
            <w:r>
              <w:rPr>
                <w:bCs/>
                <w:color w:val="auto"/>
              </w:rPr>
              <w:t>。施工单位应派专人负责沉砂池排水沟的清淤工作，平时注意定期清淤，在下雨前和下雨过程中加大清淤力度，以免造成雨水管网堵塞。</w:t>
            </w:r>
          </w:p>
          <w:p>
            <w:pPr>
              <w:pStyle w:val="21"/>
              <w:spacing w:line="480" w:lineRule="exact"/>
              <w:ind w:firstLine="480" w:firstLineChars="200"/>
              <w:rPr>
                <w:bCs/>
                <w:color w:val="auto"/>
              </w:rPr>
            </w:pPr>
            <w:r>
              <w:rPr>
                <w:bCs/>
                <w:color w:val="auto"/>
              </w:rPr>
              <w:t>若施工过程中及时采取水保措施，如在现场低洼处构筑足够容量的临时沉淀池截留泥沙、优化土石方的调配、合理安排施工进度、土石方工程和排水工程同步进行等措施后，建设项目所在地全年的水土流失量可降到很小。</w:t>
            </w:r>
          </w:p>
          <w:p>
            <w:pPr>
              <w:pStyle w:val="95"/>
              <w:tabs>
                <w:tab w:val="left" w:pos="7560"/>
              </w:tabs>
              <w:spacing w:line="480" w:lineRule="exact"/>
              <w:ind w:firstLine="422"/>
              <w:rPr>
                <w:b/>
                <w:color w:val="auto"/>
                <w:szCs w:val="24"/>
              </w:rPr>
            </w:pPr>
            <w:r>
              <w:rPr>
                <w:b/>
                <w:color w:val="auto"/>
              </w:rPr>
              <w:t>2、大气环境</w:t>
            </w:r>
            <w:r>
              <w:rPr>
                <w:b/>
                <w:color w:val="auto"/>
                <w:szCs w:val="24"/>
              </w:rPr>
              <w:t>影响分析</w:t>
            </w:r>
          </w:p>
          <w:p>
            <w:pPr>
              <w:adjustRightInd w:val="0"/>
              <w:snapToGrid w:val="0"/>
              <w:spacing w:line="480" w:lineRule="exact"/>
              <w:ind w:firstLine="600" w:firstLineChars="250"/>
              <w:rPr>
                <w:color w:val="auto"/>
                <w:sz w:val="24"/>
              </w:rPr>
            </w:pPr>
            <w:r>
              <w:rPr>
                <w:rFonts w:hint="eastAsia" w:ascii="宋体" w:hAnsi="宋体" w:cs="宋体"/>
                <w:color w:val="auto"/>
                <w:sz w:val="24"/>
              </w:rPr>
              <w:t>①</w:t>
            </w:r>
            <w:r>
              <w:rPr>
                <w:color w:val="auto"/>
                <w:sz w:val="24"/>
              </w:rPr>
              <w:t>施工前期的场地处理，在土壤的搬运、倾倒过程中，将有少量土壤从地面、施工机械、土壤中飞扬进入空气中。</w:t>
            </w:r>
          </w:p>
          <w:p>
            <w:pPr>
              <w:adjustRightInd w:val="0"/>
              <w:snapToGrid w:val="0"/>
              <w:spacing w:line="480" w:lineRule="exact"/>
              <w:ind w:firstLine="566" w:firstLineChars="236"/>
              <w:rPr>
                <w:color w:val="auto"/>
                <w:sz w:val="24"/>
              </w:rPr>
            </w:pPr>
            <w:r>
              <w:rPr>
                <w:rFonts w:hint="eastAsia" w:ascii="宋体" w:hAnsi="宋体" w:cs="宋体"/>
                <w:color w:val="auto"/>
                <w:sz w:val="24"/>
              </w:rPr>
              <w:t>②</w:t>
            </w:r>
            <w:r>
              <w:rPr>
                <w:color w:val="auto"/>
                <w:sz w:val="24"/>
              </w:rPr>
              <w:t>施工期间运送散装建筑材料的车辆运输工程中，将有少量物料洒落进入空气中，另外车辆在经过未铺设的路面或有较多尘土的路面时，将有路面扬尘产生。</w:t>
            </w:r>
          </w:p>
          <w:p>
            <w:pPr>
              <w:adjustRightInd w:val="0"/>
              <w:snapToGrid w:val="0"/>
              <w:spacing w:line="480" w:lineRule="exact"/>
              <w:ind w:firstLine="566" w:firstLineChars="236"/>
              <w:rPr>
                <w:color w:val="auto"/>
                <w:sz w:val="24"/>
              </w:rPr>
            </w:pPr>
            <w:r>
              <w:rPr>
                <w:rFonts w:hint="eastAsia" w:ascii="宋体" w:hAnsi="宋体" w:cs="宋体"/>
                <w:color w:val="auto"/>
                <w:sz w:val="24"/>
              </w:rPr>
              <w:t>③</w:t>
            </w:r>
            <w:r>
              <w:rPr>
                <w:color w:val="auto"/>
                <w:sz w:val="24"/>
              </w:rPr>
              <w:t>制备建筑材料的工程，如混凝土搅拌，将有粉状物料逸散。</w:t>
            </w:r>
          </w:p>
          <w:p>
            <w:pPr>
              <w:adjustRightInd w:val="0"/>
              <w:snapToGrid w:val="0"/>
              <w:spacing w:line="480" w:lineRule="exact"/>
              <w:ind w:firstLine="566" w:firstLineChars="236"/>
              <w:rPr>
                <w:color w:val="auto"/>
                <w:sz w:val="24"/>
              </w:rPr>
            </w:pPr>
            <w:r>
              <w:rPr>
                <w:rFonts w:hint="eastAsia" w:ascii="宋体" w:hAnsi="宋体" w:cs="宋体"/>
                <w:color w:val="auto"/>
                <w:sz w:val="24"/>
              </w:rPr>
              <w:t>④</w:t>
            </w:r>
            <w:r>
              <w:rPr>
                <w:color w:val="auto"/>
                <w:sz w:val="24"/>
              </w:rPr>
              <w:t>原料堆场和暴露松散土壤的工作面，受风吹时，表面侵蚀随风飞扬进入空气。</w:t>
            </w:r>
          </w:p>
          <w:p>
            <w:pPr>
              <w:spacing w:line="460" w:lineRule="exact"/>
              <w:ind w:firstLine="480" w:firstLineChars="200"/>
              <w:rPr>
                <w:bCs/>
                <w:color w:val="auto"/>
                <w:sz w:val="24"/>
              </w:rPr>
            </w:pPr>
            <w:r>
              <w:rPr>
                <w:rFonts w:hint="eastAsia" w:hAnsi="宋体"/>
                <w:color w:val="auto"/>
                <w:sz w:val="24"/>
              </w:rPr>
              <w:t>为减轻项目对周围敏感点的影响</w:t>
            </w:r>
            <w:r>
              <w:rPr>
                <w:rFonts w:hAnsi="宋体"/>
                <w:color w:val="auto"/>
                <w:sz w:val="24"/>
              </w:rPr>
              <w:t>，施工单位必须采取以下措施：</w:t>
            </w:r>
          </w:p>
          <w:p>
            <w:pPr>
              <w:spacing w:line="460" w:lineRule="exact"/>
              <w:ind w:firstLine="480" w:firstLineChars="200"/>
              <w:rPr>
                <w:rFonts w:hAnsi="宋体"/>
                <w:color w:val="auto"/>
                <w:sz w:val="24"/>
              </w:rPr>
            </w:pPr>
            <w:r>
              <w:rPr>
                <w:rFonts w:hint="eastAsia" w:hAnsi="宋体"/>
                <w:color w:val="auto"/>
                <w:sz w:val="24"/>
              </w:rPr>
              <w:t>（1）依法申报：工程建设单位应按照《中华人民共和国环境影响评价法》和《建设项目环境保护管理条例》的相关规定，向当地环境保护行政主管部门提供施工扬尘防治实施方案，并提请排污申报。工程建设单位应按照下面条款制定施工扬尘污染防治方案，根据施工工序编制施工期内扬尘污染防治任务书，实施扬尘防治全过程管理，落实到每个施工工序。</w:t>
            </w:r>
          </w:p>
          <w:p>
            <w:pPr>
              <w:spacing w:line="460" w:lineRule="exact"/>
              <w:ind w:firstLine="480" w:firstLineChars="200"/>
              <w:rPr>
                <w:rFonts w:hAnsi="宋体"/>
                <w:color w:val="auto"/>
                <w:sz w:val="24"/>
              </w:rPr>
            </w:pPr>
            <w:r>
              <w:rPr>
                <w:rFonts w:hint="eastAsia" w:hAnsi="宋体"/>
                <w:color w:val="auto"/>
                <w:sz w:val="24"/>
              </w:rPr>
              <w:t>（2）施工场所和扬尘污染防治</w:t>
            </w:r>
          </w:p>
          <w:p>
            <w:pPr>
              <w:spacing w:line="460" w:lineRule="exact"/>
              <w:ind w:firstLine="480" w:firstLineChars="200"/>
              <w:rPr>
                <w:rFonts w:hAnsi="宋体"/>
                <w:color w:val="auto"/>
                <w:sz w:val="24"/>
              </w:rPr>
            </w:pPr>
            <w:r>
              <w:rPr>
                <w:rFonts w:hint="eastAsia" w:hAnsi="宋体"/>
                <w:color w:val="auto"/>
                <w:sz w:val="24"/>
              </w:rPr>
              <w:t>1）施工标志牌的规格和内容。施工期间，施工实施单位应根据《建设工程施工现场管理规定》的规定设置现场平面布置图、工程概况牌、安全生产牌、消防保卫牌、文明施工牌、环境保护牌、管理人员名单及监督电话牌等。</w:t>
            </w:r>
          </w:p>
          <w:p>
            <w:pPr>
              <w:spacing w:line="460" w:lineRule="exact"/>
              <w:ind w:firstLine="480" w:firstLineChars="200"/>
              <w:rPr>
                <w:rFonts w:hAnsi="宋体"/>
                <w:color w:val="auto"/>
                <w:sz w:val="24"/>
              </w:rPr>
            </w:pPr>
            <w:r>
              <w:rPr>
                <w:rFonts w:hint="eastAsia" w:hAnsi="宋体"/>
                <w:color w:val="auto"/>
                <w:sz w:val="24"/>
              </w:rPr>
              <w:t>2）</w:t>
            </w:r>
            <w:r>
              <w:rPr>
                <w:rFonts w:hint="eastAsia" w:ascii="宋体" w:hAnsi="宋体"/>
                <w:color w:val="auto"/>
                <w:sz w:val="24"/>
              </w:rPr>
              <w:t>在自然风情况下产生的扬尘影响范围为</w:t>
            </w:r>
            <w:r>
              <w:rPr>
                <w:color w:val="auto"/>
                <w:sz w:val="24"/>
              </w:rPr>
              <w:t>100m</w:t>
            </w:r>
            <w:r>
              <w:rPr>
                <w:rFonts w:hint="eastAsia" w:ascii="宋体" w:hAnsi="宋体"/>
                <w:color w:val="auto"/>
                <w:sz w:val="24"/>
              </w:rPr>
              <w:t>以内，此时应每天洒水4-5次，当风速增大时应增加洒水次数，以此降低施工扬尘对周边敏感点的影响。</w:t>
            </w:r>
          </w:p>
          <w:p>
            <w:pPr>
              <w:spacing w:line="460" w:lineRule="exact"/>
              <w:ind w:firstLine="480" w:firstLineChars="200"/>
              <w:rPr>
                <w:rFonts w:hAnsi="宋体"/>
                <w:color w:val="auto"/>
                <w:sz w:val="24"/>
              </w:rPr>
            </w:pPr>
            <w:r>
              <w:rPr>
                <w:rFonts w:hint="eastAsia" w:hAnsi="宋体"/>
                <w:color w:val="auto"/>
                <w:sz w:val="24"/>
              </w:rPr>
              <w:t>3）围挡、围栏及防溢座的设置。建筑物的拆迁和施工期间，土建工地边界应设置高度2.5米以上的围挡；各类管线敷设工程，其边界应设1.5米以上的封闭式或半封闭式路栏；其余设置1.8米以上围挡。围挡底端应设置防溢座，围挡之间以及围挡与防溢座之间无缝隙。对于特殊地点无法设置围挡、围栏及防溢座的，应设置警示牌。</w:t>
            </w:r>
          </w:p>
          <w:p>
            <w:pPr>
              <w:spacing w:line="460" w:lineRule="exact"/>
              <w:ind w:firstLine="480" w:firstLineChars="200"/>
              <w:rPr>
                <w:rFonts w:hAnsi="宋体"/>
                <w:color w:val="auto"/>
                <w:sz w:val="24"/>
              </w:rPr>
            </w:pPr>
            <w:r>
              <w:rPr>
                <w:rFonts w:hint="eastAsia" w:hAnsi="宋体"/>
                <w:color w:val="auto"/>
                <w:sz w:val="24"/>
              </w:rPr>
              <w:t>4）土方工程防尘措施。土方工程包括土的开挖、运输和填筑等施工过程，有时还需进行排水、降水、土壁支撑等准备工作。遇到干燥、易起尘的土方工程作业时，应辅以洒水压尘，尽量缩短起尘操作时间。遇到四级或四级以上大风天气，应停止土方作业，同时作业处覆以防尘网。</w:t>
            </w:r>
          </w:p>
          <w:p>
            <w:pPr>
              <w:spacing w:line="460" w:lineRule="exact"/>
              <w:ind w:firstLine="480" w:firstLineChars="200"/>
              <w:rPr>
                <w:rFonts w:hAnsi="宋体"/>
                <w:color w:val="auto"/>
                <w:sz w:val="24"/>
              </w:rPr>
            </w:pPr>
            <w:r>
              <w:rPr>
                <w:rFonts w:hint="eastAsia" w:hAnsi="宋体"/>
                <w:color w:val="auto"/>
                <w:sz w:val="24"/>
              </w:rPr>
              <w:t>5）建筑材料的防尘管理措施。施工过程中使用水泥、石灰、砂石、涂料、铺装材料等易产生扬尘的建筑材料，应根据情况采取下列措施：密闭存储；设置围挡或堆砌围墙；采用防尘布苫盖；其他有效的防尘措施。</w:t>
            </w:r>
          </w:p>
          <w:p>
            <w:pPr>
              <w:spacing w:line="460" w:lineRule="exact"/>
              <w:ind w:firstLine="480" w:firstLineChars="200"/>
              <w:rPr>
                <w:rFonts w:hAnsi="宋体"/>
                <w:color w:val="auto"/>
                <w:sz w:val="24"/>
              </w:rPr>
            </w:pPr>
            <w:r>
              <w:rPr>
                <w:rFonts w:hint="eastAsia" w:hAnsi="宋体"/>
                <w:color w:val="auto"/>
                <w:sz w:val="24"/>
              </w:rPr>
              <w:t>6）建筑垃圾的防尘管理措施。施工工程中产生的弃土、弃料及其他建筑垃圾，应及时清运。若在工地内堆置超过一周的，则应根据情况采取下列措施，防止风蚀起尘及水蚀迁移：覆盖防尘布、防尘网；定期喷洒抑尘剂；定期喷水压尘；其他有效的防尘措施。</w:t>
            </w:r>
          </w:p>
          <w:p>
            <w:pPr>
              <w:spacing w:line="460" w:lineRule="exact"/>
              <w:ind w:firstLine="480" w:firstLineChars="200"/>
              <w:rPr>
                <w:rFonts w:hAnsi="宋体"/>
                <w:color w:val="auto"/>
                <w:sz w:val="24"/>
              </w:rPr>
            </w:pPr>
            <w:r>
              <w:rPr>
                <w:rFonts w:hint="eastAsia" w:hAnsi="宋体"/>
                <w:color w:val="auto"/>
                <w:sz w:val="24"/>
              </w:rPr>
              <w:t>7）设置洗车平台，完善排水设施，防止泥土粘带。施工期间，应在物料、渣土、垃圾运输车辆的出口内侧设置洗车平台，车辆驶离工地前，应在洗车平台清洗轮胎及车身，不得带泥上路。洗车平台四周应设置防溢座、废水导流渠、废水收集池、沉砂池及其它防治设施，收集洗车、施工以及降水过程中产生的废水和泥浆。工地出口处铺装道路上可见粘带泥土不得超过10米，并应及时清扫冲洗。</w:t>
            </w:r>
          </w:p>
          <w:p>
            <w:pPr>
              <w:spacing w:line="460" w:lineRule="exact"/>
              <w:ind w:firstLine="480" w:firstLineChars="200"/>
              <w:rPr>
                <w:rFonts w:hAnsi="宋体"/>
                <w:color w:val="auto"/>
                <w:sz w:val="24"/>
              </w:rPr>
            </w:pPr>
            <w:r>
              <w:rPr>
                <w:rFonts w:hint="eastAsia" w:hAnsi="宋体"/>
                <w:color w:val="auto"/>
                <w:sz w:val="24"/>
              </w:rPr>
              <w:t>8）进出工地的物料、渣土、垃圾运输车辆的防尘措施、运输路线和时间。进出工地的物料、渣土、垃圾运输车辆，应尽可能采用密闭车斗，并保证物料不遗撒外漏。若无密闭车斗，物料、垃圾、渣土的装载高度不得超过车辆槽帮上沿，车斗应用苫布遮盖严实。苫布边缘至少要遮住槽帮上沿以下15厘米，保证物料、渣土、垃圾等不露出。车辆应按照批准的路线和时间进行物料、渣土、垃圾的运输。</w:t>
            </w:r>
          </w:p>
          <w:p>
            <w:pPr>
              <w:spacing w:line="460" w:lineRule="exact"/>
              <w:ind w:firstLine="480" w:firstLineChars="200"/>
              <w:rPr>
                <w:rFonts w:hAnsi="宋体"/>
                <w:color w:val="auto"/>
                <w:sz w:val="24"/>
              </w:rPr>
            </w:pPr>
            <w:r>
              <w:rPr>
                <w:rFonts w:hint="eastAsia" w:hAnsi="宋体"/>
                <w:color w:val="auto"/>
                <w:sz w:val="24"/>
              </w:rPr>
              <w:t>9）施工工地道路防尘措施。施工期间，施工工地内及工地出口至铺装道路间的车行道路，应根据情况采取下列措施，并保持路面清洁，防止机动车扬尘：</w:t>
            </w:r>
          </w:p>
          <w:p>
            <w:pPr>
              <w:spacing w:line="460" w:lineRule="exact"/>
              <w:ind w:firstLine="480" w:firstLineChars="200"/>
              <w:rPr>
                <w:rFonts w:hAnsi="宋体"/>
                <w:color w:val="auto"/>
                <w:sz w:val="24"/>
              </w:rPr>
            </w:pPr>
            <w:r>
              <w:rPr>
                <w:rFonts w:hint="eastAsia" w:hAnsi="宋体"/>
                <w:color w:val="auto"/>
                <w:sz w:val="24"/>
              </w:rPr>
              <w:t>铺设钢板；铺设水泥混凝土；铺设沥青混凝土；铺设用礁渣、细石或其它功能相当的材料等，并辅以洒水、喷洒抑尘剂等措施；其他有效的防尘措施。</w:t>
            </w:r>
          </w:p>
          <w:p>
            <w:pPr>
              <w:spacing w:line="460" w:lineRule="exact"/>
              <w:ind w:firstLine="480" w:firstLineChars="200"/>
              <w:rPr>
                <w:color w:val="auto"/>
                <w:sz w:val="24"/>
              </w:rPr>
            </w:pPr>
            <w:r>
              <w:rPr>
                <w:rFonts w:hint="eastAsia" w:hAnsi="宋体"/>
                <w:color w:val="auto"/>
                <w:sz w:val="24"/>
              </w:rPr>
              <w:t>1</w:t>
            </w:r>
            <w:r>
              <w:rPr>
                <w:rFonts w:hAnsi="宋体"/>
                <w:color w:val="auto"/>
                <w:sz w:val="24"/>
              </w:rPr>
              <w:t>0</w:t>
            </w:r>
            <w:r>
              <w:rPr>
                <w:rFonts w:hint="eastAsia" w:hAnsi="宋体"/>
                <w:color w:val="auto"/>
                <w:sz w:val="24"/>
              </w:rPr>
              <w:t>）施工工地道路积尘清洁措施。可采用吸尘或水冲洗的方法清洁施工工地道路积尘，不得在</w:t>
            </w:r>
            <w:r>
              <w:rPr>
                <w:color w:val="auto"/>
                <w:sz w:val="24"/>
              </w:rPr>
              <w:t>未实施洒水等抑尘措施情况下进行直接清扫。</w:t>
            </w:r>
          </w:p>
          <w:p>
            <w:pPr>
              <w:spacing w:line="460" w:lineRule="exact"/>
              <w:ind w:firstLine="480" w:firstLineChars="200"/>
              <w:rPr>
                <w:color w:val="auto"/>
                <w:sz w:val="24"/>
              </w:rPr>
            </w:pPr>
            <w:r>
              <w:rPr>
                <w:rFonts w:hint="eastAsia"/>
                <w:color w:val="auto"/>
                <w:sz w:val="24"/>
              </w:rPr>
              <w:t>1</w:t>
            </w:r>
            <w:r>
              <w:rPr>
                <w:color w:val="auto"/>
                <w:sz w:val="24"/>
              </w:rPr>
              <w:t>1</w:t>
            </w:r>
            <w:r>
              <w:rPr>
                <w:rFonts w:hint="eastAsia"/>
                <w:color w:val="auto"/>
                <w:sz w:val="24"/>
              </w:rPr>
              <w:t>）</w:t>
            </w:r>
            <w:r>
              <w:rPr>
                <w:color w:val="auto"/>
                <w:sz w:val="24"/>
              </w:rPr>
              <w:t>施工工地内部裸地防尘措施。施工期间，对于工地内裸露地面，应根据情况采取下列防尘措施：覆盖防尘布或防尘网；铺设礁渣、细石或其他功能相当的材料；植被绿化；晴朗天气时，视情况每周等时间隔洒水二至七次，扬尘严重时应加大洒水频率；根据抑尘剂性能，定期喷洒抑尘剂；其他有效的防尘措施。</w:t>
            </w:r>
          </w:p>
          <w:p>
            <w:pPr>
              <w:spacing w:line="460" w:lineRule="exact"/>
              <w:ind w:firstLine="480" w:firstLineChars="200"/>
              <w:rPr>
                <w:color w:val="auto"/>
                <w:sz w:val="24"/>
              </w:rPr>
            </w:pPr>
            <w:r>
              <w:rPr>
                <w:rFonts w:eastAsiaTheme="minorEastAsia"/>
                <w:color w:val="auto"/>
                <w:sz w:val="24"/>
              </w:rPr>
              <w:t>12）</w:t>
            </w:r>
            <w:r>
              <w:rPr>
                <w:color w:val="auto"/>
                <w:sz w:val="24"/>
              </w:rPr>
              <w:t>施工期间，应在工地建筑结构脚手架外侧设置有效抑尘的密目防尘网(不低于3200目/100cm</w:t>
            </w:r>
            <w:r>
              <w:rPr>
                <w:color w:val="auto"/>
                <w:sz w:val="24"/>
                <w:vertAlign w:val="superscript"/>
              </w:rPr>
              <w:t>2</w:t>
            </w:r>
            <w:r>
              <w:rPr>
                <w:color w:val="auto"/>
                <w:sz w:val="24"/>
              </w:rPr>
              <w:t>)或防尘布。</w:t>
            </w:r>
          </w:p>
          <w:p>
            <w:pPr>
              <w:spacing w:line="460" w:lineRule="exact"/>
              <w:ind w:firstLine="480" w:firstLineChars="200"/>
              <w:rPr>
                <w:color w:val="auto"/>
                <w:sz w:val="24"/>
              </w:rPr>
            </w:pPr>
            <w:r>
              <w:rPr>
                <w:rFonts w:eastAsiaTheme="minorEastAsia"/>
                <w:color w:val="auto"/>
                <w:sz w:val="24"/>
              </w:rPr>
              <w:t>13）</w:t>
            </w:r>
            <w:r>
              <w:rPr>
                <w:color w:val="auto"/>
                <w:sz w:val="24"/>
              </w:rPr>
              <w:t>混凝土的防尘措施。施工期间需使用混凝土时，可使用预拌商品混凝土或者进行密闭搅拌并配备防尘除尘装置，不得现场露天搅拌混凝土、消化石灰及拌石灰土等。应尽量采用石材、木制等成品或半成品，实施装配式施工，减少因石材、木制品切割所造成的扬尘污染。</w:t>
            </w:r>
          </w:p>
          <w:p>
            <w:pPr>
              <w:spacing w:line="460" w:lineRule="exact"/>
              <w:ind w:firstLine="480" w:firstLineChars="200"/>
              <w:rPr>
                <w:color w:val="auto"/>
                <w:sz w:val="24"/>
              </w:rPr>
            </w:pPr>
            <w:r>
              <w:rPr>
                <w:rFonts w:eastAsiaTheme="minorEastAsia"/>
                <w:color w:val="auto"/>
                <w:sz w:val="24"/>
              </w:rPr>
              <w:t>14）</w:t>
            </w:r>
            <w:r>
              <w:rPr>
                <w:color w:val="auto"/>
                <w:sz w:val="24"/>
              </w:rPr>
              <w:t>物料、渣土、垃圾等纵向输送作业的防尘措施。施工期间，工地内从建筑上层将具有粉尘逸散性的物料、渣土或废弃物输送至地面或地下楼层时，可从电梯孔道、建筑内部管道或密闭输送管道输送，或者打包装框搬运，不得凌空抛撒。</w:t>
            </w:r>
          </w:p>
          <w:p>
            <w:pPr>
              <w:spacing w:line="460" w:lineRule="exact"/>
              <w:ind w:firstLine="480" w:firstLineChars="200"/>
              <w:rPr>
                <w:color w:val="auto"/>
                <w:sz w:val="24"/>
              </w:rPr>
            </w:pPr>
            <w:r>
              <w:rPr>
                <w:rFonts w:eastAsiaTheme="minorEastAsia"/>
                <w:color w:val="auto"/>
                <w:sz w:val="24"/>
              </w:rPr>
              <w:t>15）</w:t>
            </w:r>
            <w:r>
              <w:rPr>
                <w:color w:val="auto"/>
                <w:sz w:val="24"/>
              </w:rPr>
              <w:t>各工地应有专人负责逸散性材料、垃圾、渣土、裸地等密闭、覆盖、洒水作业以及车辆清洗作业等，并记录扬尘控制措施的实施情况。</w:t>
            </w:r>
          </w:p>
          <w:p>
            <w:pPr>
              <w:spacing w:line="460" w:lineRule="exact"/>
              <w:ind w:firstLine="480" w:firstLineChars="200"/>
              <w:rPr>
                <w:color w:val="auto"/>
                <w:sz w:val="24"/>
              </w:rPr>
            </w:pPr>
            <w:r>
              <w:rPr>
                <w:color w:val="auto"/>
                <w:sz w:val="24"/>
              </w:rPr>
              <w:t>16）工地周围环境的保洁。施工单位保洁责任区的范围应根据施工扬尘影响情况确定，一般设在施工工地周围20米范围内。</w:t>
            </w:r>
          </w:p>
          <w:p>
            <w:pPr>
              <w:spacing w:line="460" w:lineRule="exact"/>
              <w:ind w:firstLine="480" w:firstLineChars="200"/>
              <w:rPr>
                <w:color w:val="auto"/>
                <w:sz w:val="24"/>
              </w:rPr>
            </w:pPr>
            <w:r>
              <w:rPr>
                <w:rFonts w:eastAsiaTheme="minorEastAsia"/>
                <w:color w:val="auto"/>
                <w:sz w:val="24"/>
              </w:rPr>
              <w:t>17）</w:t>
            </w:r>
            <w:r>
              <w:rPr>
                <w:color w:val="auto"/>
                <w:sz w:val="24"/>
              </w:rPr>
              <w:t>临建设施中表土及土方临时堆放区应采取篷布覆盖等措施进行密闭处理。</w:t>
            </w:r>
          </w:p>
          <w:p>
            <w:pPr>
              <w:spacing w:line="460" w:lineRule="exact"/>
              <w:ind w:firstLine="480" w:firstLineChars="200"/>
              <w:rPr>
                <w:color w:val="auto"/>
                <w:sz w:val="24"/>
              </w:rPr>
            </w:pPr>
            <w:r>
              <w:rPr>
                <w:rFonts w:eastAsiaTheme="minorEastAsia"/>
                <w:color w:val="auto"/>
                <w:sz w:val="24"/>
              </w:rPr>
              <w:t>18）</w:t>
            </w:r>
            <w:r>
              <w:rPr>
                <w:color w:val="auto"/>
                <w:sz w:val="24"/>
              </w:rPr>
              <w:t>针对周边敏感点临近施工场地的特点，在敏感点一侧施工场界适当加高施工屏障，建筑物施工采用篷布围挡，在恶劣气象条件时应采取相应的防尘降尘措施，在易起尘点进行覆盖，区内定期洒水等措施，派专人巡视并做好记录。施工期间还应加强对敏感点扬尘的监测，若监测超标或收到居民师生的投诉，应立即采取有效的防尘抑尘措施，并加强监测直到达标为止。</w:t>
            </w:r>
          </w:p>
          <w:p>
            <w:pPr>
              <w:snapToGrid w:val="0"/>
              <w:spacing w:line="460" w:lineRule="exact"/>
              <w:ind w:firstLine="480" w:firstLineChars="200"/>
              <w:rPr>
                <w:color w:val="auto"/>
                <w:sz w:val="24"/>
              </w:rPr>
            </w:pPr>
            <w:r>
              <w:rPr>
                <w:rFonts w:hint="eastAsia" w:ascii="宋体" w:hAnsi="宋体"/>
                <w:color w:val="auto"/>
                <w:sz w:val="24"/>
              </w:rPr>
              <w:t>综上所述，通过加强施工管理，采取以上一系列措施，可大幅度降低施工造成的大气污染</w:t>
            </w:r>
            <w:r>
              <w:rPr>
                <w:rFonts w:hint="eastAsia"/>
                <w:color w:val="auto"/>
                <w:sz w:val="24"/>
              </w:rPr>
              <w:t>。</w:t>
            </w:r>
          </w:p>
          <w:p>
            <w:pPr>
              <w:adjustRightInd w:val="0"/>
              <w:snapToGrid w:val="0"/>
              <w:spacing w:line="480" w:lineRule="exact"/>
              <w:ind w:left="449"/>
              <w:rPr>
                <w:b/>
                <w:color w:val="auto"/>
                <w:sz w:val="24"/>
              </w:rPr>
            </w:pPr>
            <w:r>
              <w:rPr>
                <w:b/>
                <w:color w:val="auto"/>
                <w:sz w:val="24"/>
              </w:rPr>
              <w:t>3、水环境影响分析</w:t>
            </w:r>
          </w:p>
          <w:p>
            <w:pPr>
              <w:adjustRightInd w:val="0"/>
              <w:snapToGrid w:val="0"/>
              <w:spacing w:line="480" w:lineRule="exact"/>
              <w:ind w:firstLine="480" w:firstLineChars="200"/>
              <w:rPr>
                <w:color w:val="auto"/>
                <w:sz w:val="24"/>
              </w:rPr>
            </w:pPr>
            <w:r>
              <w:rPr>
                <w:color w:val="auto"/>
                <w:sz w:val="24"/>
              </w:rPr>
              <w:t>项目产生的废水主要包括施工时产生的施工污水（包括机械设备、车辆的冲洗用水）、</w:t>
            </w:r>
            <w:r>
              <w:rPr>
                <w:rFonts w:hint="eastAsia"/>
                <w:color w:val="auto"/>
                <w:sz w:val="24"/>
              </w:rPr>
              <w:t>来</w:t>
            </w:r>
            <w:r>
              <w:rPr>
                <w:color w:val="auto"/>
                <w:sz w:val="24"/>
              </w:rPr>
              <w:t>自暴雨的地表径流</w:t>
            </w:r>
            <w:r>
              <w:rPr>
                <w:rFonts w:hint="eastAsia"/>
                <w:color w:val="auto"/>
                <w:sz w:val="24"/>
              </w:rPr>
              <w:t>及试压废水</w:t>
            </w:r>
            <w:r>
              <w:rPr>
                <w:color w:val="auto"/>
                <w:sz w:val="24"/>
              </w:rPr>
              <w:t>等，</w:t>
            </w:r>
            <w:r>
              <w:rPr>
                <w:rFonts w:hint="eastAsia"/>
                <w:color w:val="auto"/>
                <w:sz w:val="24"/>
              </w:rPr>
              <w:t>施工人员</w:t>
            </w:r>
            <w:r>
              <w:rPr>
                <w:color w:val="auto"/>
                <w:sz w:val="24"/>
              </w:rPr>
              <w:t>生活依托周边设施解决。</w:t>
            </w:r>
          </w:p>
          <w:p>
            <w:pPr>
              <w:adjustRightInd w:val="0"/>
              <w:snapToGrid w:val="0"/>
              <w:spacing w:line="480" w:lineRule="exact"/>
              <w:ind w:firstLine="480" w:firstLineChars="200"/>
              <w:rPr>
                <w:color w:val="auto"/>
                <w:sz w:val="24"/>
              </w:rPr>
            </w:pPr>
            <w:r>
              <w:rPr>
                <w:color w:val="auto"/>
                <w:sz w:val="24"/>
              </w:rPr>
              <w:t>施工污水：施工污水主要是施工机械含油污水，运输车辆、作业机械的跑、冒、滴、漏的油污、机械设备和车辆的冲洗及露天机械被雨水冲刷后产生一定量的含油污水，由于产生量极少，所以对地表水环境影响较</w:t>
            </w:r>
            <w:r>
              <w:rPr>
                <w:rFonts w:hint="eastAsia"/>
                <w:color w:val="auto"/>
                <w:sz w:val="24"/>
              </w:rPr>
              <w:t>小</w:t>
            </w:r>
            <w:r>
              <w:rPr>
                <w:color w:val="auto"/>
                <w:sz w:val="24"/>
              </w:rPr>
              <w:t>。</w:t>
            </w:r>
          </w:p>
          <w:p>
            <w:pPr>
              <w:adjustRightInd w:val="0"/>
              <w:snapToGrid w:val="0"/>
              <w:spacing w:line="460" w:lineRule="exact"/>
              <w:ind w:firstLine="480" w:firstLineChars="200"/>
              <w:rPr>
                <w:rFonts w:ascii="宋体" w:hAnsi="宋体"/>
                <w:color w:val="auto"/>
                <w:sz w:val="24"/>
              </w:rPr>
            </w:pPr>
            <w:r>
              <w:rPr>
                <w:rFonts w:hint="eastAsia"/>
                <w:color w:val="auto"/>
                <w:sz w:val="24"/>
              </w:rPr>
              <w:t>施工人员生活污水：施工人员生活污水依托周边民居解决，生活污水</w:t>
            </w:r>
            <w:r>
              <w:rPr>
                <w:rFonts w:hint="eastAsia" w:ascii="宋体" w:hAnsi="宋体"/>
                <w:color w:val="auto"/>
                <w:sz w:val="24"/>
              </w:rPr>
              <w:t>经三级化粪池预处理后接入市政污水管网，对水环境影响不大。</w:t>
            </w:r>
          </w:p>
          <w:p>
            <w:pPr>
              <w:adjustRightInd w:val="0"/>
              <w:snapToGrid w:val="0"/>
              <w:spacing w:line="460" w:lineRule="exact"/>
              <w:ind w:firstLine="480" w:firstLineChars="200"/>
              <w:rPr>
                <w:color w:val="auto"/>
                <w:sz w:val="24"/>
              </w:rPr>
            </w:pPr>
            <w:r>
              <w:rPr>
                <w:color w:val="auto"/>
                <w:sz w:val="24"/>
              </w:rPr>
              <w:t>工程施工期间，施工单位应严格执行《建设工程施工场地文明施工及环境管理暂行规定》，对地面水的排放进行组织设计，严禁乱排、乱流而污染道路、环境或淹没市政设施。施工时产生的泥浆水及冲孔钻孔柱产生的泥浆未经处理不得随意排放，不得污染现场及周围环境。在回填土堆放场、施工泥浆产生点应设置临时沉砂池，含泥沙雨水、泥浆水以沉砂池沉淀后，沉淀后的泥渣运往市政规定余泥渣土受纳</w:t>
            </w:r>
            <w:r>
              <w:rPr>
                <w:rFonts w:hint="eastAsia"/>
                <w:color w:val="auto"/>
                <w:sz w:val="24"/>
              </w:rPr>
              <w:t>点</w:t>
            </w:r>
            <w:r>
              <w:rPr>
                <w:color w:val="auto"/>
                <w:sz w:val="24"/>
              </w:rPr>
              <w:t xml:space="preserve">处置，沉淀后的水回用于场地洒水。 </w:t>
            </w:r>
          </w:p>
          <w:p>
            <w:pPr>
              <w:adjustRightInd w:val="0"/>
              <w:snapToGrid w:val="0"/>
              <w:spacing w:line="460" w:lineRule="exact"/>
              <w:ind w:firstLine="480" w:firstLineChars="200"/>
              <w:rPr>
                <w:color w:val="auto"/>
                <w:sz w:val="24"/>
              </w:rPr>
            </w:pPr>
            <w:r>
              <w:rPr>
                <w:color w:val="auto"/>
                <w:sz w:val="24"/>
              </w:rPr>
              <w:t>为进一步保护环境，建设单位在施工期应落实的水污染防治措施为：</w:t>
            </w:r>
          </w:p>
          <w:p>
            <w:pPr>
              <w:adjustRightInd w:val="0"/>
              <w:snapToGrid w:val="0"/>
              <w:spacing w:line="460" w:lineRule="exact"/>
              <w:ind w:firstLine="480" w:firstLineChars="200"/>
              <w:rPr>
                <w:color w:val="auto"/>
                <w:sz w:val="24"/>
              </w:rPr>
            </w:pPr>
            <w:r>
              <w:rPr>
                <w:rFonts w:hint="eastAsia"/>
                <w:color w:val="auto"/>
                <w:sz w:val="24"/>
              </w:rPr>
              <w:t>①</w:t>
            </w:r>
            <w:r>
              <w:rPr>
                <w:color w:val="auto"/>
                <w:sz w:val="24"/>
              </w:rPr>
              <w:t>合理安排施工时间，避开雨天施工。施工单位应根据</w:t>
            </w:r>
            <w:r>
              <w:rPr>
                <w:rFonts w:hint="eastAsia"/>
                <w:color w:val="auto"/>
                <w:sz w:val="24"/>
              </w:rPr>
              <w:t>梅州市</w:t>
            </w:r>
            <w:r>
              <w:rPr>
                <w:color w:val="auto"/>
                <w:sz w:val="24"/>
              </w:rPr>
              <w:t>的降雨特征，制定雨季、特别是暴雨期的排水应急响应工作方案，以便在需要时实施，避免雨季排水不畅对周围环境产生影响。</w:t>
            </w:r>
          </w:p>
          <w:p>
            <w:pPr>
              <w:adjustRightInd w:val="0"/>
              <w:snapToGrid w:val="0"/>
              <w:spacing w:line="460" w:lineRule="exact"/>
              <w:ind w:firstLine="480" w:firstLineChars="200"/>
              <w:rPr>
                <w:color w:val="auto"/>
                <w:sz w:val="24"/>
              </w:rPr>
            </w:pPr>
            <w:r>
              <w:rPr>
                <w:rFonts w:hint="eastAsia" w:ascii="宋体" w:hAnsi="宋体" w:cs="宋体"/>
                <w:color w:val="auto"/>
                <w:sz w:val="24"/>
              </w:rPr>
              <w:t>②</w:t>
            </w:r>
            <w:r>
              <w:rPr>
                <w:color w:val="auto"/>
                <w:sz w:val="24"/>
              </w:rPr>
              <w:t>加强施工期管理，严禁将施工期产生的水、固废等污染物排入周边地表水体。项目实行分段施工，可通过制定合理的施工计划加快施工进度及控制施工作业面。</w:t>
            </w:r>
          </w:p>
          <w:p>
            <w:pPr>
              <w:adjustRightInd w:val="0"/>
              <w:snapToGrid w:val="0"/>
              <w:spacing w:line="460" w:lineRule="exact"/>
              <w:ind w:firstLine="480" w:firstLineChars="200"/>
              <w:rPr>
                <w:color w:val="auto"/>
                <w:sz w:val="24"/>
              </w:rPr>
            </w:pPr>
            <w:r>
              <w:rPr>
                <w:color w:val="auto"/>
                <w:sz w:val="24"/>
              </w:rPr>
              <w:t>建设单位在施工期应认真落实措施，做好施工管理，则本工程施工不会对周围水环境及敏感点造成明显不良影响。</w:t>
            </w:r>
          </w:p>
          <w:p>
            <w:pPr>
              <w:adjustRightInd w:val="0"/>
              <w:snapToGrid w:val="0"/>
              <w:spacing w:line="460" w:lineRule="exact"/>
              <w:ind w:firstLine="480" w:firstLineChars="200"/>
              <w:rPr>
                <w:color w:val="auto"/>
                <w:sz w:val="24"/>
              </w:rPr>
            </w:pPr>
            <w:r>
              <w:rPr>
                <w:color w:val="auto"/>
                <w:sz w:val="24"/>
              </w:rPr>
              <w:t>评价认为，在采取以上治理措施以后，项目施工期产生的废水对周围地表水环境影响较小。</w:t>
            </w:r>
          </w:p>
          <w:p>
            <w:pPr>
              <w:adjustRightInd w:val="0"/>
              <w:snapToGrid w:val="0"/>
              <w:spacing w:line="460" w:lineRule="exact"/>
              <w:ind w:firstLine="482" w:firstLineChars="200"/>
              <w:rPr>
                <w:b/>
                <w:color w:val="auto"/>
                <w:sz w:val="24"/>
              </w:rPr>
            </w:pPr>
            <w:r>
              <w:rPr>
                <w:b/>
                <w:color w:val="auto"/>
                <w:sz w:val="24"/>
              </w:rPr>
              <w:t>4、噪声环境影响分析</w:t>
            </w:r>
          </w:p>
          <w:p>
            <w:pPr>
              <w:snapToGrid w:val="0"/>
              <w:spacing w:line="460" w:lineRule="exact"/>
              <w:ind w:firstLine="480" w:firstLineChars="200"/>
              <w:textAlignment w:val="baseline"/>
              <w:rPr>
                <w:rFonts w:eastAsia="Times New Roman"/>
                <w:color w:val="auto"/>
                <w:sz w:val="24"/>
              </w:rPr>
            </w:pPr>
            <w:r>
              <w:rPr>
                <w:color w:val="auto"/>
                <w:sz w:val="24"/>
              </w:rPr>
              <w:t>施工期间，各种作业机械和运输车辆产生的噪声，对环境将产生一定程度的影响。</w:t>
            </w:r>
          </w:p>
          <w:p>
            <w:pPr>
              <w:snapToGrid w:val="0"/>
              <w:spacing w:line="460" w:lineRule="exact"/>
              <w:ind w:firstLine="480" w:firstLineChars="200"/>
              <w:textAlignment w:val="baseline"/>
              <w:rPr>
                <w:rFonts w:eastAsia="Times New Roman"/>
                <w:color w:val="auto"/>
                <w:sz w:val="24"/>
              </w:rPr>
            </w:pPr>
            <w:r>
              <w:rPr>
                <w:color w:val="auto"/>
                <w:sz w:val="24"/>
              </w:rPr>
              <w:t>由于这些施工多在露天作业，大部分机械又经常移动，因此不能采取较正规的隔声措施，再加上施工噪声具有突发性、高分贝的特点，容易对沿线环境产生较大噪声污染。下表列出主要施工机械的预测衰减情况。</w:t>
            </w:r>
            <w:r>
              <w:rPr>
                <w:rFonts w:hint="eastAsia"/>
                <w:color w:val="auto"/>
                <w:sz w:val="24"/>
              </w:rPr>
              <w:t xml:space="preserve"> </w:t>
            </w:r>
          </w:p>
          <w:p>
            <w:pPr>
              <w:snapToGrid w:val="0"/>
              <w:spacing w:line="480" w:lineRule="exact"/>
              <w:jc w:val="center"/>
              <w:rPr>
                <w:rFonts w:eastAsia="Times New Roman"/>
                <w:b/>
                <w:color w:val="auto"/>
                <w:sz w:val="24"/>
              </w:rPr>
            </w:pPr>
            <w:r>
              <w:rPr>
                <w:b/>
                <w:color w:val="auto"/>
                <w:kern w:val="0"/>
                <w:sz w:val="24"/>
              </w:rPr>
              <w:t>表18  主要施工机械随距离衰减的预测值</w:t>
            </w:r>
          </w:p>
          <w:tbl>
            <w:tblPr>
              <w:tblStyle w:val="33"/>
              <w:tblW w:w="917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2"/>
              <w:gridCol w:w="849"/>
              <w:gridCol w:w="828"/>
              <w:gridCol w:w="828"/>
              <w:gridCol w:w="847"/>
              <w:gridCol w:w="847"/>
              <w:gridCol w:w="849"/>
              <w:gridCol w:w="847"/>
              <w:gridCol w:w="914"/>
              <w:gridCol w:w="9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3" w:hRule="exact"/>
              </w:trPr>
              <w:tc>
                <w:tcPr>
                  <w:tcW w:w="1442" w:type="dxa"/>
                  <w:vMerge w:val="restart"/>
                  <w:tcMar>
                    <w:left w:w="0" w:type="dxa"/>
                    <w:right w:w="0" w:type="dxa"/>
                  </w:tcMar>
                  <w:vAlign w:val="center"/>
                </w:tcPr>
                <w:p>
                  <w:pPr>
                    <w:pStyle w:val="19"/>
                    <w:adjustRightInd w:val="0"/>
                    <w:snapToGrid w:val="0"/>
                    <w:jc w:val="center"/>
                    <w:rPr>
                      <w:rFonts w:ascii="Times New Roman" w:hAnsi="Times New Roman"/>
                      <w:bCs/>
                      <w:color w:val="auto"/>
                      <w:szCs w:val="21"/>
                    </w:rPr>
                  </w:pPr>
                  <w:r>
                    <w:rPr>
                      <w:rFonts w:ascii="Times New Roman" w:hAnsi="Times New Roman"/>
                      <w:bCs/>
                      <w:color w:val="auto"/>
                      <w:szCs w:val="21"/>
                    </w:rPr>
                    <w:t>施工机械</w:t>
                  </w:r>
                </w:p>
              </w:tc>
              <w:tc>
                <w:tcPr>
                  <w:tcW w:w="7735" w:type="dxa"/>
                  <w:gridSpan w:val="9"/>
                  <w:tcMar>
                    <w:left w:w="0" w:type="dxa"/>
                    <w:right w:w="0" w:type="dxa"/>
                  </w:tcMar>
                  <w:vAlign w:val="center"/>
                </w:tcPr>
                <w:p>
                  <w:pPr>
                    <w:pStyle w:val="19"/>
                    <w:adjustRightInd w:val="0"/>
                    <w:snapToGrid w:val="0"/>
                    <w:jc w:val="center"/>
                    <w:rPr>
                      <w:rFonts w:ascii="Times New Roman" w:hAnsi="Times New Roman"/>
                      <w:bCs/>
                      <w:color w:val="auto"/>
                      <w:szCs w:val="21"/>
                    </w:rPr>
                  </w:pPr>
                  <w:r>
                    <w:rPr>
                      <w:rFonts w:ascii="Times New Roman" w:hAnsi="Times New Roman"/>
                      <w:bCs/>
                      <w:color w:val="auto"/>
                      <w:szCs w:val="21"/>
                    </w:rPr>
                    <w:t>距机械不同距离处的声压级(dB)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1" w:hRule="exact"/>
              </w:trPr>
              <w:tc>
                <w:tcPr>
                  <w:tcW w:w="1442" w:type="dxa"/>
                  <w:vMerge w:val="continue"/>
                  <w:tcMar>
                    <w:left w:w="0" w:type="dxa"/>
                    <w:right w:w="0" w:type="dxa"/>
                  </w:tcMar>
                  <w:vAlign w:val="center"/>
                </w:tcPr>
                <w:p>
                  <w:pPr>
                    <w:pStyle w:val="19"/>
                    <w:adjustRightInd w:val="0"/>
                    <w:snapToGrid w:val="0"/>
                    <w:jc w:val="center"/>
                    <w:rPr>
                      <w:rFonts w:ascii="Times New Roman" w:hAnsi="Times New Roman"/>
                      <w:bCs/>
                      <w:color w:val="auto"/>
                      <w:szCs w:val="21"/>
                    </w:rPr>
                  </w:pPr>
                </w:p>
              </w:tc>
              <w:tc>
                <w:tcPr>
                  <w:tcW w:w="849" w:type="dxa"/>
                  <w:tcMar>
                    <w:left w:w="0" w:type="dxa"/>
                    <w:right w:w="0" w:type="dxa"/>
                  </w:tcMar>
                  <w:vAlign w:val="center"/>
                </w:tcPr>
                <w:p>
                  <w:pPr>
                    <w:pStyle w:val="19"/>
                    <w:adjustRightInd w:val="0"/>
                    <w:snapToGrid w:val="0"/>
                    <w:jc w:val="center"/>
                    <w:rPr>
                      <w:rFonts w:ascii="Times New Roman" w:hAnsi="Times New Roman"/>
                      <w:bCs/>
                      <w:color w:val="auto"/>
                      <w:szCs w:val="21"/>
                    </w:rPr>
                  </w:pPr>
                  <w:r>
                    <w:rPr>
                      <w:rFonts w:ascii="Times New Roman" w:hAnsi="Times New Roman"/>
                      <w:bCs/>
                      <w:color w:val="auto"/>
                      <w:szCs w:val="21"/>
                    </w:rPr>
                    <w:t>20m</w:t>
                  </w:r>
                </w:p>
              </w:tc>
              <w:tc>
                <w:tcPr>
                  <w:tcW w:w="828" w:type="dxa"/>
                  <w:tcMar>
                    <w:left w:w="0" w:type="dxa"/>
                    <w:right w:w="0" w:type="dxa"/>
                  </w:tcMar>
                  <w:vAlign w:val="center"/>
                </w:tcPr>
                <w:p>
                  <w:pPr>
                    <w:pStyle w:val="19"/>
                    <w:adjustRightInd w:val="0"/>
                    <w:snapToGrid w:val="0"/>
                    <w:jc w:val="center"/>
                    <w:rPr>
                      <w:rFonts w:ascii="Times New Roman" w:hAnsi="Times New Roman"/>
                      <w:bCs/>
                      <w:color w:val="auto"/>
                      <w:szCs w:val="21"/>
                    </w:rPr>
                  </w:pPr>
                  <w:r>
                    <w:rPr>
                      <w:rFonts w:ascii="Times New Roman" w:hAnsi="Times New Roman"/>
                      <w:bCs/>
                      <w:color w:val="auto"/>
                      <w:szCs w:val="21"/>
                    </w:rPr>
                    <w:t>40m</w:t>
                  </w:r>
                </w:p>
              </w:tc>
              <w:tc>
                <w:tcPr>
                  <w:tcW w:w="828" w:type="dxa"/>
                  <w:tcMar>
                    <w:left w:w="0" w:type="dxa"/>
                    <w:right w:w="0" w:type="dxa"/>
                  </w:tcMar>
                  <w:vAlign w:val="center"/>
                </w:tcPr>
                <w:p>
                  <w:pPr>
                    <w:pStyle w:val="19"/>
                    <w:adjustRightInd w:val="0"/>
                    <w:snapToGrid w:val="0"/>
                    <w:jc w:val="center"/>
                    <w:rPr>
                      <w:rFonts w:ascii="Times New Roman" w:hAnsi="Times New Roman"/>
                      <w:bCs/>
                      <w:color w:val="auto"/>
                      <w:szCs w:val="21"/>
                    </w:rPr>
                  </w:pPr>
                  <w:r>
                    <w:rPr>
                      <w:rFonts w:ascii="Times New Roman" w:hAnsi="Times New Roman"/>
                      <w:bCs/>
                      <w:color w:val="auto"/>
                      <w:szCs w:val="21"/>
                    </w:rPr>
                    <w:t>60m</w:t>
                  </w:r>
                </w:p>
              </w:tc>
              <w:tc>
                <w:tcPr>
                  <w:tcW w:w="847" w:type="dxa"/>
                  <w:tcMar>
                    <w:left w:w="0" w:type="dxa"/>
                    <w:right w:w="0" w:type="dxa"/>
                  </w:tcMar>
                  <w:vAlign w:val="center"/>
                </w:tcPr>
                <w:p>
                  <w:pPr>
                    <w:pStyle w:val="19"/>
                    <w:adjustRightInd w:val="0"/>
                    <w:snapToGrid w:val="0"/>
                    <w:jc w:val="center"/>
                    <w:rPr>
                      <w:rFonts w:ascii="Times New Roman" w:hAnsi="Times New Roman"/>
                      <w:bCs/>
                      <w:color w:val="auto"/>
                      <w:szCs w:val="21"/>
                    </w:rPr>
                  </w:pPr>
                  <w:r>
                    <w:rPr>
                      <w:rFonts w:ascii="Times New Roman" w:hAnsi="Times New Roman"/>
                      <w:bCs/>
                      <w:color w:val="auto"/>
                      <w:szCs w:val="21"/>
                    </w:rPr>
                    <w:t>80m</w:t>
                  </w:r>
                </w:p>
              </w:tc>
              <w:tc>
                <w:tcPr>
                  <w:tcW w:w="847" w:type="dxa"/>
                  <w:tcMar>
                    <w:left w:w="0" w:type="dxa"/>
                    <w:right w:w="0" w:type="dxa"/>
                  </w:tcMar>
                  <w:vAlign w:val="center"/>
                </w:tcPr>
                <w:p>
                  <w:pPr>
                    <w:pStyle w:val="19"/>
                    <w:adjustRightInd w:val="0"/>
                    <w:snapToGrid w:val="0"/>
                    <w:jc w:val="center"/>
                    <w:rPr>
                      <w:rFonts w:ascii="Times New Roman" w:hAnsi="Times New Roman"/>
                      <w:bCs/>
                      <w:color w:val="auto"/>
                      <w:szCs w:val="21"/>
                    </w:rPr>
                  </w:pPr>
                  <w:r>
                    <w:rPr>
                      <w:rFonts w:ascii="Times New Roman" w:hAnsi="Times New Roman"/>
                      <w:bCs/>
                      <w:color w:val="auto"/>
                      <w:szCs w:val="21"/>
                    </w:rPr>
                    <w:t>100m</w:t>
                  </w:r>
                </w:p>
              </w:tc>
              <w:tc>
                <w:tcPr>
                  <w:tcW w:w="849" w:type="dxa"/>
                  <w:tcMar>
                    <w:left w:w="0" w:type="dxa"/>
                    <w:right w:w="0" w:type="dxa"/>
                  </w:tcMar>
                  <w:vAlign w:val="center"/>
                </w:tcPr>
                <w:p>
                  <w:pPr>
                    <w:pStyle w:val="19"/>
                    <w:adjustRightInd w:val="0"/>
                    <w:snapToGrid w:val="0"/>
                    <w:jc w:val="center"/>
                    <w:rPr>
                      <w:rFonts w:ascii="Times New Roman" w:hAnsi="Times New Roman"/>
                      <w:bCs/>
                      <w:color w:val="auto"/>
                      <w:szCs w:val="21"/>
                    </w:rPr>
                  </w:pPr>
                  <w:r>
                    <w:rPr>
                      <w:rFonts w:ascii="Times New Roman" w:hAnsi="Times New Roman"/>
                      <w:bCs/>
                      <w:color w:val="auto"/>
                      <w:szCs w:val="21"/>
                    </w:rPr>
                    <w:t>150m</w:t>
                  </w:r>
                </w:p>
              </w:tc>
              <w:tc>
                <w:tcPr>
                  <w:tcW w:w="847" w:type="dxa"/>
                  <w:tcMar>
                    <w:left w:w="0" w:type="dxa"/>
                    <w:right w:w="0" w:type="dxa"/>
                  </w:tcMar>
                  <w:vAlign w:val="center"/>
                </w:tcPr>
                <w:p>
                  <w:pPr>
                    <w:pStyle w:val="19"/>
                    <w:adjustRightInd w:val="0"/>
                    <w:snapToGrid w:val="0"/>
                    <w:jc w:val="center"/>
                    <w:rPr>
                      <w:rFonts w:ascii="Times New Roman" w:hAnsi="Times New Roman"/>
                      <w:bCs/>
                      <w:color w:val="auto"/>
                      <w:szCs w:val="21"/>
                    </w:rPr>
                  </w:pPr>
                  <w:r>
                    <w:rPr>
                      <w:rFonts w:ascii="Times New Roman" w:hAnsi="Times New Roman"/>
                      <w:bCs/>
                      <w:color w:val="auto"/>
                      <w:szCs w:val="21"/>
                    </w:rPr>
                    <w:t>200m</w:t>
                  </w:r>
                </w:p>
              </w:tc>
              <w:tc>
                <w:tcPr>
                  <w:tcW w:w="914" w:type="dxa"/>
                  <w:tcMar>
                    <w:left w:w="0" w:type="dxa"/>
                    <w:right w:w="0" w:type="dxa"/>
                  </w:tcMar>
                  <w:vAlign w:val="center"/>
                </w:tcPr>
                <w:p>
                  <w:pPr>
                    <w:pStyle w:val="19"/>
                    <w:adjustRightInd w:val="0"/>
                    <w:snapToGrid w:val="0"/>
                    <w:jc w:val="center"/>
                    <w:rPr>
                      <w:rFonts w:ascii="Times New Roman" w:hAnsi="Times New Roman"/>
                      <w:bCs/>
                      <w:color w:val="auto"/>
                      <w:szCs w:val="21"/>
                    </w:rPr>
                  </w:pPr>
                  <w:r>
                    <w:rPr>
                      <w:rFonts w:ascii="Times New Roman" w:hAnsi="Times New Roman"/>
                      <w:bCs/>
                      <w:color w:val="auto"/>
                      <w:szCs w:val="21"/>
                    </w:rPr>
                    <w:t>300m</w:t>
                  </w:r>
                </w:p>
              </w:tc>
              <w:tc>
                <w:tcPr>
                  <w:tcW w:w="921" w:type="dxa"/>
                  <w:tcMar>
                    <w:left w:w="0" w:type="dxa"/>
                    <w:right w:w="0" w:type="dxa"/>
                  </w:tcMar>
                  <w:vAlign w:val="center"/>
                </w:tcPr>
                <w:p>
                  <w:pPr>
                    <w:pStyle w:val="19"/>
                    <w:adjustRightInd w:val="0"/>
                    <w:snapToGrid w:val="0"/>
                    <w:jc w:val="center"/>
                    <w:rPr>
                      <w:rFonts w:ascii="Times New Roman" w:hAnsi="Times New Roman"/>
                      <w:bCs/>
                      <w:color w:val="auto"/>
                      <w:szCs w:val="21"/>
                    </w:rPr>
                  </w:pPr>
                  <w:r>
                    <w:rPr>
                      <w:rFonts w:ascii="Times New Roman" w:hAnsi="Times New Roman"/>
                      <w:bCs/>
                      <w:color w:val="auto"/>
                      <w:szCs w:val="21"/>
                    </w:rPr>
                    <w:t>400m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1" w:hRule="exact"/>
              </w:trPr>
              <w:tc>
                <w:tcPr>
                  <w:tcW w:w="1442" w:type="dxa"/>
                  <w:tcMar>
                    <w:left w:w="0" w:type="dxa"/>
                    <w:right w:w="0" w:type="dxa"/>
                  </w:tcMar>
                  <w:vAlign w:val="center"/>
                </w:tcPr>
                <w:p>
                  <w:pPr>
                    <w:pStyle w:val="19"/>
                    <w:adjustRightInd w:val="0"/>
                    <w:snapToGrid w:val="0"/>
                    <w:jc w:val="center"/>
                    <w:rPr>
                      <w:rFonts w:ascii="Times New Roman" w:hAnsi="Times New Roman"/>
                      <w:bCs/>
                      <w:color w:val="auto"/>
                      <w:szCs w:val="21"/>
                    </w:rPr>
                  </w:pPr>
                  <w:r>
                    <w:rPr>
                      <w:rFonts w:ascii="Times New Roman" w:hAnsi="Times New Roman"/>
                      <w:bCs/>
                      <w:color w:val="auto"/>
                      <w:szCs w:val="21"/>
                    </w:rPr>
                    <w:t>挖土机</w:t>
                  </w:r>
                </w:p>
              </w:tc>
              <w:tc>
                <w:tcPr>
                  <w:tcW w:w="849" w:type="dxa"/>
                  <w:tcMar>
                    <w:left w:w="0" w:type="dxa"/>
                    <w:right w:w="0" w:type="dxa"/>
                  </w:tcMar>
                  <w:vAlign w:val="center"/>
                </w:tcPr>
                <w:p>
                  <w:pPr>
                    <w:pStyle w:val="19"/>
                    <w:adjustRightInd w:val="0"/>
                    <w:snapToGrid w:val="0"/>
                    <w:jc w:val="center"/>
                    <w:rPr>
                      <w:rFonts w:ascii="Times New Roman" w:hAnsi="Times New Roman"/>
                      <w:bCs/>
                      <w:color w:val="auto"/>
                      <w:szCs w:val="21"/>
                    </w:rPr>
                  </w:pPr>
                  <w:r>
                    <w:rPr>
                      <w:rFonts w:ascii="Times New Roman" w:hAnsi="Times New Roman"/>
                      <w:bCs/>
                      <w:color w:val="auto"/>
                      <w:szCs w:val="21"/>
                    </w:rPr>
                    <w:t>74.3</w:t>
                  </w:r>
                </w:p>
              </w:tc>
              <w:tc>
                <w:tcPr>
                  <w:tcW w:w="828" w:type="dxa"/>
                  <w:tcMar>
                    <w:left w:w="0" w:type="dxa"/>
                    <w:right w:w="0" w:type="dxa"/>
                  </w:tcMar>
                  <w:vAlign w:val="center"/>
                </w:tcPr>
                <w:p>
                  <w:pPr>
                    <w:pStyle w:val="19"/>
                    <w:adjustRightInd w:val="0"/>
                    <w:snapToGrid w:val="0"/>
                    <w:jc w:val="center"/>
                    <w:rPr>
                      <w:rFonts w:ascii="Times New Roman" w:hAnsi="Times New Roman"/>
                      <w:bCs/>
                      <w:color w:val="auto"/>
                      <w:szCs w:val="21"/>
                    </w:rPr>
                  </w:pPr>
                  <w:r>
                    <w:rPr>
                      <w:rFonts w:ascii="Times New Roman" w:hAnsi="Times New Roman"/>
                      <w:bCs/>
                      <w:color w:val="auto"/>
                      <w:szCs w:val="21"/>
                    </w:rPr>
                    <w:t>68.3</w:t>
                  </w:r>
                </w:p>
              </w:tc>
              <w:tc>
                <w:tcPr>
                  <w:tcW w:w="828" w:type="dxa"/>
                  <w:tcMar>
                    <w:left w:w="0" w:type="dxa"/>
                    <w:right w:w="0" w:type="dxa"/>
                  </w:tcMar>
                  <w:vAlign w:val="center"/>
                </w:tcPr>
                <w:p>
                  <w:pPr>
                    <w:pStyle w:val="19"/>
                    <w:adjustRightInd w:val="0"/>
                    <w:snapToGrid w:val="0"/>
                    <w:jc w:val="center"/>
                    <w:rPr>
                      <w:rFonts w:ascii="Times New Roman" w:hAnsi="Times New Roman"/>
                      <w:bCs/>
                      <w:color w:val="auto"/>
                      <w:szCs w:val="21"/>
                    </w:rPr>
                  </w:pPr>
                  <w:r>
                    <w:rPr>
                      <w:rFonts w:ascii="Times New Roman" w:hAnsi="Times New Roman"/>
                      <w:bCs/>
                      <w:color w:val="auto"/>
                      <w:szCs w:val="21"/>
                    </w:rPr>
                    <w:t>64.7</w:t>
                  </w:r>
                </w:p>
              </w:tc>
              <w:tc>
                <w:tcPr>
                  <w:tcW w:w="847" w:type="dxa"/>
                  <w:tcMar>
                    <w:left w:w="0" w:type="dxa"/>
                    <w:right w:w="0" w:type="dxa"/>
                  </w:tcMar>
                  <w:vAlign w:val="center"/>
                </w:tcPr>
                <w:p>
                  <w:pPr>
                    <w:pStyle w:val="19"/>
                    <w:adjustRightInd w:val="0"/>
                    <w:snapToGrid w:val="0"/>
                    <w:jc w:val="center"/>
                    <w:rPr>
                      <w:rFonts w:ascii="Times New Roman" w:hAnsi="Times New Roman"/>
                      <w:bCs/>
                      <w:color w:val="auto"/>
                      <w:szCs w:val="21"/>
                    </w:rPr>
                  </w:pPr>
                  <w:r>
                    <w:rPr>
                      <w:rFonts w:ascii="Times New Roman" w:hAnsi="Times New Roman"/>
                      <w:bCs/>
                      <w:color w:val="auto"/>
                      <w:szCs w:val="21"/>
                    </w:rPr>
                    <w:t>62.2</w:t>
                  </w:r>
                </w:p>
              </w:tc>
              <w:tc>
                <w:tcPr>
                  <w:tcW w:w="847" w:type="dxa"/>
                  <w:tcMar>
                    <w:left w:w="0" w:type="dxa"/>
                    <w:right w:w="0" w:type="dxa"/>
                  </w:tcMar>
                  <w:vAlign w:val="center"/>
                </w:tcPr>
                <w:p>
                  <w:pPr>
                    <w:pStyle w:val="19"/>
                    <w:adjustRightInd w:val="0"/>
                    <w:snapToGrid w:val="0"/>
                    <w:jc w:val="center"/>
                    <w:rPr>
                      <w:rFonts w:ascii="Times New Roman" w:hAnsi="Times New Roman"/>
                      <w:bCs/>
                      <w:color w:val="auto"/>
                      <w:szCs w:val="21"/>
                    </w:rPr>
                  </w:pPr>
                  <w:r>
                    <w:rPr>
                      <w:rFonts w:ascii="Times New Roman" w:hAnsi="Times New Roman"/>
                      <w:bCs/>
                      <w:color w:val="auto"/>
                      <w:szCs w:val="21"/>
                    </w:rPr>
                    <w:t>60.3</w:t>
                  </w:r>
                </w:p>
              </w:tc>
              <w:tc>
                <w:tcPr>
                  <w:tcW w:w="849" w:type="dxa"/>
                  <w:tcMar>
                    <w:left w:w="0" w:type="dxa"/>
                    <w:right w:w="0" w:type="dxa"/>
                  </w:tcMar>
                  <w:vAlign w:val="center"/>
                </w:tcPr>
                <w:p>
                  <w:pPr>
                    <w:pStyle w:val="19"/>
                    <w:adjustRightInd w:val="0"/>
                    <w:snapToGrid w:val="0"/>
                    <w:jc w:val="center"/>
                    <w:rPr>
                      <w:rFonts w:ascii="Times New Roman" w:hAnsi="Times New Roman"/>
                      <w:bCs/>
                      <w:color w:val="auto"/>
                      <w:szCs w:val="21"/>
                    </w:rPr>
                  </w:pPr>
                  <w:r>
                    <w:rPr>
                      <w:rFonts w:ascii="Times New Roman" w:hAnsi="Times New Roman"/>
                      <w:bCs/>
                      <w:color w:val="auto"/>
                      <w:szCs w:val="21"/>
                    </w:rPr>
                    <w:t>56.8</w:t>
                  </w:r>
                </w:p>
              </w:tc>
              <w:tc>
                <w:tcPr>
                  <w:tcW w:w="847" w:type="dxa"/>
                  <w:tcMar>
                    <w:left w:w="0" w:type="dxa"/>
                    <w:right w:w="0" w:type="dxa"/>
                  </w:tcMar>
                  <w:vAlign w:val="center"/>
                </w:tcPr>
                <w:p>
                  <w:pPr>
                    <w:pStyle w:val="19"/>
                    <w:adjustRightInd w:val="0"/>
                    <w:snapToGrid w:val="0"/>
                    <w:jc w:val="center"/>
                    <w:rPr>
                      <w:rFonts w:ascii="Times New Roman" w:hAnsi="Times New Roman"/>
                      <w:bCs/>
                      <w:color w:val="auto"/>
                      <w:szCs w:val="21"/>
                    </w:rPr>
                  </w:pPr>
                  <w:r>
                    <w:rPr>
                      <w:rFonts w:ascii="Times New Roman" w:hAnsi="Times New Roman"/>
                      <w:bCs/>
                      <w:color w:val="auto"/>
                      <w:szCs w:val="21"/>
                    </w:rPr>
                    <w:t>54.3</w:t>
                  </w:r>
                </w:p>
              </w:tc>
              <w:tc>
                <w:tcPr>
                  <w:tcW w:w="914" w:type="dxa"/>
                  <w:tcMar>
                    <w:left w:w="0" w:type="dxa"/>
                    <w:right w:w="0" w:type="dxa"/>
                  </w:tcMar>
                  <w:vAlign w:val="center"/>
                </w:tcPr>
                <w:p>
                  <w:pPr>
                    <w:pStyle w:val="19"/>
                    <w:adjustRightInd w:val="0"/>
                    <w:snapToGrid w:val="0"/>
                    <w:jc w:val="center"/>
                    <w:rPr>
                      <w:rFonts w:ascii="Times New Roman" w:hAnsi="Times New Roman"/>
                      <w:bCs/>
                      <w:color w:val="auto"/>
                      <w:szCs w:val="21"/>
                    </w:rPr>
                  </w:pPr>
                  <w:r>
                    <w:rPr>
                      <w:rFonts w:ascii="Times New Roman" w:hAnsi="Times New Roman"/>
                      <w:bCs/>
                      <w:color w:val="auto"/>
                      <w:szCs w:val="21"/>
                    </w:rPr>
                    <w:t>50.8</w:t>
                  </w:r>
                </w:p>
              </w:tc>
              <w:tc>
                <w:tcPr>
                  <w:tcW w:w="921" w:type="dxa"/>
                  <w:tcMar>
                    <w:left w:w="0" w:type="dxa"/>
                    <w:right w:w="0" w:type="dxa"/>
                  </w:tcMar>
                  <w:vAlign w:val="center"/>
                </w:tcPr>
                <w:p>
                  <w:pPr>
                    <w:pStyle w:val="19"/>
                    <w:adjustRightInd w:val="0"/>
                    <w:snapToGrid w:val="0"/>
                    <w:jc w:val="center"/>
                    <w:rPr>
                      <w:rFonts w:ascii="Times New Roman" w:hAnsi="Times New Roman"/>
                      <w:bCs/>
                      <w:color w:val="auto"/>
                      <w:szCs w:val="21"/>
                    </w:rPr>
                  </w:pPr>
                  <w:r>
                    <w:rPr>
                      <w:rFonts w:ascii="Times New Roman" w:hAnsi="Times New Roman"/>
                      <w:bCs/>
                      <w:color w:val="auto"/>
                      <w:szCs w:val="21"/>
                    </w:rPr>
                    <w:t>48.3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9" w:hRule="exact"/>
              </w:trPr>
              <w:tc>
                <w:tcPr>
                  <w:tcW w:w="1442" w:type="dxa"/>
                  <w:tcMar>
                    <w:left w:w="0" w:type="dxa"/>
                    <w:right w:w="0" w:type="dxa"/>
                  </w:tcMar>
                  <w:vAlign w:val="center"/>
                </w:tcPr>
                <w:p>
                  <w:pPr>
                    <w:pStyle w:val="19"/>
                    <w:adjustRightInd w:val="0"/>
                    <w:snapToGrid w:val="0"/>
                    <w:jc w:val="center"/>
                    <w:rPr>
                      <w:rFonts w:ascii="Times New Roman" w:hAnsi="Times New Roman"/>
                      <w:bCs/>
                      <w:color w:val="auto"/>
                      <w:szCs w:val="21"/>
                    </w:rPr>
                  </w:pPr>
                  <w:r>
                    <w:rPr>
                      <w:rFonts w:ascii="Times New Roman" w:hAnsi="Times New Roman"/>
                      <w:bCs/>
                      <w:color w:val="auto"/>
                      <w:szCs w:val="21"/>
                    </w:rPr>
                    <w:t>运输车辆</w:t>
                  </w:r>
                </w:p>
              </w:tc>
              <w:tc>
                <w:tcPr>
                  <w:tcW w:w="849" w:type="dxa"/>
                  <w:tcMar>
                    <w:left w:w="0" w:type="dxa"/>
                    <w:right w:w="0" w:type="dxa"/>
                  </w:tcMar>
                  <w:vAlign w:val="center"/>
                </w:tcPr>
                <w:p>
                  <w:pPr>
                    <w:pStyle w:val="19"/>
                    <w:adjustRightInd w:val="0"/>
                    <w:snapToGrid w:val="0"/>
                    <w:jc w:val="center"/>
                    <w:rPr>
                      <w:rFonts w:ascii="Times New Roman" w:hAnsi="Times New Roman"/>
                      <w:bCs/>
                      <w:color w:val="auto"/>
                      <w:szCs w:val="21"/>
                    </w:rPr>
                  </w:pPr>
                  <w:r>
                    <w:rPr>
                      <w:rFonts w:ascii="Times New Roman" w:hAnsi="Times New Roman"/>
                      <w:bCs/>
                      <w:color w:val="auto"/>
                      <w:szCs w:val="21"/>
                    </w:rPr>
                    <w:t>75.3</w:t>
                  </w:r>
                </w:p>
              </w:tc>
              <w:tc>
                <w:tcPr>
                  <w:tcW w:w="828" w:type="dxa"/>
                  <w:tcMar>
                    <w:left w:w="0" w:type="dxa"/>
                    <w:right w:w="0" w:type="dxa"/>
                  </w:tcMar>
                  <w:vAlign w:val="center"/>
                </w:tcPr>
                <w:p>
                  <w:pPr>
                    <w:pStyle w:val="19"/>
                    <w:adjustRightInd w:val="0"/>
                    <w:snapToGrid w:val="0"/>
                    <w:jc w:val="center"/>
                    <w:rPr>
                      <w:rFonts w:ascii="Times New Roman" w:hAnsi="Times New Roman"/>
                      <w:bCs/>
                      <w:color w:val="auto"/>
                      <w:szCs w:val="21"/>
                    </w:rPr>
                  </w:pPr>
                  <w:r>
                    <w:rPr>
                      <w:rFonts w:hint="eastAsia" w:ascii="Times New Roman" w:hAnsi="Times New Roman"/>
                      <w:bCs/>
                      <w:color w:val="auto"/>
                      <w:szCs w:val="21"/>
                    </w:rPr>
                    <w:t>73.2</w:t>
                  </w:r>
                </w:p>
              </w:tc>
              <w:tc>
                <w:tcPr>
                  <w:tcW w:w="828" w:type="dxa"/>
                  <w:tcMar>
                    <w:left w:w="0" w:type="dxa"/>
                    <w:right w:w="0" w:type="dxa"/>
                  </w:tcMar>
                  <w:vAlign w:val="center"/>
                </w:tcPr>
                <w:p>
                  <w:pPr>
                    <w:pStyle w:val="19"/>
                    <w:adjustRightInd w:val="0"/>
                    <w:snapToGrid w:val="0"/>
                    <w:jc w:val="center"/>
                    <w:rPr>
                      <w:rFonts w:ascii="Times New Roman" w:hAnsi="Times New Roman"/>
                      <w:bCs/>
                      <w:color w:val="auto"/>
                      <w:szCs w:val="21"/>
                    </w:rPr>
                  </w:pPr>
                  <w:r>
                    <w:rPr>
                      <w:rFonts w:hint="eastAsia" w:ascii="Times New Roman" w:hAnsi="Times New Roman"/>
                      <w:bCs/>
                      <w:color w:val="auto"/>
                      <w:szCs w:val="21"/>
                    </w:rPr>
                    <w:t>70.2</w:t>
                  </w:r>
                </w:p>
              </w:tc>
              <w:tc>
                <w:tcPr>
                  <w:tcW w:w="847" w:type="dxa"/>
                  <w:tcMar>
                    <w:left w:w="0" w:type="dxa"/>
                    <w:right w:w="0" w:type="dxa"/>
                  </w:tcMar>
                  <w:vAlign w:val="center"/>
                </w:tcPr>
                <w:p>
                  <w:pPr>
                    <w:pStyle w:val="19"/>
                    <w:adjustRightInd w:val="0"/>
                    <w:snapToGrid w:val="0"/>
                    <w:jc w:val="center"/>
                    <w:rPr>
                      <w:rFonts w:ascii="Times New Roman" w:hAnsi="Times New Roman"/>
                      <w:bCs/>
                      <w:color w:val="auto"/>
                      <w:szCs w:val="21"/>
                    </w:rPr>
                  </w:pPr>
                  <w:r>
                    <w:rPr>
                      <w:rFonts w:ascii="Times New Roman" w:hAnsi="Times New Roman"/>
                      <w:bCs/>
                      <w:color w:val="auto"/>
                      <w:szCs w:val="21"/>
                    </w:rPr>
                    <w:t>6</w:t>
                  </w:r>
                  <w:r>
                    <w:rPr>
                      <w:rFonts w:hint="eastAsia" w:ascii="Times New Roman" w:hAnsi="Times New Roman"/>
                      <w:bCs/>
                      <w:color w:val="auto"/>
                      <w:szCs w:val="21"/>
                    </w:rPr>
                    <w:t>5</w:t>
                  </w:r>
                  <w:r>
                    <w:rPr>
                      <w:rFonts w:ascii="Times New Roman" w:hAnsi="Times New Roman"/>
                      <w:bCs/>
                      <w:color w:val="auto"/>
                      <w:szCs w:val="21"/>
                    </w:rPr>
                    <w:t>.2</w:t>
                  </w:r>
                </w:p>
              </w:tc>
              <w:tc>
                <w:tcPr>
                  <w:tcW w:w="847" w:type="dxa"/>
                  <w:tcMar>
                    <w:left w:w="0" w:type="dxa"/>
                    <w:right w:w="0" w:type="dxa"/>
                  </w:tcMar>
                  <w:vAlign w:val="center"/>
                </w:tcPr>
                <w:p>
                  <w:pPr>
                    <w:pStyle w:val="19"/>
                    <w:adjustRightInd w:val="0"/>
                    <w:snapToGrid w:val="0"/>
                    <w:jc w:val="center"/>
                    <w:rPr>
                      <w:rFonts w:ascii="Times New Roman" w:hAnsi="Times New Roman"/>
                      <w:bCs/>
                      <w:color w:val="auto"/>
                      <w:szCs w:val="21"/>
                    </w:rPr>
                  </w:pPr>
                  <w:r>
                    <w:rPr>
                      <w:rFonts w:ascii="Times New Roman" w:hAnsi="Times New Roman"/>
                      <w:bCs/>
                      <w:color w:val="auto"/>
                      <w:szCs w:val="21"/>
                    </w:rPr>
                    <w:t>6</w:t>
                  </w:r>
                  <w:r>
                    <w:rPr>
                      <w:rFonts w:hint="eastAsia" w:ascii="Times New Roman" w:hAnsi="Times New Roman"/>
                      <w:bCs/>
                      <w:color w:val="auto"/>
                      <w:szCs w:val="21"/>
                    </w:rPr>
                    <w:t>3</w:t>
                  </w:r>
                  <w:r>
                    <w:rPr>
                      <w:rFonts w:ascii="Times New Roman" w:hAnsi="Times New Roman"/>
                      <w:bCs/>
                      <w:color w:val="auto"/>
                      <w:szCs w:val="21"/>
                    </w:rPr>
                    <w:t>.3</w:t>
                  </w:r>
                </w:p>
              </w:tc>
              <w:tc>
                <w:tcPr>
                  <w:tcW w:w="849" w:type="dxa"/>
                  <w:tcMar>
                    <w:left w:w="0" w:type="dxa"/>
                    <w:right w:w="0" w:type="dxa"/>
                  </w:tcMar>
                  <w:vAlign w:val="center"/>
                </w:tcPr>
                <w:p>
                  <w:pPr>
                    <w:pStyle w:val="19"/>
                    <w:adjustRightInd w:val="0"/>
                    <w:snapToGrid w:val="0"/>
                    <w:jc w:val="center"/>
                    <w:rPr>
                      <w:rFonts w:ascii="Times New Roman" w:hAnsi="Times New Roman"/>
                      <w:bCs/>
                      <w:color w:val="auto"/>
                      <w:szCs w:val="21"/>
                    </w:rPr>
                  </w:pPr>
                  <w:r>
                    <w:rPr>
                      <w:rFonts w:ascii="Times New Roman" w:hAnsi="Times New Roman"/>
                      <w:bCs/>
                      <w:color w:val="auto"/>
                      <w:szCs w:val="21"/>
                    </w:rPr>
                    <w:t>57.8</w:t>
                  </w:r>
                </w:p>
              </w:tc>
              <w:tc>
                <w:tcPr>
                  <w:tcW w:w="847" w:type="dxa"/>
                  <w:tcMar>
                    <w:left w:w="0" w:type="dxa"/>
                    <w:right w:w="0" w:type="dxa"/>
                  </w:tcMar>
                  <w:vAlign w:val="center"/>
                </w:tcPr>
                <w:p>
                  <w:pPr>
                    <w:pStyle w:val="19"/>
                    <w:adjustRightInd w:val="0"/>
                    <w:snapToGrid w:val="0"/>
                    <w:jc w:val="center"/>
                    <w:rPr>
                      <w:rFonts w:ascii="Times New Roman" w:hAnsi="Times New Roman"/>
                      <w:bCs/>
                      <w:color w:val="auto"/>
                      <w:szCs w:val="21"/>
                    </w:rPr>
                  </w:pPr>
                  <w:r>
                    <w:rPr>
                      <w:rFonts w:ascii="Times New Roman" w:hAnsi="Times New Roman"/>
                      <w:bCs/>
                      <w:color w:val="auto"/>
                      <w:szCs w:val="21"/>
                    </w:rPr>
                    <w:t>55.3</w:t>
                  </w:r>
                </w:p>
              </w:tc>
              <w:tc>
                <w:tcPr>
                  <w:tcW w:w="914" w:type="dxa"/>
                  <w:tcMar>
                    <w:left w:w="0" w:type="dxa"/>
                    <w:right w:w="0" w:type="dxa"/>
                  </w:tcMar>
                  <w:vAlign w:val="center"/>
                </w:tcPr>
                <w:p>
                  <w:pPr>
                    <w:pStyle w:val="19"/>
                    <w:adjustRightInd w:val="0"/>
                    <w:snapToGrid w:val="0"/>
                    <w:jc w:val="center"/>
                    <w:rPr>
                      <w:rFonts w:ascii="Times New Roman" w:hAnsi="Times New Roman"/>
                      <w:bCs/>
                      <w:color w:val="auto"/>
                      <w:szCs w:val="21"/>
                    </w:rPr>
                  </w:pPr>
                  <w:r>
                    <w:rPr>
                      <w:rFonts w:ascii="Times New Roman" w:hAnsi="Times New Roman"/>
                      <w:bCs/>
                      <w:color w:val="auto"/>
                      <w:szCs w:val="21"/>
                    </w:rPr>
                    <w:t>51.8</w:t>
                  </w:r>
                </w:p>
              </w:tc>
              <w:tc>
                <w:tcPr>
                  <w:tcW w:w="921" w:type="dxa"/>
                  <w:tcMar>
                    <w:left w:w="0" w:type="dxa"/>
                    <w:right w:w="0" w:type="dxa"/>
                  </w:tcMar>
                  <w:vAlign w:val="center"/>
                </w:tcPr>
                <w:p>
                  <w:pPr>
                    <w:pStyle w:val="19"/>
                    <w:adjustRightInd w:val="0"/>
                    <w:snapToGrid w:val="0"/>
                    <w:jc w:val="center"/>
                    <w:rPr>
                      <w:rFonts w:ascii="Times New Roman" w:hAnsi="Times New Roman"/>
                      <w:bCs/>
                      <w:color w:val="auto"/>
                      <w:szCs w:val="21"/>
                    </w:rPr>
                  </w:pPr>
                  <w:r>
                    <w:rPr>
                      <w:rFonts w:ascii="Times New Roman" w:hAnsi="Times New Roman"/>
                      <w:bCs/>
                      <w:color w:val="auto"/>
                      <w:szCs w:val="21"/>
                    </w:rPr>
                    <w:t>49.3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9" w:hRule="exact"/>
              </w:trPr>
              <w:tc>
                <w:tcPr>
                  <w:tcW w:w="1442" w:type="dxa"/>
                  <w:tcMar>
                    <w:left w:w="0" w:type="dxa"/>
                    <w:right w:w="0" w:type="dxa"/>
                  </w:tcMar>
                  <w:vAlign w:val="center"/>
                </w:tcPr>
                <w:p>
                  <w:pPr>
                    <w:pStyle w:val="19"/>
                    <w:adjustRightInd w:val="0"/>
                    <w:snapToGrid w:val="0"/>
                    <w:jc w:val="center"/>
                    <w:rPr>
                      <w:rFonts w:ascii="Times New Roman" w:hAnsi="Times New Roman"/>
                      <w:bCs/>
                      <w:color w:val="auto"/>
                      <w:szCs w:val="21"/>
                    </w:rPr>
                  </w:pPr>
                  <w:r>
                    <w:rPr>
                      <w:rFonts w:hint="eastAsia" w:ascii="Times New Roman" w:hAnsi="Times New Roman"/>
                      <w:bCs/>
                      <w:color w:val="auto"/>
                      <w:szCs w:val="21"/>
                    </w:rPr>
                    <w:t>油压千斤顶</w:t>
                  </w:r>
                </w:p>
              </w:tc>
              <w:tc>
                <w:tcPr>
                  <w:tcW w:w="849" w:type="dxa"/>
                  <w:tcMar>
                    <w:left w:w="0" w:type="dxa"/>
                    <w:right w:w="0" w:type="dxa"/>
                  </w:tcMar>
                  <w:vAlign w:val="center"/>
                </w:tcPr>
                <w:p>
                  <w:pPr>
                    <w:pStyle w:val="19"/>
                    <w:adjustRightInd w:val="0"/>
                    <w:snapToGrid w:val="0"/>
                    <w:jc w:val="center"/>
                    <w:rPr>
                      <w:rFonts w:ascii="Times New Roman" w:hAnsi="Times New Roman"/>
                      <w:bCs/>
                      <w:color w:val="auto"/>
                      <w:szCs w:val="21"/>
                    </w:rPr>
                  </w:pPr>
                  <w:r>
                    <w:rPr>
                      <w:rFonts w:hint="eastAsia" w:ascii="Times New Roman" w:hAnsi="Times New Roman"/>
                      <w:bCs/>
                      <w:color w:val="auto"/>
                      <w:szCs w:val="21"/>
                    </w:rPr>
                    <w:t>8</w:t>
                  </w:r>
                  <w:r>
                    <w:rPr>
                      <w:rFonts w:ascii="Times New Roman" w:hAnsi="Times New Roman"/>
                      <w:bCs/>
                      <w:color w:val="auto"/>
                      <w:szCs w:val="21"/>
                    </w:rPr>
                    <w:t>4.3</w:t>
                  </w:r>
                </w:p>
              </w:tc>
              <w:tc>
                <w:tcPr>
                  <w:tcW w:w="828" w:type="dxa"/>
                  <w:tcMar>
                    <w:left w:w="0" w:type="dxa"/>
                    <w:right w:w="0" w:type="dxa"/>
                  </w:tcMar>
                  <w:vAlign w:val="center"/>
                </w:tcPr>
                <w:p>
                  <w:pPr>
                    <w:pStyle w:val="19"/>
                    <w:adjustRightInd w:val="0"/>
                    <w:snapToGrid w:val="0"/>
                    <w:jc w:val="center"/>
                    <w:rPr>
                      <w:rFonts w:ascii="Times New Roman" w:hAnsi="Times New Roman"/>
                      <w:bCs/>
                      <w:color w:val="auto"/>
                      <w:szCs w:val="21"/>
                    </w:rPr>
                  </w:pPr>
                  <w:r>
                    <w:rPr>
                      <w:rFonts w:hint="eastAsia" w:ascii="Times New Roman" w:hAnsi="Times New Roman"/>
                      <w:bCs/>
                      <w:color w:val="auto"/>
                      <w:szCs w:val="21"/>
                    </w:rPr>
                    <w:t>78</w:t>
                  </w:r>
                  <w:r>
                    <w:rPr>
                      <w:rFonts w:ascii="Times New Roman" w:hAnsi="Times New Roman"/>
                      <w:bCs/>
                      <w:color w:val="auto"/>
                      <w:szCs w:val="21"/>
                    </w:rPr>
                    <w:t>.3</w:t>
                  </w:r>
                </w:p>
              </w:tc>
              <w:tc>
                <w:tcPr>
                  <w:tcW w:w="828" w:type="dxa"/>
                  <w:tcMar>
                    <w:left w:w="0" w:type="dxa"/>
                    <w:right w:w="0" w:type="dxa"/>
                  </w:tcMar>
                  <w:vAlign w:val="center"/>
                </w:tcPr>
                <w:p>
                  <w:pPr>
                    <w:pStyle w:val="19"/>
                    <w:adjustRightInd w:val="0"/>
                    <w:snapToGrid w:val="0"/>
                    <w:jc w:val="center"/>
                    <w:rPr>
                      <w:rFonts w:ascii="Times New Roman" w:hAnsi="Times New Roman"/>
                      <w:bCs/>
                      <w:color w:val="auto"/>
                      <w:szCs w:val="21"/>
                    </w:rPr>
                  </w:pPr>
                  <w:r>
                    <w:rPr>
                      <w:rFonts w:hint="eastAsia" w:ascii="Times New Roman" w:hAnsi="Times New Roman"/>
                      <w:bCs/>
                      <w:color w:val="auto"/>
                      <w:szCs w:val="21"/>
                    </w:rPr>
                    <w:t>74</w:t>
                  </w:r>
                  <w:r>
                    <w:rPr>
                      <w:rFonts w:ascii="Times New Roman" w:hAnsi="Times New Roman"/>
                      <w:bCs/>
                      <w:color w:val="auto"/>
                      <w:szCs w:val="21"/>
                    </w:rPr>
                    <w:t>.</w:t>
                  </w:r>
                  <w:r>
                    <w:rPr>
                      <w:rFonts w:hint="eastAsia" w:ascii="Times New Roman" w:hAnsi="Times New Roman"/>
                      <w:bCs/>
                      <w:color w:val="auto"/>
                      <w:szCs w:val="21"/>
                    </w:rPr>
                    <w:t>2</w:t>
                  </w:r>
                </w:p>
              </w:tc>
              <w:tc>
                <w:tcPr>
                  <w:tcW w:w="847" w:type="dxa"/>
                  <w:tcMar>
                    <w:left w:w="0" w:type="dxa"/>
                    <w:right w:w="0" w:type="dxa"/>
                  </w:tcMar>
                  <w:vAlign w:val="center"/>
                </w:tcPr>
                <w:p>
                  <w:pPr>
                    <w:pStyle w:val="19"/>
                    <w:adjustRightInd w:val="0"/>
                    <w:snapToGrid w:val="0"/>
                    <w:jc w:val="center"/>
                    <w:rPr>
                      <w:rFonts w:ascii="Times New Roman" w:hAnsi="Times New Roman"/>
                      <w:bCs/>
                      <w:color w:val="auto"/>
                      <w:szCs w:val="21"/>
                    </w:rPr>
                  </w:pPr>
                  <w:r>
                    <w:rPr>
                      <w:rFonts w:hint="eastAsia" w:ascii="Times New Roman" w:hAnsi="Times New Roman"/>
                      <w:bCs/>
                      <w:color w:val="auto"/>
                      <w:szCs w:val="21"/>
                    </w:rPr>
                    <w:t>7</w:t>
                  </w:r>
                  <w:r>
                    <w:rPr>
                      <w:rFonts w:ascii="Times New Roman" w:hAnsi="Times New Roman"/>
                      <w:bCs/>
                      <w:color w:val="auto"/>
                      <w:szCs w:val="21"/>
                    </w:rPr>
                    <w:t>2.</w:t>
                  </w:r>
                  <w:r>
                    <w:rPr>
                      <w:rFonts w:hint="eastAsia" w:ascii="Times New Roman" w:hAnsi="Times New Roman"/>
                      <w:bCs/>
                      <w:color w:val="auto"/>
                      <w:szCs w:val="21"/>
                    </w:rPr>
                    <w:t>1</w:t>
                  </w:r>
                </w:p>
              </w:tc>
              <w:tc>
                <w:tcPr>
                  <w:tcW w:w="847" w:type="dxa"/>
                  <w:tcMar>
                    <w:left w:w="0" w:type="dxa"/>
                    <w:right w:w="0" w:type="dxa"/>
                  </w:tcMar>
                  <w:vAlign w:val="center"/>
                </w:tcPr>
                <w:p>
                  <w:pPr>
                    <w:pStyle w:val="19"/>
                    <w:adjustRightInd w:val="0"/>
                    <w:snapToGrid w:val="0"/>
                    <w:jc w:val="center"/>
                    <w:rPr>
                      <w:rFonts w:ascii="Times New Roman" w:hAnsi="Times New Roman"/>
                      <w:bCs/>
                      <w:color w:val="auto"/>
                      <w:szCs w:val="21"/>
                    </w:rPr>
                  </w:pPr>
                  <w:r>
                    <w:rPr>
                      <w:rFonts w:ascii="Times New Roman" w:hAnsi="Times New Roman"/>
                      <w:bCs/>
                      <w:color w:val="auto"/>
                      <w:szCs w:val="21"/>
                    </w:rPr>
                    <w:t>6</w:t>
                  </w:r>
                  <w:r>
                    <w:rPr>
                      <w:rFonts w:hint="eastAsia" w:ascii="Times New Roman" w:hAnsi="Times New Roman"/>
                      <w:bCs/>
                      <w:color w:val="auto"/>
                      <w:szCs w:val="21"/>
                    </w:rPr>
                    <w:t>8</w:t>
                  </w:r>
                  <w:r>
                    <w:rPr>
                      <w:rFonts w:ascii="Times New Roman" w:hAnsi="Times New Roman"/>
                      <w:bCs/>
                      <w:color w:val="auto"/>
                      <w:szCs w:val="21"/>
                    </w:rPr>
                    <w:t>.</w:t>
                  </w:r>
                  <w:r>
                    <w:rPr>
                      <w:rFonts w:hint="eastAsia" w:ascii="Times New Roman" w:hAnsi="Times New Roman"/>
                      <w:bCs/>
                      <w:color w:val="auto"/>
                      <w:szCs w:val="21"/>
                    </w:rPr>
                    <w:t>7</w:t>
                  </w:r>
                </w:p>
              </w:tc>
              <w:tc>
                <w:tcPr>
                  <w:tcW w:w="849" w:type="dxa"/>
                  <w:tcMar>
                    <w:left w:w="0" w:type="dxa"/>
                    <w:right w:w="0" w:type="dxa"/>
                  </w:tcMar>
                  <w:vAlign w:val="center"/>
                </w:tcPr>
                <w:p>
                  <w:pPr>
                    <w:pStyle w:val="19"/>
                    <w:adjustRightInd w:val="0"/>
                    <w:snapToGrid w:val="0"/>
                    <w:jc w:val="center"/>
                    <w:rPr>
                      <w:rFonts w:ascii="Times New Roman" w:hAnsi="Times New Roman"/>
                      <w:bCs/>
                      <w:color w:val="auto"/>
                      <w:szCs w:val="21"/>
                    </w:rPr>
                  </w:pPr>
                  <w:r>
                    <w:rPr>
                      <w:rFonts w:hint="eastAsia" w:ascii="Times New Roman" w:hAnsi="Times New Roman"/>
                      <w:bCs/>
                      <w:color w:val="auto"/>
                      <w:szCs w:val="21"/>
                    </w:rPr>
                    <w:t>65</w:t>
                  </w:r>
                  <w:r>
                    <w:rPr>
                      <w:rFonts w:ascii="Times New Roman" w:hAnsi="Times New Roman"/>
                      <w:bCs/>
                      <w:color w:val="auto"/>
                      <w:szCs w:val="21"/>
                    </w:rPr>
                    <w:t>.8</w:t>
                  </w:r>
                </w:p>
              </w:tc>
              <w:tc>
                <w:tcPr>
                  <w:tcW w:w="847" w:type="dxa"/>
                  <w:tcMar>
                    <w:left w:w="0" w:type="dxa"/>
                    <w:right w:w="0" w:type="dxa"/>
                  </w:tcMar>
                  <w:vAlign w:val="center"/>
                </w:tcPr>
                <w:p>
                  <w:pPr>
                    <w:pStyle w:val="19"/>
                    <w:adjustRightInd w:val="0"/>
                    <w:snapToGrid w:val="0"/>
                    <w:jc w:val="center"/>
                    <w:rPr>
                      <w:rFonts w:ascii="Times New Roman" w:hAnsi="Times New Roman"/>
                      <w:bCs/>
                      <w:color w:val="auto"/>
                      <w:szCs w:val="21"/>
                    </w:rPr>
                  </w:pPr>
                  <w:r>
                    <w:rPr>
                      <w:rFonts w:hint="eastAsia" w:ascii="Times New Roman" w:hAnsi="Times New Roman"/>
                      <w:bCs/>
                      <w:color w:val="auto"/>
                      <w:szCs w:val="21"/>
                    </w:rPr>
                    <w:t>62</w:t>
                  </w:r>
                  <w:r>
                    <w:rPr>
                      <w:rFonts w:ascii="Times New Roman" w:hAnsi="Times New Roman"/>
                      <w:bCs/>
                      <w:color w:val="auto"/>
                      <w:szCs w:val="21"/>
                    </w:rPr>
                    <w:t>.</w:t>
                  </w:r>
                  <w:r>
                    <w:rPr>
                      <w:rFonts w:hint="eastAsia" w:ascii="Times New Roman" w:hAnsi="Times New Roman"/>
                      <w:bCs/>
                      <w:color w:val="auto"/>
                      <w:szCs w:val="21"/>
                    </w:rPr>
                    <w:t>4</w:t>
                  </w:r>
                </w:p>
              </w:tc>
              <w:tc>
                <w:tcPr>
                  <w:tcW w:w="914" w:type="dxa"/>
                  <w:tcMar>
                    <w:left w:w="0" w:type="dxa"/>
                    <w:right w:w="0" w:type="dxa"/>
                  </w:tcMar>
                  <w:vAlign w:val="center"/>
                </w:tcPr>
                <w:p>
                  <w:pPr>
                    <w:pStyle w:val="19"/>
                    <w:adjustRightInd w:val="0"/>
                    <w:snapToGrid w:val="0"/>
                    <w:jc w:val="center"/>
                    <w:rPr>
                      <w:rFonts w:ascii="Times New Roman" w:hAnsi="Times New Roman"/>
                      <w:bCs/>
                      <w:color w:val="auto"/>
                      <w:szCs w:val="21"/>
                    </w:rPr>
                  </w:pPr>
                  <w:r>
                    <w:rPr>
                      <w:rFonts w:hint="eastAsia" w:ascii="Times New Roman" w:hAnsi="Times New Roman"/>
                      <w:bCs/>
                      <w:color w:val="auto"/>
                      <w:szCs w:val="21"/>
                    </w:rPr>
                    <w:t>59</w:t>
                  </w:r>
                  <w:r>
                    <w:rPr>
                      <w:rFonts w:ascii="Times New Roman" w:hAnsi="Times New Roman"/>
                      <w:bCs/>
                      <w:color w:val="auto"/>
                      <w:szCs w:val="21"/>
                    </w:rPr>
                    <w:t>.8</w:t>
                  </w:r>
                </w:p>
              </w:tc>
              <w:tc>
                <w:tcPr>
                  <w:tcW w:w="921" w:type="dxa"/>
                  <w:tcMar>
                    <w:left w:w="0" w:type="dxa"/>
                    <w:right w:w="0" w:type="dxa"/>
                  </w:tcMar>
                  <w:vAlign w:val="center"/>
                </w:tcPr>
                <w:p>
                  <w:pPr>
                    <w:pStyle w:val="19"/>
                    <w:adjustRightInd w:val="0"/>
                    <w:snapToGrid w:val="0"/>
                    <w:jc w:val="center"/>
                    <w:rPr>
                      <w:rFonts w:ascii="Times New Roman" w:hAnsi="Times New Roman"/>
                      <w:bCs/>
                      <w:color w:val="auto"/>
                      <w:szCs w:val="21"/>
                    </w:rPr>
                  </w:pPr>
                  <w:r>
                    <w:rPr>
                      <w:rFonts w:hint="eastAsia" w:ascii="Times New Roman" w:hAnsi="Times New Roman"/>
                      <w:bCs/>
                      <w:color w:val="auto"/>
                      <w:szCs w:val="21"/>
                    </w:rPr>
                    <w:t>54</w:t>
                  </w:r>
                  <w:r>
                    <w:rPr>
                      <w:rFonts w:ascii="Times New Roman" w:hAnsi="Times New Roman"/>
                      <w:bCs/>
                      <w:color w:val="auto"/>
                      <w:szCs w:val="21"/>
                    </w:rPr>
                    <w:t>.</w:t>
                  </w:r>
                  <w:r>
                    <w:rPr>
                      <w:rFonts w:hint="eastAsia" w:ascii="Times New Roman" w:hAnsi="Times New Roman"/>
                      <w:bCs/>
                      <w:color w:val="auto"/>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9" w:hRule="exact"/>
              </w:trPr>
              <w:tc>
                <w:tcPr>
                  <w:tcW w:w="1442" w:type="dxa"/>
                  <w:tcMar>
                    <w:left w:w="0" w:type="dxa"/>
                    <w:right w:w="0" w:type="dxa"/>
                  </w:tcMar>
                  <w:vAlign w:val="center"/>
                </w:tcPr>
                <w:p>
                  <w:pPr>
                    <w:pStyle w:val="19"/>
                    <w:adjustRightInd w:val="0"/>
                    <w:snapToGrid w:val="0"/>
                    <w:jc w:val="center"/>
                    <w:rPr>
                      <w:rFonts w:ascii="Times New Roman" w:hAnsi="Times New Roman"/>
                      <w:bCs/>
                      <w:color w:val="auto"/>
                      <w:szCs w:val="21"/>
                    </w:rPr>
                  </w:pPr>
                  <w:r>
                    <w:rPr>
                      <w:rFonts w:hint="eastAsia" w:ascii="Times New Roman" w:hAnsi="Times New Roman"/>
                      <w:bCs/>
                      <w:color w:val="auto"/>
                      <w:szCs w:val="21"/>
                    </w:rPr>
                    <w:t>空压机</w:t>
                  </w:r>
                </w:p>
              </w:tc>
              <w:tc>
                <w:tcPr>
                  <w:tcW w:w="849" w:type="dxa"/>
                  <w:tcMar>
                    <w:left w:w="0" w:type="dxa"/>
                    <w:right w:w="0" w:type="dxa"/>
                  </w:tcMar>
                  <w:vAlign w:val="center"/>
                </w:tcPr>
                <w:p>
                  <w:pPr>
                    <w:pStyle w:val="19"/>
                    <w:adjustRightInd w:val="0"/>
                    <w:snapToGrid w:val="0"/>
                    <w:jc w:val="center"/>
                    <w:rPr>
                      <w:rFonts w:ascii="Times New Roman" w:hAnsi="Times New Roman"/>
                      <w:bCs/>
                      <w:color w:val="auto"/>
                      <w:szCs w:val="21"/>
                    </w:rPr>
                  </w:pPr>
                  <w:r>
                    <w:rPr>
                      <w:rFonts w:hint="eastAsia" w:ascii="Times New Roman" w:hAnsi="Times New Roman"/>
                      <w:bCs/>
                      <w:color w:val="auto"/>
                      <w:szCs w:val="21"/>
                    </w:rPr>
                    <w:t>8</w:t>
                  </w:r>
                  <w:r>
                    <w:rPr>
                      <w:rFonts w:ascii="Times New Roman" w:hAnsi="Times New Roman"/>
                      <w:bCs/>
                      <w:color w:val="auto"/>
                      <w:szCs w:val="21"/>
                    </w:rPr>
                    <w:t>4.</w:t>
                  </w:r>
                  <w:r>
                    <w:rPr>
                      <w:rFonts w:hint="eastAsia" w:ascii="Times New Roman" w:hAnsi="Times New Roman"/>
                      <w:bCs/>
                      <w:color w:val="auto"/>
                      <w:szCs w:val="21"/>
                    </w:rPr>
                    <w:t>2</w:t>
                  </w:r>
                </w:p>
              </w:tc>
              <w:tc>
                <w:tcPr>
                  <w:tcW w:w="828" w:type="dxa"/>
                  <w:tcMar>
                    <w:left w:w="0" w:type="dxa"/>
                    <w:right w:w="0" w:type="dxa"/>
                  </w:tcMar>
                  <w:vAlign w:val="center"/>
                </w:tcPr>
                <w:p>
                  <w:pPr>
                    <w:pStyle w:val="19"/>
                    <w:adjustRightInd w:val="0"/>
                    <w:snapToGrid w:val="0"/>
                    <w:jc w:val="center"/>
                    <w:rPr>
                      <w:rFonts w:ascii="Times New Roman" w:hAnsi="Times New Roman"/>
                      <w:bCs/>
                      <w:color w:val="auto"/>
                      <w:szCs w:val="21"/>
                    </w:rPr>
                  </w:pPr>
                  <w:r>
                    <w:rPr>
                      <w:rFonts w:hint="eastAsia" w:ascii="Times New Roman" w:hAnsi="Times New Roman"/>
                      <w:bCs/>
                      <w:color w:val="auto"/>
                      <w:szCs w:val="21"/>
                    </w:rPr>
                    <w:t>77</w:t>
                  </w:r>
                  <w:r>
                    <w:rPr>
                      <w:rFonts w:ascii="Times New Roman" w:hAnsi="Times New Roman"/>
                      <w:bCs/>
                      <w:color w:val="auto"/>
                      <w:szCs w:val="21"/>
                    </w:rPr>
                    <w:t>.3</w:t>
                  </w:r>
                </w:p>
              </w:tc>
              <w:tc>
                <w:tcPr>
                  <w:tcW w:w="828" w:type="dxa"/>
                  <w:tcMar>
                    <w:left w:w="0" w:type="dxa"/>
                    <w:right w:w="0" w:type="dxa"/>
                  </w:tcMar>
                  <w:vAlign w:val="center"/>
                </w:tcPr>
                <w:p>
                  <w:pPr>
                    <w:pStyle w:val="19"/>
                    <w:adjustRightInd w:val="0"/>
                    <w:snapToGrid w:val="0"/>
                    <w:jc w:val="center"/>
                    <w:rPr>
                      <w:rFonts w:ascii="Times New Roman" w:hAnsi="Times New Roman"/>
                      <w:bCs/>
                      <w:color w:val="auto"/>
                      <w:szCs w:val="21"/>
                    </w:rPr>
                  </w:pPr>
                  <w:r>
                    <w:rPr>
                      <w:rFonts w:hint="eastAsia" w:ascii="Times New Roman" w:hAnsi="Times New Roman"/>
                      <w:bCs/>
                      <w:color w:val="auto"/>
                      <w:szCs w:val="21"/>
                    </w:rPr>
                    <w:t>7</w:t>
                  </w:r>
                  <w:r>
                    <w:rPr>
                      <w:rFonts w:ascii="Times New Roman" w:hAnsi="Times New Roman"/>
                      <w:bCs/>
                      <w:color w:val="auto"/>
                      <w:szCs w:val="21"/>
                    </w:rPr>
                    <w:t>4.</w:t>
                  </w:r>
                  <w:r>
                    <w:rPr>
                      <w:rFonts w:hint="eastAsia" w:ascii="Times New Roman" w:hAnsi="Times New Roman"/>
                      <w:bCs/>
                      <w:color w:val="auto"/>
                      <w:szCs w:val="21"/>
                    </w:rPr>
                    <w:t>5</w:t>
                  </w:r>
                </w:p>
              </w:tc>
              <w:tc>
                <w:tcPr>
                  <w:tcW w:w="847" w:type="dxa"/>
                  <w:tcMar>
                    <w:left w:w="0" w:type="dxa"/>
                    <w:right w:w="0" w:type="dxa"/>
                  </w:tcMar>
                  <w:vAlign w:val="center"/>
                </w:tcPr>
                <w:p>
                  <w:pPr>
                    <w:pStyle w:val="19"/>
                    <w:adjustRightInd w:val="0"/>
                    <w:snapToGrid w:val="0"/>
                    <w:jc w:val="center"/>
                    <w:rPr>
                      <w:rFonts w:ascii="Times New Roman" w:hAnsi="Times New Roman"/>
                      <w:bCs/>
                      <w:color w:val="auto"/>
                      <w:szCs w:val="21"/>
                    </w:rPr>
                  </w:pPr>
                  <w:r>
                    <w:rPr>
                      <w:rFonts w:hint="eastAsia" w:ascii="Times New Roman" w:hAnsi="Times New Roman"/>
                      <w:bCs/>
                      <w:color w:val="auto"/>
                      <w:szCs w:val="21"/>
                    </w:rPr>
                    <w:t>7</w:t>
                  </w:r>
                  <w:r>
                    <w:rPr>
                      <w:rFonts w:ascii="Times New Roman" w:hAnsi="Times New Roman"/>
                      <w:bCs/>
                      <w:color w:val="auto"/>
                      <w:szCs w:val="21"/>
                    </w:rPr>
                    <w:t>2.</w:t>
                  </w:r>
                  <w:r>
                    <w:rPr>
                      <w:rFonts w:hint="eastAsia" w:ascii="Times New Roman" w:hAnsi="Times New Roman"/>
                      <w:bCs/>
                      <w:color w:val="auto"/>
                      <w:szCs w:val="21"/>
                    </w:rPr>
                    <w:t>7</w:t>
                  </w:r>
                </w:p>
              </w:tc>
              <w:tc>
                <w:tcPr>
                  <w:tcW w:w="847" w:type="dxa"/>
                  <w:tcMar>
                    <w:left w:w="0" w:type="dxa"/>
                    <w:right w:w="0" w:type="dxa"/>
                  </w:tcMar>
                  <w:vAlign w:val="center"/>
                </w:tcPr>
                <w:p>
                  <w:pPr>
                    <w:pStyle w:val="19"/>
                    <w:adjustRightInd w:val="0"/>
                    <w:snapToGrid w:val="0"/>
                    <w:jc w:val="center"/>
                    <w:rPr>
                      <w:rFonts w:ascii="Times New Roman" w:hAnsi="Times New Roman"/>
                      <w:bCs/>
                      <w:color w:val="auto"/>
                      <w:szCs w:val="21"/>
                    </w:rPr>
                  </w:pPr>
                  <w:r>
                    <w:rPr>
                      <w:rFonts w:ascii="Times New Roman" w:hAnsi="Times New Roman"/>
                      <w:bCs/>
                      <w:color w:val="auto"/>
                      <w:szCs w:val="21"/>
                    </w:rPr>
                    <w:t>6</w:t>
                  </w:r>
                  <w:r>
                    <w:rPr>
                      <w:rFonts w:hint="eastAsia" w:ascii="Times New Roman" w:hAnsi="Times New Roman"/>
                      <w:bCs/>
                      <w:color w:val="auto"/>
                      <w:szCs w:val="21"/>
                    </w:rPr>
                    <w:t>7</w:t>
                  </w:r>
                  <w:r>
                    <w:rPr>
                      <w:rFonts w:ascii="Times New Roman" w:hAnsi="Times New Roman"/>
                      <w:bCs/>
                      <w:color w:val="auto"/>
                      <w:szCs w:val="21"/>
                    </w:rPr>
                    <w:t>.3</w:t>
                  </w:r>
                </w:p>
              </w:tc>
              <w:tc>
                <w:tcPr>
                  <w:tcW w:w="849" w:type="dxa"/>
                  <w:tcMar>
                    <w:left w:w="0" w:type="dxa"/>
                    <w:right w:w="0" w:type="dxa"/>
                  </w:tcMar>
                  <w:vAlign w:val="center"/>
                </w:tcPr>
                <w:p>
                  <w:pPr>
                    <w:pStyle w:val="19"/>
                    <w:adjustRightInd w:val="0"/>
                    <w:snapToGrid w:val="0"/>
                    <w:jc w:val="center"/>
                    <w:rPr>
                      <w:rFonts w:ascii="Times New Roman" w:hAnsi="Times New Roman"/>
                      <w:bCs/>
                      <w:color w:val="auto"/>
                      <w:szCs w:val="21"/>
                    </w:rPr>
                  </w:pPr>
                  <w:r>
                    <w:rPr>
                      <w:rFonts w:hint="eastAsia" w:ascii="Times New Roman" w:hAnsi="Times New Roman"/>
                      <w:bCs/>
                      <w:color w:val="auto"/>
                      <w:szCs w:val="21"/>
                    </w:rPr>
                    <w:t>63</w:t>
                  </w:r>
                  <w:r>
                    <w:rPr>
                      <w:rFonts w:ascii="Times New Roman" w:hAnsi="Times New Roman"/>
                      <w:bCs/>
                      <w:color w:val="auto"/>
                      <w:szCs w:val="21"/>
                    </w:rPr>
                    <w:t>.</w:t>
                  </w:r>
                  <w:r>
                    <w:rPr>
                      <w:rFonts w:hint="eastAsia" w:ascii="Times New Roman" w:hAnsi="Times New Roman"/>
                      <w:bCs/>
                      <w:color w:val="auto"/>
                      <w:szCs w:val="21"/>
                    </w:rPr>
                    <w:t>6</w:t>
                  </w:r>
                </w:p>
              </w:tc>
              <w:tc>
                <w:tcPr>
                  <w:tcW w:w="847" w:type="dxa"/>
                  <w:tcMar>
                    <w:left w:w="0" w:type="dxa"/>
                    <w:right w:w="0" w:type="dxa"/>
                  </w:tcMar>
                  <w:vAlign w:val="center"/>
                </w:tcPr>
                <w:p>
                  <w:pPr>
                    <w:pStyle w:val="19"/>
                    <w:adjustRightInd w:val="0"/>
                    <w:snapToGrid w:val="0"/>
                    <w:jc w:val="center"/>
                    <w:rPr>
                      <w:rFonts w:ascii="Times New Roman" w:hAnsi="Times New Roman"/>
                      <w:bCs/>
                      <w:color w:val="auto"/>
                      <w:szCs w:val="21"/>
                    </w:rPr>
                  </w:pPr>
                  <w:r>
                    <w:rPr>
                      <w:rFonts w:hint="eastAsia" w:ascii="Times New Roman" w:hAnsi="Times New Roman"/>
                      <w:bCs/>
                      <w:color w:val="auto"/>
                      <w:szCs w:val="21"/>
                    </w:rPr>
                    <w:t>60</w:t>
                  </w:r>
                  <w:r>
                    <w:rPr>
                      <w:rFonts w:ascii="Times New Roman" w:hAnsi="Times New Roman"/>
                      <w:bCs/>
                      <w:color w:val="auto"/>
                      <w:szCs w:val="21"/>
                    </w:rPr>
                    <w:t>.3</w:t>
                  </w:r>
                </w:p>
              </w:tc>
              <w:tc>
                <w:tcPr>
                  <w:tcW w:w="914" w:type="dxa"/>
                  <w:tcMar>
                    <w:left w:w="0" w:type="dxa"/>
                    <w:right w:w="0" w:type="dxa"/>
                  </w:tcMar>
                  <w:vAlign w:val="center"/>
                </w:tcPr>
                <w:p>
                  <w:pPr>
                    <w:pStyle w:val="19"/>
                    <w:adjustRightInd w:val="0"/>
                    <w:snapToGrid w:val="0"/>
                    <w:jc w:val="center"/>
                    <w:rPr>
                      <w:rFonts w:ascii="Times New Roman" w:hAnsi="Times New Roman"/>
                      <w:bCs/>
                      <w:color w:val="auto"/>
                      <w:szCs w:val="21"/>
                    </w:rPr>
                  </w:pPr>
                  <w:r>
                    <w:rPr>
                      <w:rFonts w:ascii="Times New Roman" w:hAnsi="Times New Roman"/>
                      <w:bCs/>
                      <w:color w:val="auto"/>
                      <w:szCs w:val="21"/>
                    </w:rPr>
                    <w:t>5</w:t>
                  </w:r>
                  <w:r>
                    <w:rPr>
                      <w:rFonts w:hint="eastAsia" w:ascii="Times New Roman" w:hAnsi="Times New Roman"/>
                      <w:bCs/>
                      <w:color w:val="auto"/>
                      <w:szCs w:val="21"/>
                    </w:rPr>
                    <w:t>6</w:t>
                  </w:r>
                  <w:r>
                    <w:rPr>
                      <w:rFonts w:ascii="Times New Roman" w:hAnsi="Times New Roman"/>
                      <w:bCs/>
                      <w:color w:val="auto"/>
                      <w:szCs w:val="21"/>
                    </w:rPr>
                    <w:t>.</w:t>
                  </w:r>
                  <w:r>
                    <w:rPr>
                      <w:rFonts w:hint="eastAsia" w:ascii="Times New Roman" w:hAnsi="Times New Roman"/>
                      <w:bCs/>
                      <w:color w:val="auto"/>
                      <w:szCs w:val="21"/>
                    </w:rPr>
                    <w:t>7</w:t>
                  </w:r>
                </w:p>
              </w:tc>
              <w:tc>
                <w:tcPr>
                  <w:tcW w:w="921" w:type="dxa"/>
                  <w:tcMar>
                    <w:left w:w="0" w:type="dxa"/>
                    <w:right w:w="0" w:type="dxa"/>
                  </w:tcMar>
                  <w:vAlign w:val="center"/>
                </w:tcPr>
                <w:p>
                  <w:pPr>
                    <w:pStyle w:val="19"/>
                    <w:adjustRightInd w:val="0"/>
                    <w:snapToGrid w:val="0"/>
                    <w:jc w:val="center"/>
                    <w:rPr>
                      <w:rFonts w:ascii="Times New Roman" w:hAnsi="Times New Roman"/>
                      <w:bCs/>
                      <w:color w:val="auto"/>
                      <w:szCs w:val="21"/>
                    </w:rPr>
                  </w:pPr>
                  <w:r>
                    <w:rPr>
                      <w:rFonts w:hint="eastAsia" w:ascii="Times New Roman" w:hAnsi="Times New Roman"/>
                      <w:bCs/>
                      <w:color w:val="auto"/>
                      <w:szCs w:val="21"/>
                    </w:rPr>
                    <w:t>52</w:t>
                  </w:r>
                  <w:r>
                    <w:rPr>
                      <w:rFonts w:ascii="Times New Roman" w:hAnsi="Times New Roman"/>
                      <w:bCs/>
                      <w:color w:val="auto"/>
                      <w:szCs w:val="21"/>
                    </w:rPr>
                    <w:t>.3</w:t>
                  </w:r>
                </w:p>
              </w:tc>
            </w:tr>
          </w:tbl>
          <w:p>
            <w:pPr>
              <w:pStyle w:val="19"/>
              <w:adjustRightInd w:val="0"/>
              <w:snapToGrid w:val="0"/>
              <w:spacing w:line="460" w:lineRule="exact"/>
              <w:ind w:firstLine="480" w:firstLineChars="200"/>
              <w:rPr>
                <w:rFonts w:ascii="Times New Roman" w:hAnsi="Times New Roman"/>
                <w:color w:val="auto"/>
                <w:sz w:val="24"/>
              </w:rPr>
            </w:pPr>
            <w:r>
              <w:rPr>
                <w:rFonts w:ascii="Times New Roman" w:hAnsi="Times New Roman"/>
                <w:color w:val="auto"/>
                <w:sz w:val="24"/>
              </w:rPr>
              <w:t>由表18可知：以上机械设备进行施工作业时产生的噪声值在半径20m内较大，根据《建筑施工场界环境噪声排放标准》（GB12523-2011）中对于施工场界噪声值的规定，其噪声值几乎全部接近和超过标准。</w:t>
            </w:r>
          </w:p>
          <w:p>
            <w:pPr>
              <w:spacing w:line="460" w:lineRule="exact"/>
              <w:ind w:firstLine="480" w:firstLineChars="200"/>
              <w:rPr>
                <w:bCs/>
                <w:color w:val="auto"/>
                <w:sz w:val="24"/>
              </w:rPr>
            </w:pPr>
            <w:r>
              <w:rPr>
                <w:color w:val="auto"/>
                <w:sz w:val="24"/>
              </w:rPr>
              <w:t>施工期噪声对周围声</w:t>
            </w:r>
            <w:r>
              <w:rPr>
                <w:bCs/>
                <w:color w:val="auto"/>
                <w:sz w:val="24"/>
              </w:rPr>
              <w:t>环境产生一定的影响，由于本项目沿线存在</w:t>
            </w:r>
            <w:r>
              <w:rPr>
                <w:rFonts w:hint="eastAsia"/>
                <w:bCs/>
                <w:color w:val="auto"/>
                <w:sz w:val="24"/>
              </w:rPr>
              <w:t>较多学校、居民区、卫生站等敏感点</w:t>
            </w:r>
            <w:r>
              <w:rPr>
                <w:bCs/>
                <w:color w:val="auto"/>
                <w:sz w:val="24"/>
              </w:rPr>
              <w:t>。为避免施工期噪声对沿线居民以及周围声环境造成影响，</w:t>
            </w:r>
            <w:r>
              <w:rPr>
                <w:color w:val="auto"/>
                <w:sz w:val="24"/>
              </w:rPr>
              <w:t>因此</w:t>
            </w:r>
            <w:r>
              <w:rPr>
                <w:bCs/>
                <w:color w:val="auto"/>
                <w:sz w:val="24"/>
              </w:rPr>
              <w:t>，要求建设单位在施工期采取以下相应措施：</w:t>
            </w:r>
          </w:p>
          <w:p>
            <w:pPr>
              <w:spacing w:line="460" w:lineRule="exact"/>
              <w:ind w:firstLine="480"/>
              <w:rPr>
                <w:color w:val="auto"/>
                <w:sz w:val="24"/>
              </w:rPr>
            </w:pPr>
            <w:r>
              <w:rPr>
                <w:color w:val="auto"/>
                <w:sz w:val="24"/>
              </w:rPr>
              <w:t>（1）采用较先进、噪声较低的施工设备，对高噪声设备进行隔声、减振等措施，禁止夜间运行的设备应严格执行有关规定。</w:t>
            </w:r>
          </w:p>
          <w:p>
            <w:pPr>
              <w:spacing w:line="460" w:lineRule="exact"/>
              <w:ind w:firstLine="480"/>
              <w:rPr>
                <w:color w:val="auto"/>
                <w:sz w:val="24"/>
              </w:rPr>
            </w:pPr>
            <w:r>
              <w:rPr>
                <w:color w:val="auto"/>
                <w:sz w:val="24"/>
              </w:rPr>
              <w:t>（2）</w:t>
            </w:r>
            <w:r>
              <w:rPr>
                <w:color w:val="auto"/>
                <w:kern w:val="0"/>
                <w:sz w:val="24"/>
              </w:rPr>
              <w:t>对施工中的一些噪声较高的机械，在施工中要根据噪声传播的方向，合理布局它们的位置，并在其周围设置适宜的隔声装置</w:t>
            </w:r>
            <w:r>
              <w:rPr>
                <w:color w:val="auto"/>
                <w:sz w:val="24"/>
              </w:rPr>
              <w:t>。</w:t>
            </w:r>
          </w:p>
          <w:p>
            <w:pPr>
              <w:spacing w:line="460" w:lineRule="exact"/>
              <w:ind w:firstLine="480"/>
              <w:rPr>
                <w:color w:val="auto"/>
                <w:sz w:val="24"/>
              </w:rPr>
            </w:pPr>
            <w:r>
              <w:rPr>
                <w:color w:val="auto"/>
                <w:sz w:val="24"/>
              </w:rPr>
              <w:t>（3）在施工现场，采用柔性吸声屏代替目前通用的尼龙质地的围幕，即可抵挡建筑噪声，又可拦住杂物。</w:t>
            </w:r>
          </w:p>
          <w:p>
            <w:pPr>
              <w:spacing w:line="460" w:lineRule="exact"/>
              <w:ind w:firstLine="480"/>
              <w:rPr>
                <w:color w:val="auto"/>
                <w:sz w:val="24"/>
              </w:rPr>
            </w:pPr>
            <w:r>
              <w:rPr>
                <w:color w:val="auto"/>
                <w:sz w:val="24"/>
              </w:rPr>
              <w:t>（4）规范施工秩序，文明施工作业。</w:t>
            </w:r>
            <w:r>
              <w:rPr>
                <w:rFonts w:hint="eastAsia"/>
                <w:color w:val="auto"/>
                <w:sz w:val="24"/>
              </w:rPr>
              <w:t>施工设备设施</w:t>
            </w:r>
            <w:r>
              <w:rPr>
                <w:color w:val="auto"/>
                <w:sz w:val="24"/>
              </w:rPr>
              <w:t>应尽量安排在离居民点较远的地方使用，禁止在中午12:00至14:00和夜间22:00至第二天</w:t>
            </w:r>
            <w:r>
              <w:rPr>
                <w:rFonts w:hint="eastAsia"/>
                <w:color w:val="auto"/>
                <w:sz w:val="24"/>
              </w:rPr>
              <w:t>8</w:t>
            </w:r>
            <w:r>
              <w:rPr>
                <w:color w:val="auto"/>
                <w:sz w:val="24"/>
              </w:rPr>
              <w:t>:00之间进行施工，以防止噪声影响到周围居民的正常休息和工作。</w:t>
            </w:r>
          </w:p>
          <w:p>
            <w:pPr>
              <w:spacing w:line="460" w:lineRule="exact"/>
              <w:ind w:firstLine="480"/>
              <w:rPr>
                <w:color w:val="auto"/>
                <w:sz w:val="24"/>
              </w:rPr>
            </w:pPr>
            <w:r>
              <w:rPr>
                <w:color w:val="auto"/>
                <w:sz w:val="24"/>
              </w:rPr>
              <w:t>（5）对产生噪声的施工设备加强维护和维修工作，对噪声的降低有良好作用。</w:t>
            </w:r>
          </w:p>
          <w:p>
            <w:pPr>
              <w:adjustRightInd w:val="0"/>
              <w:snapToGrid w:val="0"/>
              <w:spacing w:line="460" w:lineRule="exact"/>
              <w:ind w:firstLine="480" w:firstLineChars="200"/>
              <w:rPr>
                <w:color w:val="auto"/>
                <w:sz w:val="24"/>
              </w:rPr>
            </w:pPr>
            <w:r>
              <w:rPr>
                <w:color w:val="auto"/>
                <w:sz w:val="24"/>
              </w:rPr>
              <w:t>在采取了各项有效防治措施的前提下，本项目施工不会对周围带来明显的不良影响。</w:t>
            </w:r>
          </w:p>
          <w:p>
            <w:pPr>
              <w:adjustRightInd w:val="0"/>
              <w:snapToGrid w:val="0"/>
              <w:spacing w:line="460" w:lineRule="exact"/>
              <w:ind w:firstLine="482" w:firstLineChars="200"/>
              <w:rPr>
                <w:b/>
                <w:color w:val="auto"/>
                <w:sz w:val="24"/>
              </w:rPr>
            </w:pPr>
            <w:r>
              <w:rPr>
                <w:b/>
                <w:color w:val="auto"/>
                <w:sz w:val="24"/>
              </w:rPr>
              <w:t>5、固体废弃物影响分析</w:t>
            </w:r>
          </w:p>
          <w:p>
            <w:pPr>
              <w:adjustRightInd w:val="0"/>
              <w:snapToGrid w:val="0"/>
              <w:spacing w:line="460" w:lineRule="exact"/>
              <w:ind w:firstLine="360" w:firstLineChars="150"/>
              <w:rPr>
                <w:color w:val="auto"/>
                <w:sz w:val="24"/>
              </w:rPr>
            </w:pPr>
            <w:r>
              <w:rPr>
                <w:color w:val="auto"/>
                <w:sz w:val="24"/>
              </w:rPr>
              <w:t>（1）施工期固体废弃物环境影响分析</w:t>
            </w:r>
          </w:p>
          <w:p>
            <w:pPr>
              <w:adjustRightInd w:val="0"/>
              <w:snapToGrid w:val="0"/>
              <w:spacing w:line="460" w:lineRule="exact"/>
              <w:ind w:firstLine="482"/>
              <w:rPr>
                <w:color w:val="auto"/>
                <w:sz w:val="24"/>
              </w:rPr>
            </w:pPr>
            <w:r>
              <w:rPr>
                <w:color w:val="auto"/>
                <w:sz w:val="24"/>
              </w:rPr>
              <w:t>施工工程中产生的固体废弃物如果不妥善处理无组织堆放，不采取积极的防护措施，将污染周围环境。如遇雨天，临时堆放的泥土会以“黄泥水”的形式进入排水沟，沉积堵塞排水沟。因此必须采取措施处置本项目施工产生的固体废弃物。</w:t>
            </w:r>
          </w:p>
          <w:p>
            <w:pPr>
              <w:adjustRightInd w:val="0"/>
              <w:snapToGrid w:val="0"/>
              <w:spacing w:line="460" w:lineRule="exact"/>
              <w:ind w:firstLine="482"/>
              <w:rPr>
                <w:color w:val="auto"/>
                <w:sz w:val="24"/>
              </w:rPr>
            </w:pPr>
            <w:r>
              <w:rPr>
                <w:color w:val="auto"/>
                <w:sz w:val="24"/>
              </w:rPr>
              <w:t>本项目施工期产生的固体废弃物主要是弃土</w:t>
            </w:r>
            <w:r>
              <w:rPr>
                <w:rFonts w:hint="eastAsia"/>
                <w:color w:val="auto"/>
                <w:sz w:val="24"/>
              </w:rPr>
              <w:t>、建筑垃圾</w:t>
            </w:r>
            <w:r>
              <w:rPr>
                <w:color w:val="auto"/>
                <w:sz w:val="24"/>
              </w:rPr>
              <w:t>和生活垃圾，弃土</w:t>
            </w:r>
            <w:r>
              <w:rPr>
                <w:rFonts w:hint="eastAsia"/>
                <w:color w:val="auto"/>
                <w:sz w:val="24"/>
              </w:rPr>
              <w:t>、建筑垃圾</w:t>
            </w:r>
            <w:r>
              <w:rPr>
                <w:color w:val="auto"/>
                <w:sz w:val="24"/>
              </w:rPr>
              <w:t>运往市政规定余泥渣土受纳点，生活垃圾统一收集后由环卫部门定期清运。</w:t>
            </w:r>
          </w:p>
          <w:p>
            <w:pPr>
              <w:adjustRightInd w:val="0"/>
              <w:snapToGrid w:val="0"/>
              <w:spacing w:line="460" w:lineRule="exact"/>
              <w:ind w:firstLine="482"/>
              <w:rPr>
                <w:color w:val="auto"/>
                <w:sz w:val="24"/>
              </w:rPr>
            </w:pPr>
            <w:r>
              <w:rPr>
                <w:color w:val="auto"/>
                <w:sz w:val="24"/>
              </w:rPr>
              <w:t>对于</w:t>
            </w:r>
            <w:r>
              <w:rPr>
                <w:rFonts w:hint="eastAsia"/>
                <w:color w:val="auto"/>
                <w:sz w:val="24"/>
              </w:rPr>
              <w:t>施工产生的</w:t>
            </w:r>
            <w:r>
              <w:rPr>
                <w:color w:val="auto"/>
                <w:sz w:val="24"/>
              </w:rPr>
              <w:t>垃圾应及时清运；对于施工产生废料处理，首先应考虑废料的回收利用，对钢筋钢板、管材等下脚料可分类回收，交废物收购站处理。加强管理，采取切实可行的措施，本项目施工期间产生的固体废物不会对环境产生明显的影响。</w:t>
            </w:r>
          </w:p>
          <w:p>
            <w:pPr>
              <w:adjustRightInd w:val="0"/>
              <w:snapToGrid w:val="0"/>
              <w:spacing w:line="460" w:lineRule="exact"/>
              <w:ind w:firstLine="482"/>
              <w:rPr>
                <w:color w:val="auto"/>
                <w:sz w:val="24"/>
              </w:rPr>
            </w:pPr>
            <w:r>
              <w:rPr>
                <w:color w:val="auto"/>
                <w:sz w:val="24"/>
              </w:rPr>
              <w:t>（2）施工期固体废弃物处置措施：</w:t>
            </w:r>
          </w:p>
          <w:p>
            <w:pPr>
              <w:adjustRightInd w:val="0"/>
              <w:snapToGrid w:val="0"/>
              <w:spacing w:line="460" w:lineRule="exact"/>
              <w:ind w:firstLine="482"/>
              <w:rPr>
                <w:color w:val="auto"/>
                <w:sz w:val="24"/>
              </w:rPr>
            </w:pPr>
            <w:r>
              <w:rPr>
                <w:rFonts w:hint="eastAsia" w:ascii="宋体" w:hAnsi="宋体" w:cs="宋体"/>
                <w:color w:val="auto"/>
                <w:sz w:val="24"/>
              </w:rPr>
              <w:t>①</w:t>
            </w:r>
            <w:r>
              <w:rPr>
                <w:color w:val="auto"/>
                <w:sz w:val="24"/>
              </w:rPr>
              <w:t>建设单位和施工单位要重视和加强建筑垃圾的管理，采取积极措施防止其对环境的污染。</w:t>
            </w:r>
          </w:p>
          <w:p>
            <w:pPr>
              <w:adjustRightInd w:val="0"/>
              <w:snapToGrid w:val="0"/>
              <w:spacing w:line="460" w:lineRule="exact"/>
              <w:ind w:firstLine="482"/>
              <w:rPr>
                <w:color w:val="auto"/>
                <w:sz w:val="24"/>
              </w:rPr>
            </w:pPr>
            <w:r>
              <w:rPr>
                <w:rFonts w:hint="eastAsia" w:ascii="宋体" w:hAnsi="宋体" w:cs="宋体"/>
                <w:color w:val="auto"/>
                <w:sz w:val="24"/>
              </w:rPr>
              <w:t>②</w:t>
            </w:r>
            <w:r>
              <w:rPr>
                <w:color w:val="auto"/>
                <w:sz w:val="24"/>
              </w:rPr>
              <w:t>施工单位要向当地市容卫生管理部门提出建筑垃圾处置的请示报告，经批准后将建筑垃圾清运到指定地点合理消纳，防止水土流失和破坏当地景观。</w:t>
            </w:r>
          </w:p>
          <w:p>
            <w:pPr>
              <w:adjustRightInd w:val="0"/>
              <w:snapToGrid w:val="0"/>
              <w:spacing w:line="460" w:lineRule="exact"/>
              <w:ind w:firstLine="482"/>
              <w:rPr>
                <w:color w:val="auto"/>
                <w:sz w:val="24"/>
              </w:rPr>
            </w:pPr>
            <w:r>
              <w:rPr>
                <w:rFonts w:hint="eastAsia" w:ascii="宋体" w:hAnsi="宋体" w:cs="宋体"/>
                <w:color w:val="auto"/>
                <w:sz w:val="24"/>
              </w:rPr>
              <w:t>③</w:t>
            </w:r>
            <w:r>
              <w:rPr>
                <w:color w:val="auto"/>
                <w:sz w:val="24"/>
              </w:rPr>
              <w:t>对施工期间产生的建筑垃圾进行分类收集、分类暂存，能够回收利用的尽量回收综合利用，以节约宝贵的资源。</w:t>
            </w:r>
          </w:p>
          <w:p>
            <w:pPr>
              <w:adjustRightInd w:val="0"/>
              <w:snapToGrid w:val="0"/>
              <w:spacing w:line="460" w:lineRule="exact"/>
              <w:ind w:firstLine="482"/>
              <w:rPr>
                <w:color w:val="auto"/>
                <w:sz w:val="24"/>
              </w:rPr>
            </w:pPr>
            <w:r>
              <w:rPr>
                <w:rFonts w:hint="eastAsia" w:ascii="宋体" w:hAnsi="宋体" w:cs="宋体"/>
                <w:color w:val="auto"/>
                <w:sz w:val="24"/>
              </w:rPr>
              <w:t>④</w:t>
            </w:r>
            <w:r>
              <w:rPr>
                <w:color w:val="auto"/>
                <w:sz w:val="24"/>
              </w:rPr>
              <w:t>对建筑垃圾要进行收集并固定地点集中暂存，尽量缩短暂存的时间，争取日产日清。同时要做好建筑垃圾暂存点的防护工作，避免风吹、雨淋散失或流失。</w:t>
            </w:r>
          </w:p>
          <w:p>
            <w:pPr>
              <w:adjustRightInd w:val="0"/>
              <w:snapToGrid w:val="0"/>
              <w:spacing w:line="460" w:lineRule="exact"/>
              <w:ind w:firstLine="482"/>
              <w:rPr>
                <w:color w:val="auto"/>
                <w:sz w:val="24"/>
              </w:rPr>
            </w:pPr>
            <w:r>
              <w:rPr>
                <w:rFonts w:hint="eastAsia" w:ascii="宋体" w:hAnsi="宋体" w:cs="宋体"/>
                <w:color w:val="auto"/>
                <w:sz w:val="24"/>
              </w:rPr>
              <w:t>⑤</w:t>
            </w:r>
            <w:r>
              <w:rPr>
                <w:color w:val="auto"/>
                <w:sz w:val="24"/>
              </w:rPr>
              <w:t>对施工期间产生的弃土应定期运往市政规定余泥渣土受纳厂处置。</w:t>
            </w:r>
          </w:p>
          <w:p>
            <w:pPr>
              <w:adjustRightInd w:val="0"/>
              <w:snapToGrid w:val="0"/>
              <w:spacing w:line="460" w:lineRule="exact"/>
              <w:ind w:firstLine="482"/>
              <w:rPr>
                <w:color w:val="auto"/>
                <w:sz w:val="24"/>
              </w:rPr>
            </w:pPr>
            <w:r>
              <w:rPr>
                <w:rFonts w:hint="eastAsia" w:ascii="宋体" w:hAnsi="宋体" w:cs="宋体"/>
                <w:color w:val="auto"/>
                <w:sz w:val="24"/>
              </w:rPr>
              <w:t>⑥</w:t>
            </w:r>
            <w:r>
              <w:rPr>
                <w:color w:val="auto"/>
                <w:sz w:val="24"/>
              </w:rPr>
              <w:t>生活垃圾交由当地环卫部门清运和统一集中处置，日产日清。</w:t>
            </w:r>
          </w:p>
          <w:p>
            <w:pPr>
              <w:adjustRightInd w:val="0"/>
              <w:snapToGrid w:val="0"/>
              <w:spacing w:line="460" w:lineRule="exact"/>
              <w:ind w:firstLine="482"/>
              <w:rPr>
                <w:color w:val="auto"/>
                <w:sz w:val="24"/>
              </w:rPr>
            </w:pPr>
            <w:r>
              <w:rPr>
                <w:rFonts w:hint="eastAsia" w:ascii="宋体" w:hAnsi="宋体" w:cs="宋体"/>
                <w:color w:val="auto"/>
                <w:sz w:val="24"/>
              </w:rPr>
              <w:t>⑦</w:t>
            </w:r>
            <w:r>
              <w:rPr>
                <w:color w:val="auto"/>
                <w:sz w:val="24"/>
              </w:rPr>
              <w:t>施工单位不准将各种固体废物随意丢弃和随意排放。</w:t>
            </w:r>
          </w:p>
          <w:p>
            <w:pPr>
              <w:adjustRightInd w:val="0"/>
              <w:snapToGrid w:val="0"/>
              <w:spacing w:line="460" w:lineRule="exact"/>
              <w:ind w:firstLine="482"/>
              <w:rPr>
                <w:color w:val="auto"/>
                <w:sz w:val="24"/>
              </w:rPr>
            </w:pPr>
            <w:r>
              <w:rPr>
                <w:color w:val="auto"/>
                <w:sz w:val="24"/>
              </w:rPr>
              <w:t>一般情况下，项目建设施工过程会对施工场地及周围地区的环境质量产生一定的影响，必须引起建设单位及施工单位的高度重视，切实做好防护措施，使其对环境的影响减至最低限度。</w:t>
            </w:r>
          </w:p>
          <w:p>
            <w:pPr>
              <w:adjustRightInd w:val="0"/>
              <w:snapToGrid w:val="0"/>
              <w:spacing w:line="460" w:lineRule="exact"/>
              <w:ind w:firstLine="482" w:firstLineChars="200"/>
              <w:rPr>
                <w:b/>
                <w:color w:val="auto"/>
                <w:sz w:val="24"/>
              </w:rPr>
            </w:pPr>
            <w:r>
              <w:rPr>
                <w:b/>
                <w:color w:val="auto"/>
                <w:sz w:val="24"/>
              </w:rPr>
              <w:t>6、交通影响分析</w:t>
            </w:r>
          </w:p>
          <w:p>
            <w:pPr>
              <w:adjustRightInd w:val="0"/>
              <w:snapToGrid w:val="0"/>
              <w:spacing w:line="460" w:lineRule="exact"/>
              <w:ind w:firstLine="566" w:firstLineChars="236"/>
              <w:rPr>
                <w:color w:val="auto"/>
                <w:sz w:val="24"/>
              </w:rPr>
            </w:pPr>
            <w:r>
              <w:rPr>
                <w:color w:val="auto"/>
                <w:sz w:val="24"/>
              </w:rPr>
              <w:t>工程建设</w:t>
            </w:r>
            <w:r>
              <w:rPr>
                <w:rFonts w:hint="eastAsia"/>
                <w:color w:val="auto"/>
                <w:sz w:val="24"/>
              </w:rPr>
              <w:t>时</w:t>
            </w:r>
            <w:r>
              <w:rPr>
                <w:color w:val="auto"/>
                <w:sz w:val="24"/>
              </w:rPr>
              <w:t>，道路处于半封闭状态，管道沿路开挖，由于堆土，建筑材料占地，道路变得狭窄。因此，会造成交通拥挤和混乱，这种影响将随着工程的结束而消失。</w:t>
            </w:r>
          </w:p>
          <w:p>
            <w:pPr>
              <w:adjustRightInd w:val="0"/>
              <w:snapToGrid w:val="0"/>
              <w:spacing w:line="460" w:lineRule="exact"/>
              <w:rPr>
                <w:color w:val="auto"/>
                <w:sz w:val="24"/>
              </w:rPr>
            </w:pPr>
            <w:r>
              <w:rPr>
                <w:color w:val="auto"/>
                <w:sz w:val="24"/>
              </w:rPr>
              <w:t xml:space="preserve">     本项目施工阶段施工占道、施工固体废物运输会给周边道路交通带来压力，造成交通堵塞，给群众出行造成暂时不便；交通堵塞情况下，车辆减速、怠速行驶，会增加汽车尾气的排放，对周围环境空气产生一定影响。因此，在人流拥挤的路段要做好交通疏导，并做好交通组织方案，保证安全。</w:t>
            </w:r>
          </w:p>
          <w:p>
            <w:pPr>
              <w:adjustRightInd w:val="0"/>
              <w:snapToGrid w:val="0"/>
              <w:spacing w:line="460" w:lineRule="exact"/>
              <w:ind w:firstLine="482" w:firstLineChars="200"/>
              <w:rPr>
                <w:b/>
                <w:color w:val="auto"/>
                <w:sz w:val="24"/>
              </w:rPr>
            </w:pPr>
            <w:r>
              <w:rPr>
                <w:b/>
                <w:color w:val="auto"/>
                <w:sz w:val="24"/>
              </w:rPr>
              <w:t>7、生态环境影响分析</w:t>
            </w:r>
          </w:p>
          <w:p>
            <w:pPr>
              <w:adjustRightInd w:val="0"/>
              <w:snapToGrid w:val="0"/>
              <w:spacing w:line="460" w:lineRule="exact"/>
              <w:ind w:firstLine="566" w:firstLineChars="236"/>
              <w:rPr>
                <w:color w:val="auto"/>
                <w:sz w:val="24"/>
              </w:rPr>
            </w:pPr>
            <w:r>
              <w:rPr>
                <w:color w:val="auto"/>
                <w:sz w:val="24"/>
              </w:rPr>
              <w:t>由于施工期地表土将被扰动，导致表层土松散，而且管道铺设前的路面开挖会形成裸露的坡面，将造成不同程度的水土流失。特别是雨季会恶化生态环境。</w:t>
            </w:r>
          </w:p>
          <w:p>
            <w:pPr>
              <w:adjustRightInd w:val="0"/>
              <w:snapToGrid w:val="0"/>
              <w:spacing w:line="460" w:lineRule="exact"/>
              <w:ind w:firstLine="566" w:firstLineChars="236"/>
              <w:rPr>
                <w:color w:val="auto"/>
                <w:sz w:val="24"/>
              </w:rPr>
            </w:pPr>
            <w:r>
              <w:rPr>
                <w:color w:val="auto"/>
                <w:sz w:val="24"/>
              </w:rPr>
              <w:t>在路面施工、材料运输等过程中，如果不采取防尘措施，将会产生较大的粉尘和扬尘污染，粉尘和扬尘污染对路边树木花草等生态环境产生一定的影响。但是由于施工期较短，影响周期短，随着施工期结束而消失。如果同时采取洒水、遮盖及风天停止施工等防尘措施，粉尘影响和污染程度会明显减轻。</w:t>
            </w:r>
          </w:p>
          <w:p>
            <w:pPr>
              <w:adjustRightInd w:val="0"/>
              <w:snapToGrid w:val="0"/>
              <w:spacing w:line="460" w:lineRule="exact"/>
              <w:ind w:firstLine="482" w:firstLineChars="200"/>
              <w:rPr>
                <w:b/>
                <w:color w:val="auto"/>
                <w:sz w:val="24"/>
              </w:rPr>
            </w:pPr>
            <w:r>
              <w:rPr>
                <w:b/>
                <w:color w:val="auto"/>
                <w:sz w:val="24"/>
              </w:rPr>
              <w:t>8、施工期对沿线敏感点的影响分析</w:t>
            </w:r>
          </w:p>
          <w:p>
            <w:pPr>
              <w:adjustRightInd w:val="0"/>
              <w:snapToGrid w:val="0"/>
              <w:spacing w:line="460" w:lineRule="exact"/>
              <w:ind w:firstLine="566" w:firstLineChars="236"/>
              <w:rPr>
                <w:color w:val="auto"/>
                <w:sz w:val="24"/>
              </w:rPr>
            </w:pPr>
            <w:r>
              <w:rPr>
                <w:color w:val="auto"/>
                <w:sz w:val="24"/>
              </w:rPr>
              <w:t>根据项目现场调查，项目周边敏感点主要为沿线的</w:t>
            </w:r>
            <w:r>
              <w:rPr>
                <w:rFonts w:hint="eastAsia"/>
                <w:bCs/>
                <w:color w:val="auto"/>
                <w:sz w:val="24"/>
              </w:rPr>
              <w:t>居民区、学校、卫生站等，具体详见表3-7</w:t>
            </w:r>
            <w:r>
              <w:rPr>
                <w:color w:val="auto"/>
                <w:sz w:val="24"/>
              </w:rPr>
              <w:t>。类比同类项目，项目施工期对沿线的影响主要表现在施工噪声影响及施工扬尘影响。</w:t>
            </w:r>
          </w:p>
          <w:p>
            <w:pPr>
              <w:adjustRightInd w:val="0"/>
              <w:snapToGrid w:val="0"/>
              <w:spacing w:line="460" w:lineRule="exact"/>
              <w:ind w:firstLine="566" w:firstLineChars="236"/>
              <w:rPr>
                <w:color w:val="auto"/>
                <w:sz w:val="24"/>
              </w:rPr>
            </w:pPr>
            <w:r>
              <w:rPr>
                <w:color w:val="auto"/>
                <w:sz w:val="24"/>
              </w:rPr>
              <w:t>（1）施工噪声影响：施工单位应合理安排施工时间及施工方式，如避免在夜间施工；对切割机、空压机等高噪声的机械设备的临时使用位置应尽量避开居民集中居住区，并采取有效的临时隔音措施。</w:t>
            </w:r>
          </w:p>
          <w:p>
            <w:pPr>
              <w:adjustRightInd w:val="0"/>
              <w:snapToGrid w:val="0"/>
              <w:spacing w:line="460" w:lineRule="exact"/>
              <w:ind w:firstLine="566" w:firstLineChars="236"/>
              <w:rPr>
                <w:bCs/>
                <w:color w:val="auto"/>
                <w:sz w:val="24"/>
                <w:szCs w:val="20"/>
              </w:rPr>
            </w:pPr>
            <w:r>
              <w:rPr>
                <w:color w:val="auto"/>
                <w:sz w:val="24"/>
              </w:rPr>
              <w:t>（2）施工扬尘影响：在敏感点处施工时，施工单位应对开挖、切割等可能产生扬尘的施工环节采取洒水抑尘等措施，同时对弃土及材料堆场加盖篷布，施工时避开上下班时间及居民休息时间。</w:t>
            </w:r>
          </w:p>
          <w:p>
            <w:pPr>
              <w:spacing w:line="360" w:lineRule="auto"/>
              <w:ind w:firstLine="480" w:firstLineChars="200"/>
              <w:rPr>
                <w:bCs/>
                <w:color w:val="auto"/>
                <w:sz w:val="24"/>
              </w:rPr>
            </w:pPr>
          </w:p>
          <w:p>
            <w:pPr>
              <w:spacing w:line="360" w:lineRule="auto"/>
              <w:ind w:firstLine="482" w:firstLineChars="200"/>
              <w:rPr>
                <w:b/>
                <w:bCs/>
                <w:color w:val="auto"/>
                <w:sz w:val="24"/>
              </w:rPr>
            </w:pPr>
            <w:r>
              <w:rPr>
                <w:b/>
                <w:bCs/>
                <w:color w:val="auto"/>
                <w:sz w:val="24"/>
              </w:rPr>
              <w:t>二、营运期环境影响分析</w:t>
            </w:r>
          </w:p>
          <w:p>
            <w:pPr>
              <w:pStyle w:val="3"/>
              <w:snapToGrid w:val="0"/>
              <w:spacing w:before="0" w:after="0" w:line="360" w:lineRule="auto"/>
              <w:ind w:firstLine="480" w:firstLineChars="200"/>
              <w:rPr>
                <w:rFonts w:ascii="Times New Roman" w:hAnsi="Times New Roman" w:eastAsia="宋体"/>
                <w:b w:val="0"/>
                <w:bCs/>
                <w:color w:val="auto"/>
                <w:szCs w:val="24"/>
              </w:rPr>
            </w:pPr>
            <w:bookmarkStart w:id="12" w:name="_Toc343664438"/>
            <w:bookmarkStart w:id="13" w:name="_Toc343665622"/>
            <w:bookmarkStart w:id="14" w:name="_Toc319526752"/>
            <w:r>
              <w:rPr>
                <w:rFonts w:hint="eastAsia" w:ascii="Times New Roman" w:hAnsi="Times New Roman" w:eastAsia="宋体"/>
                <w:b w:val="0"/>
                <w:bCs/>
                <w:color w:val="auto"/>
                <w:szCs w:val="24"/>
              </w:rPr>
              <w:t>本项目为加压泵站和供水管网铺设工程，运营期供水管道埋于地下，且本身属于洁净的自来水供应输送，一般情况下不会产生对外环境的污染影响。建设单位在施工前应该重视管材的质量，选用优质管材，减少管材破裂的几率，做好管线周边的防渗工程，同时，运营期间应加强对管线的巡查，一旦发现下渗或漫溢现象，及时进行抢修，将项目潜在对环境不利的影响降到最低。</w:t>
            </w:r>
          </w:p>
          <w:p>
            <w:pPr>
              <w:pStyle w:val="3"/>
              <w:snapToGrid w:val="0"/>
              <w:spacing w:before="0" w:after="0" w:line="360" w:lineRule="auto"/>
              <w:ind w:firstLine="480" w:firstLineChars="200"/>
              <w:rPr>
                <w:rFonts w:ascii="Times New Roman" w:hAnsi="Times New Roman" w:eastAsia="宋体"/>
                <w:b w:val="0"/>
                <w:bCs/>
                <w:color w:val="auto"/>
                <w:szCs w:val="24"/>
              </w:rPr>
            </w:pPr>
            <w:r>
              <w:rPr>
                <w:rFonts w:hint="eastAsia" w:ascii="Times New Roman" w:hAnsi="Times New Roman" w:eastAsia="宋体"/>
                <w:b w:val="0"/>
                <w:bCs/>
                <w:color w:val="auto"/>
                <w:szCs w:val="24"/>
              </w:rPr>
              <w:t>加压泵站在运营过程中不产生废水、废气和固体废物污染，主要污染是泵房内的水泵在运行过程中产生的噪声污染。此外，加压泵站内不设置办公室，仅设置一个值班室，由1名工作人员值班，工作人员在工作中会产生少量的生活污水和生活垃圾。</w:t>
            </w:r>
          </w:p>
          <w:p>
            <w:pPr>
              <w:pStyle w:val="3"/>
              <w:snapToGrid w:val="0"/>
              <w:spacing w:before="0" w:after="0" w:line="360" w:lineRule="auto"/>
              <w:ind w:firstLine="482" w:firstLineChars="200"/>
              <w:rPr>
                <w:rFonts w:ascii="Times New Roman" w:hAnsi="Times New Roman" w:eastAsia="宋体"/>
                <w:color w:val="auto"/>
                <w:szCs w:val="24"/>
              </w:rPr>
            </w:pPr>
            <w:r>
              <w:rPr>
                <w:rFonts w:ascii="Times New Roman" w:hAnsi="Times New Roman" w:eastAsia="宋体"/>
                <w:color w:val="auto"/>
                <w:szCs w:val="24"/>
              </w:rPr>
              <w:t>1、</w:t>
            </w:r>
            <w:r>
              <w:rPr>
                <w:rFonts w:hint="eastAsia" w:ascii="Times New Roman" w:hAnsi="Times New Roman" w:eastAsia="宋体"/>
                <w:color w:val="auto"/>
                <w:szCs w:val="24"/>
              </w:rPr>
              <w:t>水</w:t>
            </w:r>
            <w:r>
              <w:rPr>
                <w:rFonts w:ascii="Times New Roman" w:hAnsi="Times New Roman" w:eastAsia="宋体"/>
                <w:color w:val="auto"/>
                <w:szCs w:val="24"/>
              </w:rPr>
              <w:t>环境影响分析</w:t>
            </w:r>
          </w:p>
          <w:p>
            <w:pPr>
              <w:spacing w:line="360" w:lineRule="auto"/>
              <w:ind w:firstLine="480" w:firstLineChars="200"/>
              <w:rPr>
                <w:color w:val="auto"/>
                <w:sz w:val="24"/>
              </w:rPr>
            </w:pPr>
            <w:r>
              <w:rPr>
                <w:color w:val="auto"/>
                <w:sz w:val="24"/>
              </w:rPr>
              <w:t>（1）废水排放方式</w:t>
            </w:r>
          </w:p>
          <w:p>
            <w:pPr>
              <w:pStyle w:val="3"/>
              <w:snapToGrid w:val="0"/>
              <w:spacing w:before="0" w:after="0" w:line="360" w:lineRule="auto"/>
              <w:ind w:firstLine="480" w:firstLineChars="200"/>
              <w:rPr>
                <w:rFonts w:ascii="Times New Roman" w:hAnsi="Times New Roman" w:eastAsia="宋体"/>
                <w:b w:val="0"/>
                <w:bCs/>
                <w:color w:val="auto"/>
                <w:szCs w:val="24"/>
              </w:rPr>
            </w:pPr>
            <w:r>
              <w:rPr>
                <w:rFonts w:hint="eastAsia" w:ascii="Times New Roman" w:hAnsi="Times New Roman" w:eastAsia="宋体"/>
                <w:b w:val="0"/>
                <w:bCs/>
                <w:color w:val="auto"/>
                <w:szCs w:val="24"/>
              </w:rPr>
              <w:t>本</w:t>
            </w:r>
            <w:r>
              <w:rPr>
                <w:rFonts w:ascii="Times New Roman" w:hAnsi="Times New Roman" w:eastAsia="宋体"/>
                <w:b w:val="0"/>
                <w:bCs/>
                <w:color w:val="auto"/>
                <w:szCs w:val="24"/>
              </w:rPr>
              <w:t>项目</w:t>
            </w:r>
            <w:r>
              <w:rPr>
                <w:rFonts w:hint="eastAsia" w:ascii="Times New Roman" w:hAnsi="Times New Roman" w:eastAsia="宋体"/>
                <w:b w:val="0"/>
                <w:bCs/>
                <w:color w:val="auto"/>
                <w:szCs w:val="24"/>
              </w:rPr>
              <w:t>废水主要为加压泵站的工作人员产生的生活污</w:t>
            </w:r>
            <w:r>
              <w:rPr>
                <w:rFonts w:hint="eastAsia" w:hAnsi="宋体" w:eastAsia="宋体"/>
                <w:b w:val="0"/>
                <w:bCs/>
                <w:color w:val="auto"/>
                <w:szCs w:val="24"/>
              </w:rPr>
              <w:t>水，</w:t>
            </w:r>
            <w:r>
              <w:rPr>
                <w:rFonts w:hint="eastAsia" w:ascii="Times New Roman" w:hAnsi="Times New Roman" w:eastAsia="宋体"/>
                <w:b w:val="0"/>
                <w:bCs/>
                <w:color w:val="auto"/>
              </w:rPr>
              <w:t>根据前述分析，</w:t>
            </w:r>
            <w:r>
              <w:rPr>
                <w:rFonts w:ascii="Times New Roman" w:hAnsi="Times New Roman" w:eastAsia="宋体"/>
                <w:b w:val="0"/>
                <w:bCs/>
                <w:color w:val="auto"/>
              </w:rPr>
              <w:t>生活污水量约0.036m</w:t>
            </w:r>
            <w:r>
              <w:rPr>
                <w:rFonts w:ascii="Times New Roman" w:hAnsi="Times New Roman" w:eastAsia="宋体"/>
                <w:b w:val="0"/>
                <w:bCs/>
                <w:color w:val="auto"/>
                <w:vertAlign w:val="superscript"/>
              </w:rPr>
              <w:t>3</w:t>
            </w:r>
            <w:r>
              <w:rPr>
                <w:rFonts w:ascii="Times New Roman" w:hAnsi="Times New Roman" w:eastAsia="宋体"/>
                <w:b w:val="0"/>
                <w:bCs/>
                <w:color w:val="auto"/>
              </w:rPr>
              <w:t>/d（13m</w:t>
            </w:r>
            <w:r>
              <w:rPr>
                <w:rFonts w:ascii="Times New Roman" w:hAnsi="Times New Roman" w:eastAsia="宋体"/>
                <w:b w:val="0"/>
                <w:bCs/>
                <w:color w:val="auto"/>
                <w:vertAlign w:val="superscript"/>
              </w:rPr>
              <w:t>3</w:t>
            </w:r>
            <w:r>
              <w:rPr>
                <w:rFonts w:ascii="Times New Roman" w:hAnsi="Times New Roman" w:eastAsia="宋体"/>
                <w:b w:val="0"/>
                <w:bCs/>
                <w:color w:val="auto"/>
              </w:rPr>
              <w:t>/a），主要污染物为COD、BOD</w:t>
            </w:r>
            <w:r>
              <w:rPr>
                <w:rFonts w:ascii="Times New Roman" w:hAnsi="Times New Roman" w:eastAsia="宋体"/>
                <w:b w:val="0"/>
                <w:bCs/>
                <w:color w:val="auto"/>
                <w:vertAlign w:val="subscript"/>
              </w:rPr>
              <w:t>5</w:t>
            </w:r>
            <w:r>
              <w:rPr>
                <w:rFonts w:ascii="Times New Roman" w:hAnsi="Times New Roman" w:eastAsia="宋体"/>
                <w:b w:val="0"/>
                <w:bCs/>
                <w:color w:val="auto"/>
              </w:rPr>
              <w:t>、SS、氨氮等。</w:t>
            </w:r>
            <w:r>
              <w:rPr>
                <w:rFonts w:hint="eastAsia" w:ascii="Times New Roman" w:hAnsi="Times New Roman" w:eastAsia="宋体"/>
                <w:b w:val="0"/>
                <w:bCs/>
                <w:color w:val="auto"/>
              </w:rPr>
              <w:t>由于生活污水量很少，拟经三级化粪池处理达到《农田灌溉水质标准》（GB5084-2005）旱作标准后回用于项目内绿化浇灌，不外排。加压泵站内绿化面积</w:t>
            </w:r>
            <w:r>
              <w:rPr>
                <w:rFonts w:ascii="Times New Roman" w:hAnsi="Times New Roman" w:eastAsia="宋体"/>
                <w:b w:val="0"/>
                <w:bCs/>
                <w:color w:val="auto"/>
              </w:rPr>
              <w:t>2120 m</w:t>
            </w:r>
            <w:r>
              <w:rPr>
                <w:rFonts w:ascii="Times New Roman" w:hAnsi="Times New Roman" w:eastAsia="宋体"/>
                <w:b w:val="0"/>
                <w:bCs/>
                <w:color w:val="auto"/>
                <w:vertAlign w:val="superscript"/>
              </w:rPr>
              <w:t>2</w:t>
            </w:r>
            <w:r>
              <w:rPr>
                <w:rFonts w:hint="eastAsia" w:ascii="Times New Roman" w:hAnsi="Times New Roman" w:eastAsia="宋体"/>
                <w:b w:val="0"/>
                <w:bCs/>
                <w:color w:val="auto"/>
              </w:rPr>
              <w:t>，完全足以消纳项目生活污水。</w:t>
            </w:r>
          </w:p>
          <w:p>
            <w:pPr>
              <w:spacing w:line="360" w:lineRule="auto"/>
              <w:ind w:firstLine="480" w:firstLineChars="200"/>
              <w:rPr>
                <w:color w:val="auto"/>
                <w:sz w:val="24"/>
              </w:rPr>
            </w:pPr>
            <w:r>
              <w:rPr>
                <w:color w:val="auto"/>
                <w:sz w:val="24"/>
              </w:rPr>
              <w:t>（2）地表水环境影响评价等级</w:t>
            </w:r>
          </w:p>
          <w:p>
            <w:pPr>
              <w:spacing w:line="360" w:lineRule="auto"/>
              <w:ind w:firstLine="480" w:firstLineChars="200"/>
              <w:rPr>
                <w:color w:val="auto"/>
                <w:sz w:val="24"/>
              </w:rPr>
            </w:pPr>
            <w:r>
              <w:rPr>
                <w:color w:val="auto"/>
                <w:sz w:val="24"/>
              </w:rPr>
              <w:t>根据《环境影响评价技术导则 地表水环境》（HJ2.3-2018），水污染影响型建设项目根据排放方式和废水排放量划分评价等级。直接排放建设项目评价等级分为一级、二级和三级A，根据废水排放量、水污染物污染当量数确定；间接排放建设项目评价等级为三级B。水污染环境影响评级等级按下表判定依据进行划分：</w:t>
            </w:r>
          </w:p>
          <w:p>
            <w:pPr>
              <w:adjustRightInd w:val="0"/>
              <w:snapToGrid w:val="0"/>
              <w:jc w:val="center"/>
              <w:rPr>
                <w:b/>
                <w:color w:val="auto"/>
                <w:spacing w:val="-2"/>
                <w:szCs w:val="21"/>
              </w:rPr>
            </w:pPr>
            <w:r>
              <w:rPr>
                <w:b/>
                <w:color w:val="auto"/>
                <w:spacing w:val="-2"/>
                <w:szCs w:val="21"/>
              </w:rPr>
              <w:t>表19  水污染影响性建设项目评价等级判定</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463"/>
              <w:gridCol w:w="3368"/>
              <w:gridCol w:w="32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85" w:type="dxa"/>
                  <w:vMerge w:val="restart"/>
                  <w:vAlign w:val="center"/>
                </w:tcPr>
                <w:p>
                  <w:pPr>
                    <w:adjustRightInd w:val="0"/>
                    <w:jc w:val="center"/>
                    <w:textAlignment w:val="baseline"/>
                    <w:rPr>
                      <w:color w:val="auto"/>
                    </w:rPr>
                  </w:pPr>
                  <w:r>
                    <w:rPr>
                      <w:color w:val="auto"/>
                    </w:rPr>
                    <w:t>评价等级</w:t>
                  </w:r>
                </w:p>
              </w:tc>
              <w:tc>
                <w:tcPr>
                  <w:tcW w:w="6720" w:type="dxa"/>
                  <w:gridSpan w:val="2"/>
                  <w:vAlign w:val="center"/>
                </w:tcPr>
                <w:p>
                  <w:pPr>
                    <w:adjustRightInd w:val="0"/>
                    <w:jc w:val="center"/>
                    <w:textAlignment w:val="baseline"/>
                    <w:rPr>
                      <w:color w:val="auto"/>
                    </w:rPr>
                  </w:pPr>
                  <w:r>
                    <w:rPr>
                      <w:color w:val="auto"/>
                    </w:rPr>
                    <w:t>判定依据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85" w:type="dxa"/>
                  <w:vMerge w:val="continue"/>
                  <w:vAlign w:val="center"/>
                </w:tcPr>
                <w:p>
                  <w:pPr>
                    <w:adjustRightInd w:val="0"/>
                    <w:jc w:val="center"/>
                    <w:textAlignment w:val="baseline"/>
                    <w:rPr>
                      <w:color w:val="auto"/>
                    </w:rPr>
                  </w:pPr>
                </w:p>
              </w:tc>
              <w:tc>
                <w:tcPr>
                  <w:tcW w:w="3399" w:type="dxa"/>
                  <w:vAlign w:val="center"/>
                </w:tcPr>
                <w:p>
                  <w:pPr>
                    <w:adjustRightInd w:val="0"/>
                    <w:jc w:val="center"/>
                    <w:textAlignment w:val="baseline"/>
                    <w:rPr>
                      <w:color w:val="auto"/>
                    </w:rPr>
                  </w:pPr>
                  <w:r>
                    <w:rPr>
                      <w:color w:val="auto"/>
                    </w:rPr>
                    <w:t>排放方式</w:t>
                  </w:r>
                </w:p>
              </w:tc>
              <w:tc>
                <w:tcPr>
                  <w:tcW w:w="3321" w:type="dxa"/>
                  <w:vAlign w:val="center"/>
                </w:tcPr>
                <w:p>
                  <w:pPr>
                    <w:adjustRightInd w:val="0"/>
                    <w:jc w:val="center"/>
                    <w:textAlignment w:val="baseline"/>
                    <w:rPr>
                      <w:color w:val="auto"/>
                    </w:rPr>
                  </w:pPr>
                  <w:r>
                    <w:rPr>
                      <w:color w:val="auto"/>
                    </w:rPr>
                    <w:t>废水排放量Q/（m</w:t>
                  </w:r>
                  <w:r>
                    <w:rPr>
                      <w:color w:val="auto"/>
                      <w:vertAlign w:val="superscript"/>
                    </w:rPr>
                    <w:t>3</w:t>
                  </w:r>
                  <w:r>
                    <w:rPr>
                      <w:color w:val="auto"/>
                    </w:rPr>
                    <w:t>/d）；</w:t>
                  </w:r>
                </w:p>
                <w:p>
                  <w:pPr>
                    <w:adjustRightInd w:val="0"/>
                    <w:jc w:val="center"/>
                    <w:textAlignment w:val="baseline"/>
                    <w:rPr>
                      <w:color w:val="auto"/>
                    </w:rPr>
                  </w:pPr>
                  <w:r>
                    <w:rPr>
                      <w:color w:val="auto"/>
                    </w:rPr>
                    <w:t>水污染物当</w:t>
                  </w:r>
                  <w:r>
                    <w:rPr>
                      <w:color w:val="auto"/>
                    </w:rPr>
                    <w:cr/>
                  </w:r>
                  <w:r>
                    <w:rPr>
                      <w:color w:val="auto"/>
                    </w:rPr>
                    <w:t>数W/（无量纲）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85" w:type="dxa"/>
                  <w:vAlign w:val="center"/>
                </w:tcPr>
                <w:p>
                  <w:pPr>
                    <w:adjustRightInd w:val="0"/>
                    <w:jc w:val="center"/>
                    <w:textAlignment w:val="baseline"/>
                    <w:rPr>
                      <w:color w:val="auto"/>
                    </w:rPr>
                  </w:pPr>
                  <w:r>
                    <w:rPr>
                      <w:color w:val="auto"/>
                    </w:rPr>
                    <w:t>一级</w:t>
                  </w:r>
                </w:p>
              </w:tc>
              <w:tc>
                <w:tcPr>
                  <w:tcW w:w="3399" w:type="dxa"/>
                  <w:vAlign w:val="center"/>
                </w:tcPr>
                <w:p>
                  <w:pPr>
                    <w:adjustRightInd w:val="0"/>
                    <w:jc w:val="center"/>
                    <w:textAlignment w:val="baseline"/>
                    <w:rPr>
                      <w:color w:val="auto"/>
                    </w:rPr>
                  </w:pPr>
                  <w:r>
                    <w:rPr>
                      <w:color w:val="auto"/>
                    </w:rPr>
                    <w:t>直接排放</w:t>
                  </w:r>
                </w:p>
              </w:tc>
              <w:tc>
                <w:tcPr>
                  <w:tcW w:w="3321" w:type="dxa"/>
                  <w:vAlign w:val="center"/>
                </w:tcPr>
                <w:p>
                  <w:pPr>
                    <w:adjustRightInd w:val="0"/>
                    <w:jc w:val="center"/>
                    <w:textAlignment w:val="baseline"/>
                    <w:rPr>
                      <w:color w:val="auto"/>
                    </w:rPr>
                  </w:pPr>
                  <w:r>
                    <w:rPr>
                      <w:color w:val="auto"/>
                    </w:rPr>
                    <w:t>Q≥20000</w:t>
                  </w:r>
                  <w:r>
                    <w:rPr>
                      <w:color w:val="auto"/>
                    </w:rPr>
                    <w:cr/>
                  </w:r>
                  <w:r>
                    <w:rPr>
                      <w:color w:val="auto"/>
                    </w:rPr>
                    <w:t>W≥600000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85" w:type="dxa"/>
                  <w:vAlign w:val="center"/>
                </w:tcPr>
                <w:p>
                  <w:pPr>
                    <w:adjustRightInd w:val="0"/>
                    <w:jc w:val="center"/>
                    <w:textAlignment w:val="baseline"/>
                    <w:rPr>
                      <w:color w:val="auto"/>
                    </w:rPr>
                  </w:pPr>
                  <w:r>
                    <w:rPr>
                      <w:color w:val="auto"/>
                    </w:rPr>
                    <w:t>二级</w:t>
                  </w:r>
                </w:p>
              </w:tc>
              <w:tc>
                <w:tcPr>
                  <w:tcW w:w="3399" w:type="dxa"/>
                  <w:vAlign w:val="center"/>
                </w:tcPr>
                <w:p>
                  <w:pPr>
                    <w:adjustRightInd w:val="0"/>
                    <w:jc w:val="center"/>
                    <w:textAlignment w:val="baseline"/>
                    <w:rPr>
                      <w:color w:val="auto"/>
                    </w:rPr>
                  </w:pPr>
                  <w:r>
                    <w:rPr>
                      <w:color w:val="auto"/>
                    </w:rPr>
                    <w:t>直接排放</w:t>
                  </w:r>
                </w:p>
              </w:tc>
              <w:tc>
                <w:tcPr>
                  <w:tcW w:w="3321" w:type="dxa"/>
                  <w:vAlign w:val="center"/>
                </w:tcPr>
                <w:p>
                  <w:pPr>
                    <w:adjustRightInd w:val="0"/>
                    <w:jc w:val="center"/>
                    <w:textAlignment w:val="baseline"/>
                    <w:rPr>
                      <w:color w:val="auto"/>
                    </w:rPr>
                  </w:pPr>
                  <w:r>
                    <w:rPr>
                      <w:color w:val="auto"/>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85" w:type="dxa"/>
                  <w:vAlign w:val="center"/>
                </w:tcPr>
                <w:p>
                  <w:pPr>
                    <w:adjustRightInd w:val="0"/>
                    <w:jc w:val="center"/>
                    <w:textAlignment w:val="baseline"/>
                    <w:rPr>
                      <w:color w:val="auto"/>
                    </w:rPr>
                  </w:pPr>
                  <w:r>
                    <w:rPr>
                      <w:color w:val="auto"/>
                    </w:rPr>
                    <w:t>三级A</w:t>
                  </w:r>
                </w:p>
              </w:tc>
              <w:tc>
                <w:tcPr>
                  <w:tcW w:w="3399" w:type="dxa"/>
                  <w:vAlign w:val="center"/>
                </w:tcPr>
                <w:p>
                  <w:pPr>
                    <w:adjustRightInd w:val="0"/>
                    <w:jc w:val="center"/>
                    <w:textAlignment w:val="baseline"/>
                    <w:rPr>
                      <w:color w:val="auto"/>
                    </w:rPr>
                  </w:pPr>
                  <w:r>
                    <w:rPr>
                      <w:color w:val="auto"/>
                    </w:rPr>
                    <w:t>直接排放</w:t>
                  </w:r>
                </w:p>
              </w:tc>
              <w:tc>
                <w:tcPr>
                  <w:tcW w:w="3321" w:type="dxa"/>
                  <w:vAlign w:val="center"/>
                </w:tcPr>
                <w:p>
                  <w:pPr>
                    <w:adjustRightInd w:val="0"/>
                    <w:jc w:val="center"/>
                    <w:textAlignment w:val="baseline"/>
                    <w:rPr>
                      <w:color w:val="auto"/>
                    </w:rPr>
                  </w:pPr>
                  <w:r>
                    <w:rPr>
                      <w:color w:val="auto"/>
                    </w:rPr>
                    <w:t>Q＜200且W＜600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85" w:type="dxa"/>
                  <w:vAlign w:val="center"/>
                </w:tcPr>
                <w:p>
                  <w:pPr>
                    <w:adjustRightInd w:val="0"/>
                    <w:jc w:val="center"/>
                    <w:textAlignment w:val="baseline"/>
                    <w:rPr>
                      <w:b/>
                      <w:color w:val="auto"/>
                    </w:rPr>
                  </w:pPr>
                  <w:r>
                    <w:rPr>
                      <w:b/>
                      <w:color w:val="auto"/>
                    </w:rPr>
                    <w:t>三级B</w:t>
                  </w:r>
                </w:p>
              </w:tc>
              <w:tc>
                <w:tcPr>
                  <w:tcW w:w="3399" w:type="dxa"/>
                  <w:vAlign w:val="center"/>
                </w:tcPr>
                <w:p>
                  <w:pPr>
                    <w:adjustRightInd w:val="0"/>
                    <w:jc w:val="center"/>
                    <w:textAlignment w:val="baseline"/>
                    <w:rPr>
                      <w:b/>
                      <w:color w:val="auto"/>
                    </w:rPr>
                  </w:pPr>
                  <w:r>
                    <w:rPr>
                      <w:b/>
                      <w:color w:val="auto"/>
                    </w:rPr>
                    <w:t>间接排放</w:t>
                  </w:r>
                </w:p>
              </w:tc>
              <w:tc>
                <w:tcPr>
                  <w:tcW w:w="3321" w:type="dxa"/>
                  <w:vAlign w:val="center"/>
                </w:tcPr>
                <w:p>
                  <w:pPr>
                    <w:adjustRightInd w:val="0"/>
                    <w:jc w:val="center"/>
                    <w:textAlignment w:val="baseline"/>
                    <w:rPr>
                      <w:color w:val="auto"/>
                    </w:rPr>
                  </w:pPr>
                  <w:r>
                    <w:rPr>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205" w:type="dxa"/>
                  <w:gridSpan w:val="3"/>
                  <w:vAlign w:val="center"/>
                </w:tcPr>
                <w:p>
                  <w:pPr>
                    <w:adjustRightInd w:val="0"/>
                    <w:textAlignment w:val="baseline"/>
                    <w:rPr>
                      <w:color w:val="auto"/>
                    </w:rPr>
                  </w:pPr>
                  <w:r>
                    <w:rPr>
                      <w:color w:val="auto"/>
                      <w:sz w:val="18"/>
                      <w:szCs w:val="18"/>
                    </w:rPr>
                    <w:t>注1：水污染物当量数等于该污染物的年排放量除以该污染物的污染当量值（见附录A），计算排放污染物的污染物当量数，应区分第一类水污染物和其他类水污染物，统计第一类污染物当量数总和，然后与其他类污染物按照污染物当量数从大到小排序，取最大当量数作为建设项目评价等级确定的依据。</w:t>
                  </w:r>
                  <w:r>
                    <w:rPr>
                      <w:color w:val="auto"/>
                      <w:sz w:val="18"/>
                      <w:szCs w:val="18"/>
                    </w:rPr>
                    <w:br w:type="textWrapping"/>
                  </w:r>
                  <w:r>
                    <w:rPr>
                      <w:color w:val="auto"/>
                      <w:sz w:val="18"/>
                      <w:szCs w:val="18"/>
                    </w:rPr>
                    <w:t>注2：废水排放量按行业排放标准中规定的废水种类统计，没有相关行业排放标准要求的通过工程分析合理确定，应统计含热量大的冷却水的排放量，可不统计间接冷却水、循环水及其他含污染物极少的清净下水的排放量。</w:t>
                  </w:r>
                  <w:r>
                    <w:rPr>
                      <w:color w:val="auto"/>
                      <w:sz w:val="18"/>
                      <w:szCs w:val="18"/>
                    </w:rPr>
                    <w:br w:type="textWrapping"/>
                  </w:r>
                  <w:r>
                    <w:rPr>
                      <w:color w:val="auto"/>
                      <w:sz w:val="18"/>
                      <w:szCs w:val="18"/>
                    </w:rPr>
                    <w:t>注3：厂区存在堆积物（露天堆放的原料、燃料、废渣等以及垃圾堆放场）、降尘污染的，应将初期雨污水纳入废水排放量，相应的主要污染物纳入水污染当量计算。</w:t>
                  </w:r>
                  <w:r>
                    <w:rPr>
                      <w:color w:val="auto"/>
                      <w:sz w:val="18"/>
                      <w:szCs w:val="18"/>
                    </w:rPr>
                    <w:br w:type="textWrapping"/>
                  </w:r>
                  <w:r>
                    <w:rPr>
                      <w:color w:val="auto"/>
                      <w:sz w:val="18"/>
                      <w:szCs w:val="18"/>
                    </w:rPr>
                    <w:t>注4：建设项目直接排放第一类污染物的，其评价等级为一级；建设项目直接排放的污染物为受纳水体超标因子的，评价等级不低于二级。</w:t>
                  </w:r>
                  <w:r>
                    <w:rPr>
                      <w:color w:val="auto"/>
                      <w:sz w:val="18"/>
                      <w:szCs w:val="18"/>
                    </w:rPr>
                    <w:br w:type="textWrapping"/>
                  </w:r>
                  <w:r>
                    <w:rPr>
                      <w:color w:val="auto"/>
                      <w:sz w:val="18"/>
                      <w:szCs w:val="18"/>
                    </w:rPr>
                    <w:t>注5：直接排放受纳水体影响范围涉及饮用水水源保护区、饮用水取水口、重点保护与珍稀水生生物的栖息地、重要水生生物的自然产卵场等保护目标时，评价等级不低于二级。</w:t>
                  </w:r>
                  <w:r>
                    <w:rPr>
                      <w:color w:val="auto"/>
                      <w:sz w:val="18"/>
                      <w:szCs w:val="18"/>
                    </w:rPr>
                    <w:br w:type="textWrapping"/>
                  </w:r>
                  <w:r>
                    <w:rPr>
                      <w:color w:val="auto"/>
                      <w:sz w:val="18"/>
                      <w:szCs w:val="18"/>
                    </w:rPr>
                    <w:t>注6：建设项目向河流、湖库排放温排水引起受纳水体水温变化超过水环境质量标准要求，且评价范围有水温敏感目标时，评价等级为一级。</w:t>
                  </w:r>
                  <w:r>
                    <w:rPr>
                      <w:color w:val="auto"/>
                      <w:sz w:val="18"/>
                      <w:szCs w:val="18"/>
                    </w:rPr>
                    <w:br w:type="textWrapping"/>
                  </w:r>
                  <w:r>
                    <w:rPr>
                      <w:color w:val="auto"/>
                      <w:sz w:val="18"/>
                      <w:szCs w:val="18"/>
                    </w:rPr>
                    <w:t>注7：建设项目利用海水作为调节温度介质，排水量≥500万 m</w:t>
                  </w:r>
                  <w:r>
                    <w:rPr>
                      <w:color w:val="auto"/>
                      <w:sz w:val="18"/>
                      <w:szCs w:val="18"/>
                      <w:vertAlign w:val="superscript"/>
                    </w:rPr>
                    <w:t>3</w:t>
                  </w:r>
                  <w:r>
                    <w:rPr>
                      <w:color w:val="auto"/>
                      <w:sz w:val="18"/>
                      <w:szCs w:val="18"/>
                    </w:rPr>
                    <w:t>/d，评价等级为一级；排水量＜500万 m</w:t>
                  </w:r>
                  <w:r>
                    <w:rPr>
                      <w:color w:val="auto"/>
                      <w:sz w:val="18"/>
                      <w:szCs w:val="18"/>
                      <w:vertAlign w:val="superscript"/>
                    </w:rPr>
                    <w:t>3</w:t>
                  </w:r>
                  <w:r>
                    <w:rPr>
                      <w:color w:val="auto"/>
                      <w:sz w:val="18"/>
                      <w:szCs w:val="18"/>
                    </w:rPr>
                    <w:t>/d，评价等级为二级。</w:t>
                  </w:r>
                  <w:r>
                    <w:rPr>
                      <w:color w:val="auto"/>
                      <w:sz w:val="18"/>
                      <w:szCs w:val="18"/>
                    </w:rPr>
                    <w:br w:type="textWrapping"/>
                  </w:r>
                  <w:r>
                    <w:rPr>
                      <w:color w:val="auto"/>
                      <w:sz w:val="18"/>
                      <w:szCs w:val="18"/>
                    </w:rPr>
                    <w:t>注8：仅涉及清净下水排放的，如其排放水质满足受纳水体水环境质量标准要求的，评价等级为三级A。</w:t>
                  </w:r>
                  <w:r>
                    <w:rPr>
                      <w:color w:val="auto"/>
                      <w:sz w:val="18"/>
                      <w:szCs w:val="18"/>
                    </w:rPr>
                    <w:br w:type="textWrapping"/>
                  </w:r>
                  <w:r>
                    <w:rPr>
                      <w:color w:val="auto"/>
                      <w:sz w:val="18"/>
                      <w:szCs w:val="18"/>
                    </w:rPr>
                    <w:t>注9：依托现有排放口，且对外环境未新增排放污染物的直接排放建设项目，评价等级参照间接排放，定为三级 B。</w:t>
                  </w:r>
                  <w:r>
                    <w:rPr>
                      <w:color w:val="auto"/>
                      <w:sz w:val="18"/>
                      <w:szCs w:val="18"/>
                    </w:rPr>
                    <w:br w:type="textWrapping"/>
                  </w:r>
                  <w:r>
                    <w:rPr>
                      <w:bCs/>
                      <w:color w:val="auto"/>
                      <w:sz w:val="18"/>
                      <w:szCs w:val="18"/>
                    </w:rPr>
                    <w:t>注10：建设项目生产工艺中有废水产生，但作为回水利用，不排放到外环境的，按三级B评价。</w:t>
                  </w:r>
                </w:p>
              </w:tc>
            </w:tr>
          </w:tbl>
          <w:p>
            <w:pPr>
              <w:spacing w:line="360" w:lineRule="auto"/>
              <w:ind w:firstLine="480" w:firstLineChars="200"/>
              <w:rPr>
                <w:color w:val="auto"/>
                <w:sz w:val="24"/>
              </w:rPr>
            </w:pPr>
            <w:r>
              <w:rPr>
                <w:color w:val="auto"/>
                <w:sz w:val="24"/>
              </w:rPr>
              <w:t>本项目生活污水</w:t>
            </w:r>
            <w:r>
              <w:rPr>
                <w:rFonts w:hint="eastAsia"/>
                <w:color w:val="auto"/>
                <w:sz w:val="24"/>
              </w:rPr>
              <w:t>经</w:t>
            </w:r>
            <w:r>
              <w:rPr>
                <w:color w:val="auto"/>
                <w:sz w:val="24"/>
              </w:rPr>
              <w:t>三级化粪池处理达到</w:t>
            </w:r>
            <w:r>
              <w:rPr>
                <w:rFonts w:hint="eastAsia"/>
                <w:color w:val="auto"/>
                <w:sz w:val="24"/>
              </w:rPr>
              <w:t>《农田灌溉水质标准》（GB5084-2005）旱作标准回用于项目厂区绿化浇灌</w:t>
            </w:r>
            <w:r>
              <w:rPr>
                <w:color w:val="auto"/>
                <w:sz w:val="24"/>
              </w:rPr>
              <w:t>。因此，本项目地表水环境影响评价等级为三级B，可不开展区域污染源调查，主要调查依托污水处理设施的日处理能力、处理工艺、设计进水水质、处理后的废水稳定达标情况，同时应调查依托污水处理设施执行的排放标准是否涵盖建设项目排放的有毒有害的特征水污染物。</w:t>
            </w:r>
          </w:p>
          <w:p>
            <w:pPr>
              <w:adjustRightInd w:val="0"/>
              <w:snapToGrid w:val="0"/>
              <w:spacing w:line="360" w:lineRule="auto"/>
              <w:ind w:firstLine="472" w:firstLineChars="200"/>
              <w:rPr>
                <w:bCs/>
                <w:color w:val="auto"/>
                <w:spacing w:val="-2"/>
                <w:kern w:val="0"/>
                <w:sz w:val="24"/>
              </w:rPr>
            </w:pPr>
            <w:r>
              <w:rPr>
                <w:bCs/>
                <w:color w:val="auto"/>
                <w:spacing w:val="-2"/>
                <w:kern w:val="0"/>
                <w:sz w:val="24"/>
              </w:rPr>
              <w:t>（3）建设项目地表水环境影响评价自查表</w:t>
            </w:r>
          </w:p>
          <w:p>
            <w:pPr>
              <w:adjustRightInd w:val="0"/>
              <w:snapToGrid w:val="0"/>
              <w:jc w:val="center"/>
              <w:rPr>
                <w:b/>
                <w:color w:val="auto"/>
                <w:spacing w:val="-2"/>
                <w:kern w:val="0"/>
                <w:sz w:val="24"/>
              </w:rPr>
            </w:pPr>
            <w:r>
              <w:rPr>
                <w:b/>
                <w:color w:val="auto"/>
                <w:spacing w:val="-2"/>
                <w:kern w:val="0"/>
                <w:sz w:val="24"/>
              </w:rPr>
              <w:t>表19 建设项目地表水环境影响评价自查表</w:t>
            </w:r>
          </w:p>
          <w:tbl>
            <w:tblPr>
              <w:tblStyle w:val="33"/>
              <w:tblW w:w="9042"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479"/>
              <w:gridCol w:w="896"/>
              <w:gridCol w:w="883"/>
              <w:gridCol w:w="171"/>
              <w:gridCol w:w="756"/>
              <w:gridCol w:w="226"/>
              <w:gridCol w:w="239"/>
              <w:gridCol w:w="1201"/>
              <w:gridCol w:w="198"/>
              <w:gridCol w:w="540"/>
              <w:gridCol w:w="945"/>
              <w:gridCol w:w="777"/>
              <w:gridCol w:w="360"/>
              <w:gridCol w:w="1371"/>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375" w:type="dxa"/>
                  <w:gridSpan w:val="2"/>
                  <w:vAlign w:val="center"/>
                </w:tcPr>
                <w:p>
                  <w:pPr>
                    <w:tabs>
                      <w:tab w:val="left" w:pos="480"/>
                    </w:tabs>
                    <w:autoSpaceDE w:val="0"/>
                    <w:autoSpaceDN w:val="0"/>
                    <w:adjustRightInd w:val="0"/>
                    <w:snapToGrid w:val="0"/>
                    <w:jc w:val="center"/>
                    <w:textAlignment w:val="baseline"/>
                    <w:rPr>
                      <w:b/>
                      <w:bCs/>
                      <w:color w:val="auto"/>
                      <w:spacing w:val="-2"/>
                      <w:kern w:val="0"/>
                      <w:szCs w:val="21"/>
                    </w:rPr>
                  </w:pPr>
                  <w:r>
                    <w:rPr>
                      <w:b/>
                      <w:bCs/>
                      <w:color w:val="auto"/>
                      <w:spacing w:val="-2"/>
                      <w:kern w:val="0"/>
                      <w:szCs w:val="21"/>
                    </w:rPr>
                    <w:t>工作内容</w:t>
                  </w:r>
                </w:p>
              </w:tc>
              <w:tc>
                <w:tcPr>
                  <w:tcW w:w="7667" w:type="dxa"/>
                  <w:gridSpan w:val="12"/>
                  <w:vAlign w:val="center"/>
                </w:tcPr>
                <w:p>
                  <w:pPr>
                    <w:tabs>
                      <w:tab w:val="left" w:pos="480"/>
                    </w:tabs>
                    <w:autoSpaceDE w:val="0"/>
                    <w:autoSpaceDN w:val="0"/>
                    <w:adjustRightInd w:val="0"/>
                    <w:snapToGrid w:val="0"/>
                    <w:jc w:val="center"/>
                    <w:textAlignment w:val="baseline"/>
                    <w:rPr>
                      <w:b/>
                      <w:bCs/>
                      <w:color w:val="auto"/>
                      <w:spacing w:val="-2"/>
                      <w:kern w:val="0"/>
                      <w:szCs w:val="21"/>
                    </w:rPr>
                  </w:pPr>
                  <w:r>
                    <w:rPr>
                      <w:b/>
                      <w:bCs/>
                      <w:color w:val="auto"/>
                      <w:spacing w:val="-2"/>
                      <w:kern w:val="0"/>
                      <w:szCs w:val="21"/>
                    </w:rPr>
                    <w:t>自查项目</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79" w:type="dxa"/>
                  <w:vMerge w:val="restart"/>
                  <w:textDirection w:val="tbRlV"/>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影响识别</w:t>
                  </w:r>
                </w:p>
              </w:tc>
              <w:tc>
                <w:tcPr>
                  <w:tcW w:w="896" w:type="dxa"/>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影响类型</w:t>
                  </w:r>
                </w:p>
              </w:tc>
              <w:tc>
                <w:tcPr>
                  <w:tcW w:w="7667" w:type="dxa"/>
                  <w:gridSpan w:val="12"/>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 xml:space="preserve">水污染影响型 </w:t>
                  </w:r>
                  <w:r>
                    <w:rPr>
                      <w:rFonts w:ascii="Segoe UI Emoji" w:hAnsi="Segoe UI Emoji" w:cs="Segoe UI Emoji"/>
                      <w:color w:val="auto"/>
                      <w:spacing w:val="-2"/>
                      <w:kern w:val="0"/>
                      <w:szCs w:val="21"/>
                    </w:rPr>
                    <w:t>☑</w:t>
                  </w:r>
                  <w:r>
                    <w:rPr>
                      <w:color w:val="auto"/>
                      <w:spacing w:val="-2"/>
                      <w:kern w:val="0"/>
                      <w:szCs w:val="21"/>
                    </w:rPr>
                    <w:t xml:space="preserve">；水文要素影响型 </w:t>
                  </w:r>
                  <w:r>
                    <w:rPr>
                      <w:color w:val="auto"/>
                      <w:spacing w:val="-2"/>
                      <w:kern w:val="0"/>
                      <w:sz w:val="28"/>
                      <w:szCs w:val="28"/>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79" w:type="dxa"/>
                  <w:vMerge w:val="continue"/>
                  <w:vAlign w:val="center"/>
                </w:tcPr>
                <w:p>
                  <w:pPr>
                    <w:tabs>
                      <w:tab w:val="left" w:pos="480"/>
                    </w:tabs>
                    <w:autoSpaceDE w:val="0"/>
                    <w:autoSpaceDN w:val="0"/>
                    <w:adjustRightInd w:val="0"/>
                    <w:snapToGrid w:val="0"/>
                    <w:jc w:val="center"/>
                    <w:textAlignment w:val="baseline"/>
                    <w:rPr>
                      <w:color w:val="auto"/>
                      <w:spacing w:val="-2"/>
                      <w:kern w:val="0"/>
                      <w:szCs w:val="21"/>
                    </w:rPr>
                  </w:pPr>
                </w:p>
              </w:tc>
              <w:tc>
                <w:tcPr>
                  <w:tcW w:w="896" w:type="dxa"/>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水环境保护目标</w:t>
                  </w:r>
                </w:p>
              </w:tc>
              <w:tc>
                <w:tcPr>
                  <w:tcW w:w="7667" w:type="dxa"/>
                  <w:gridSpan w:val="12"/>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饮用水水源保护区</w:t>
                  </w:r>
                  <w:r>
                    <w:rPr>
                      <w:color w:val="auto"/>
                      <w:spacing w:val="-2"/>
                      <w:kern w:val="0"/>
                      <w:sz w:val="28"/>
                      <w:szCs w:val="28"/>
                    </w:rPr>
                    <w:t xml:space="preserve"> □</w:t>
                  </w:r>
                  <w:r>
                    <w:rPr>
                      <w:color w:val="auto"/>
                      <w:spacing w:val="-2"/>
                      <w:kern w:val="0"/>
                      <w:szCs w:val="21"/>
                    </w:rPr>
                    <w:t>；饮用水取水口</w:t>
                  </w:r>
                  <w:r>
                    <w:rPr>
                      <w:color w:val="auto"/>
                      <w:spacing w:val="-2"/>
                      <w:kern w:val="0"/>
                      <w:sz w:val="28"/>
                      <w:szCs w:val="28"/>
                    </w:rPr>
                    <w:t>□</w:t>
                  </w:r>
                  <w:r>
                    <w:rPr>
                      <w:color w:val="auto"/>
                      <w:spacing w:val="-2"/>
                      <w:kern w:val="0"/>
                      <w:szCs w:val="21"/>
                    </w:rPr>
                    <w:t xml:space="preserve">；涉水的自然保护区 </w:t>
                  </w:r>
                  <w:r>
                    <w:rPr>
                      <w:color w:val="auto"/>
                      <w:spacing w:val="-2"/>
                      <w:kern w:val="0"/>
                      <w:sz w:val="28"/>
                      <w:szCs w:val="28"/>
                    </w:rPr>
                    <w:t>□</w:t>
                  </w:r>
                  <w:r>
                    <w:rPr>
                      <w:color w:val="auto"/>
                      <w:spacing w:val="-2"/>
                      <w:kern w:val="0"/>
                      <w:szCs w:val="21"/>
                    </w:rPr>
                    <w:t>；重要湿地</w:t>
                  </w:r>
                  <w:r>
                    <w:rPr>
                      <w:color w:val="auto"/>
                      <w:spacing w:val="-2"/>
                      <w:kern w:val="0"/>
                      <w:sz w:val="28"/>
                      <w:szCs w:val="28"/>
                    </w:rPr>
                    <w:t>□</w:t>
                  </w:r>
                  <w:r>
                    <w:rPr>
                      <w:color w:val="auto"/>
                      <w:spacing w:val="-2"/>
                      <w:kern w:val="0"/>
                      <w:szCs w:val="21"/>
                    </w:rPr>
                    <w:t>；</w:t>
                  </w:r>
                  <w:r>
                    <w:rPr>
                      <w:color w:val="auto"/>
                      <w:spacing w:val="-2"/>
                      <w:kern w:val="0"/>
                      <w:szCs w:val="21"/>
                    </w:rPr>
                    <w:br w:type="textWrapping"/>
                  </w:r>
                  <w:r>
                    <w:rPr>
                      <w:color w:val="auto"/>
                      <w:spacing w:val="-2"/>
                      <w:kern w:val="0"/>
                      <w:szCs w:val="21"/>
                    </w:rPr>
                    <w:t>重点保护与珍稀水生生物的栖息地</w:t>
                  </w:r>
                  <w:r>
                    <w:rPr>
                      <w:color w:val="auto"/>
                      <w:spacing w:val="-2"/>
                      <w:kern w:val="0"/>
                      <w:sz w:val="28"/>
                      <w:szCs w:val="28"/>
                    </w:rPr>
                    <w:t>□</w:t>
                  </w:r>
                  <w:r>
                    <w:rPr>
                      <w:color w:val="auto"/>
                      <w:spacing w:val="-2"/>
                      <w:kern w:val="0"/>
                      <w:szCs w:val="21"/>
                    </w:rPr>
                    <w:t>；</w:t>
                  </w:r>
                </w:p>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重要水生生物的自然产卵场及索饵场、越冬场和洄游通道、天然渔场等渔业水体</w:t>
                  </w:r>
                  <w:r>
                    <w:rPr>
                      <w:color w:val="auto"/>
                      <w:spacing w:val="-2"/>
                      <w:kern w:val="0"/>
                      <w:sz w:val="28"/>
                      <w:szCs w:val="28"/>
                    </w:rPr>
                    <w:t>□</w:t>
                  </w:r>
                  <w:r>
                    <w:rPr>
                      <w:color w:val="auto"/>
                      <w:spacing w:val="-2"/>
                      <w:kern w:val="0"/>
                      <w:szCs w:val="21"/>
                    </w:rPr>
                    <w:t>；</w:t>
                  </w:r>
                </w:p>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 xml:space="preserve">涉水的风景名胜区 </w:t>
                  </w:r>
                  <w:r>
                    <w:rPr>
                      <w:color w:val="auto"/>
                      <w:spacing w:val="-2"/>
                      <w:kern w:val="0"/>
                      <w:sz w:val="28"/>
                      <w:szCs w:val="28"/>
                    </w:rPr>
                    <w:t>□</w:t>
                  </w:r>
                  <w:r>
                    <w:rPr>
                      <w:color w:val="auto"/>
                      <w:spacing w:val="-2"/>
                      <w:kern w:val="0"/>
                      <w:szCs w:val="21"/>
                    </w:rPr>
                    <w:t xml:space="preserve">；其他 </w:t>
                  </w:r>
                  <w:r>
                    <w:rPr>
                      <w:rFonts w:ascii="Segoe UI Emoji" w:hAnsi="Segoe UI Emoji" w:cs="Segoe UI Emoji"/>
                      <w:color w:val="auto"/>
                      <w:spacing w:val="-2"/>
                      <w:kern w:val="0"/>
                      <w:szCs w:val="21"/>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79" w:type="dxa"/>
                  <w:vMerge w:val="continue"/>
                  <w:vAlign w:val="center"/>
                </w:tcPr>
                <w:p>
                  <w:pPr>
                    <w:tabs>
                      <w:tab w:val="left" w:pos="480"/>
                    </w:tabs>
                    <w:autoSpaceDE w:val="0"/>
                    <w:autoSpaceDN w:val="0"/>
                    <w:adjustRightInd w:val="0"/>
                    <w:snapToGrid w:val="0"/>
                    <w:jc w:val="center"/>
                    <w:textAlignment w:val="baseline"/>
                    <w:rPr>
                      <w:color w:val="auto"/>
                      <w:spacing w:val="-2"/>
                      <w:kern w:val="0"/>
                      <w:szCs w:val="21"/>
                    </w:rPr>
                  </w:pPr>
                </w:p>
              </w:tc>
              <w:tc>
                <w:tcPr>
                  <w:tcW w:w="896" w:type="dxa"/>
                  <w:vMerge w:val="restart"/>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影响途径</w:t>
                  </w:r>
                </w:p>
              </w:tc>
              <w:tc>
                <w:tcPr>
                  <w:tcW w:w="3476" w:type="dxa"/>
                  <w:gridSpan w:val="6"/>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水污染影响型</w:t>
                  </w:r>
                </w:p>
              </w:tc>
              <w:tc>
                <w:tcPr>
                  <w:tcW w:w="4191" w:type="dxa"/>
                  <w:gridSpan w:val="6"/>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水文要素影响型</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79" w:type="dxa"/>
                  <w:vMerge w:val="continue"/>
                  <w:vAlign w:val="center"/>
                </w:tcPr>
                <w:p>
                  <w:pPr>
                    <w:tabs>
                      <w:tab w:val="left" w:pos="480"/>
                    </w:tabs>
                    <w:autoSpaceDE w:val="0"/>
                    <w:autoSpaceDN w:val="0"/>
                    <w:adjustRightInd w:val="0"/>
                    <w:snapToGrid w:val="0"/>
                    <w:jc w:val="center"/>
                    <w:textAlignment w:val="baseline"/>
                    <w:rPr>
                      <w:color w:val="auto"/>
                      <w:spacing w:val="-2"/>
                      <w:kern w:val="0"/>
                      <w:szCs w:val="21"/>
                    </w:rPr>
                  </w:pPr>
                </w:p>
              </w:tc>
              <w:tc>
                <w:tcPr>
                  <w:tcW w:w="896" w:type="dxa"/>
                  <w:vMerge w:val="continue"/>
                  <w:vAlign w:val="center"/>
                </w:tcPr>
                <w:p>
                  <w:pPr>
                    <w:tabs>
                      <w:tab w:val="left" w:pos="480"/>
                    </w:tabs>
                    <w:autoSpaceDE w:val="0"/>
                    <w:autoSpaceDN w:val="0"/>
                    <w:adjustRightInd w:val="0"/>
                    <w:snapToGrid w:val="0"/>
                    <w:jc w:val="center"/>
                    <w:textAlignment w:val="baseline"/>
                    <w:rPr>
                      <w:color w:val="auto"/>
                      <w:spacing w:val="-2"/>
                      <w:kern w:val="0"/>
                      <w:szCs w:val="21"/>
                    </w:rPr>
                  </w:pPr>
                </w:p>
              </w:tc>
              <w:tc>
                <w:tcPr>
                  <w:tcW w:w="3476" w:type="dxa"/>
                  <w:gridSpan w:val="6"/>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直接排放 □；间接排放□；其他</w:t>
                  </w:r>
                  <w:r>
                    <w:rPr>
                      <w:rFonts w:ascii="Segoe UI Emoji" w:hAnsi="Segoe UI Emoji" w:cs="Segoe UI Emoji"/>
                      <w:color w:val="auto"/>
                      <w:spacing w:val="-2"/>
                      <w:kern w:val="0"/>
                      <w:szCs w:val="21"/>
                    </w:rPr>
                    <w:t>☑</w:t>
                  </w:r>
                </w:p>
              </w:tc>
              <w:tc>
                <w:tcPr>
                  <w:tcW w:w="4191" w:type="dxa"/>
                  <w:gridSpan w:val="6"/>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水温 □；径流 □；水域面积 □</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79" w:type="dxa"/>
                  <w:vMerge w:val="continue"/>
                  <w:vAlign w:val="center"/>
                </w:tcPr>
                <w:p>
                  <w:pPr>
                    <w:tabs>
                      <w:tab w:val="left" w:pos="480"/>
                    </w:tabs>
                    <w:autoSpaceDE w:val="0"/>
                    <w:autoSpaceDN w:val="0"/>
                    <w:adjustRightInd w:val="0"/>
                    <w:snapToGrid w:val="0"/>
                    <w:jc w:val="center"/>
                    <w:textAlignment w:val="baseline"/>
                    <w:rPr>
                      <w:color w:val="auto"/>
                      <w:spacing w:val="-2"/>
                      <w:kern w:val="0"/>
                      <w:szCs w:val="21"/>
                    </w:rPr>
                  </w:pPr>
                </w:p>
              </w:tc>
              <w:tc>
                <w:tcPr>
                  <w:tcW w:w="896" w:type="dxa"/>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影响因子</w:t>
                  </w:r>
                </w:p>
              </w:tc>
              <w:tc>
                <w:tcPr>
                  <w:tcW w:w="3476" w:type="dxa"/>
                  <w:gridSpan w:val="6"/>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持久性污染物□；有毒有害污染物 □；非持久性污染物</w:t>
                  </w:r>
                  <w:r>
                    <w:rPr>
                      <w:rFonts w:ascii="Segoe UI Emoji" w:hAnsi="Segoe UI Emoji" w:cs="Segoe UI Emoji"/>
                      <w:color w:val="auto"/>
                      <w:spacing w:val="-2"/>
                      <w:kern w:val="0"/>
                      <w:szCs w:val="21"/>
                    </w:rPr>
                    <w:t>☑</w:t>
                  </w:r>
                  <w:r>
                    <w:rPr>
                      <w:color w:val="auto"/>
                      <w:spacing w:val="-2"/>
                      <w:kern w:val="0"/>
                      <w:szCs w:val="21"/>
                    </w:rPr>
                    <w:t>；pH值□；热污染□；富营养化□；其他□</w:t>
                  </w:r>
                </w:p>
              </w:tc>
              <w:tc>
                <w:tcPr>
                  <w:tcW w:w="4191" w:type="dxa"/>
                  <w:gridSpan w:val="6"/>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水温□；水位（水深） □；流速 □；流量 □；其他 □</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375" w:type="dxa"/>
                  <w:gridSpan w:val="2"/>
                  <w:vMerge w:val="restart"/>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评价等级</w:t>
                  </w:r>
                </w:p>
              </w:tc>
              <w:tc>
                <w:tcPr>
                  <w:tcW w:w="3476" w:type="dxa"/>
                  <w:gridSpan w:val="6"/>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水污染影响型</w:t>
                  </w:r>
                </w:p>
              </w:tc>
              <w:tc>
                <w:tcPr>
                  <w:tcW w:w="4191" w:type="dxa"/>
                  <w:gridSpan w:val="6"/>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水文要素影响型</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375" w:type="dxa"/>
                  <w:gridSpan w:val="2"/>
                  <w:vMerge w:val="continue"/>
                  <w:vAlign w:val="center"/>
                </w:tcPr>
                <w:p>
                  <w:pPr>
                    <w:tabs>
                      <w:tab w:val="left" w:pos="480"/>
                    </w:tabs>
                    <w:autoSpaceDE w:val="0"/>
                    <w:autoSpaceDN w:val="0"/>
                    <w:adjustRightInd w:val="0"/>
                    <w:snapToGrid w:val="0"/>
                    <w:jc w:val="center"/>
                    <w:textAlignment w:val="baseline"/>
                    <w:rPr>
                      <w:color w:val="auto"/>
                      <w:spacing w:val="-2"/>
                      <w:kern w:val="0"/>
                      <w:szCs w:val="21"/>
                    </w:rPr>
                  </w:pPr>
                </w:p>
              </w:tc>
              <w:tc>
                <w:tcPr>
                  <w:tcW w:w="3476" w:type="dxa"/>
                  <w:gridSpan w:val="6"/>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一级 □；二级 □；三级A□；</w:t>
                  </w:r>
                </w:p>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三级B</w:t>
                  </w:r>
                  <w:r>
                    <w:rPr>
                      <w:rFonts w:ascii="Segoe UI Emoji" w:hAnsi="Segoe UI Emoji" w:cs="Segoe UI Emoji"/>
                      <w:color w:val="auto"/>
                      <w:spacing w:val="-2"/>
                      <w:kern w:val="0"/>
                      <w:szCs w:val="21"/>
                    </w:rPr>
                    <w:t>☑</w:t>
                  </w:r>
                </w:p>
              </w:tc>
              <w:tc>
                <w:tcPr>
                  <w:tcW w:w="4191" w:type="dxa"/>
                  <w:gridSpan w:val="6"/>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一级□；二级□；三级□</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79" w:type="dxa"/>
                  <w:vMerge w:val="restart"/>
                  <w:textDirection w:val="tbRlV"/>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现状调查</w:t>
                  </w:r>
                </w:p>
              </w:tc>
              <w:tc>
                <w:tcPr>
                  <w:tcW w:w="896" w:type="dxa"/>
                  <w:vMerge w:val="restart"/>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区域污染源</w:t>
                  </w:r>
                </w:p>
              </w:tc>
              <w:tc>
                <w:tcPr>
                  <w:tcW w:w="3476" w:type="dxa"/>
                  <w:gridSpan w:val="6"/>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调查项目</w:t>
                  </w:r>
                </w:p>
              </w:tc>
              <w:tc>
                <w:tcPr>
                  <w:tcW w:w="4191" w:type="dxa"/>
                  <w:gridSpan w:val="6"/>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数据来源</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79" w:type="dxa"/>
                  <w:vMerge w:val="continue"/>
                  <w:vAlign w:val="center"/>
                </w:tcPr>
                <w:p>
                  <w:pPr>
                    <w:tabs>
                      <w:tab w:val="left" w:pos="480"/>
                    </w:tabs>
                    <w:autoSpaceDE w:val="0"/>
                    <w:autoSpaceDN w:val="0"/>
                    <w:adjustRightInd w:val="0"/>
                    <w:snapToGrid w:val="0"/>
                    <w:jc w:val="center"/>
                    <w:textAlignment w:val="baseline"/>
                    <w:rPr>
                      <w:color w:val="auto"/>
                      <w:spacing w:val="-2"/>
                      <w:kern w:val="0"/>
                      <w:szCs w:val="21"/>
                    </w:rPr>
                  </w:pPr>
                </w:p>
              </w:tc>
              <w:tc>
                <w:tcPr>
                  <w:tcW w:w="896" w:type="dxa"/>
                  <w:vMerge w:val="continue"/>
                  <w:vAlign w:val="center"/>
                </w:tcPr>
                <w:p>
                  <w:pPr>
                    <w:tabs>
                      <w:tab w:val="left" w:pos="480"/>
                    </w:tabs>
                    <w:autoSpaceDE w:val="0"/>
                    <w:autoSpaceDN w:val="0"/>
                    <w:adjustRightInd w:val="0"/>
                    <w:snapToGrid w:val="0"/>
                    <w:jc w:val="center"/>
                    <w:textAlignment w:val="baseline"/>
                    <w:rPr>
                      <w:color w:val="auto"/>
                      <w:spacing w:val="-2"/>
                      <w:kern w:val="0"/>
                      <w:szCs w:val="21"/>
                    </w:rPr>
                  </w:pPr>
                </w:p>
              </w:tc>
              <w:tc>
                <w:tcPr>
                  <w:tcW w:w="2036" w:type="dxa"/>
                  <w:gridSpan w:val="4"/>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已建</w:t>
                  </w:r>
                  <w:r>
                    <w:rPr>
                      <w:color w:val="auto"/>
                      <w:spacing w:val="-2"/>
                      <w:kern w:val="0"/>
                      <w:szCs w:val="21"/>
                    </w:rPr>
                    <w:sym w:font="Wingdings 2" w:char="00A3"/>
                  </w:r>
                  <w:r>
                    <w:rPr>
                      <w:color w:val="auto"/>
                      <w:spacing w:val="-2"/>
                      <w:kern w:val="0"/>
                      <w:szCs w:val="21"/>
                    </w:rPr>
                    <w:t>；在建</w:t>
                  </w:r>
                  <w:r>
                    <w:rPr>
                      <w:color w:val="auto"/>
                      <w:spacing w:val="-2"/>
                      <w:kern w:val="0"/>
                      <w:szCs w:val="21"/>
                    </w:rPr>
                    <w:sym w:font="Wingdings 2" w:char="00A3"/>
                  </w:r>
                  <w:r>
                    <w:rPr>
                      <w:color w:val="auto"/>
                      <w:spacing w:val="-2"/>
                      <w:kern w:val="0"/>
                      <w:szCs w:val="21"/>
                    </w:rPr>
                    <w:t>；拟建</w:t>
                  </w:r>
                  <w:r>
                    <w:rPr>
                      <w:color w:val="auto"/>
                      <w:spacing w:val="-2"/>
                      <w:kern w:val="0"/>
                      <w:szCs w:val="21"/>
                    </w:rPr>
                    <w:sym w:font="Wingdings 2" w:char="00A3"/>
                  </w:r>
                  <w:r>
                    <w:rPr>
                      <w:color w:val="auto"/>
                      <w:spacing w:val="-2"/>
                      <w:kern w:val="0"/>
                      <w:szCs w:val="21"/>
                    </w:rPr>
                    <w:t>；其他</w:t>
                  </w:r>
                  <w:r>
                    <w:rPr>
                      <w:color w:val="auto"/>
                      <w:spacing w:val="-2"/>
                      <w:kern w:val="0"/>
                      <w:szCs w:val="21"/>
                    </w:rPr>
                    <w:sym w:font="Wingdings 2" w:char="00A3"/>
                  </w:r>
                </w:p>
              </w:tc>
              <w:tc>
                <w:tcPr>
                  <w:tcW w:w="1440" w:type="dxa"/>
                  <w:gridSpan w:val="2"/>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拟替代的污染源</w:t>
                  </w:r>
                  <w:r>
                    <w:rPr>
                      <w:color w:val="auto"/>
                      <w:spacing w:val="-2"/>
                      <w:kern w:val="0"/>
                      <w:szCs w:val="21"/>
                    </w:rPr>
                    <w:sym w:font="Wingdings 2" w:char="00A3"/>
                  </w:r>
                </w:p>
              </w:tc>
              <w:tc>
                <w:tcPr>
                  <w:tcW w:w="4191" w:type="dxa"/>
                  <w:gridSpan w:val="6"/>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排污许可证</w:t>
                  </w:r>
                  <w:r>
                    <w:rPr>
                      <w:color w:val="auto"/>
                      <w:spacing w:val="-2"/>
                      <w:kern w:val="0"/>
                      <w:szCs w:val="21"/>
                    </w:rPr>
                    <w:sym w:font="Wingdings 2" w:char="00A3"/>
                  </w:r>
                  <w:r>
                    <w:rPr>
                      <w:color w:val="auto"/>
                      <w:spacing w:val="-2"/>
                      <w:kern w:val="0"/>
                      <w:szCs w:val="21"/>
                    </w:rPr>
                    <w:t>；环评</w:t>
                  </w:r>
                  <w:r>
                    <w:rPr>
                      <w:color w:val="auto"/>
                      <w:spacing w:val="-2"/>
                      <w:kern w:val="0"/>
                      <w:szCs w:val="21"/>
                    </w:rPr>
                    <w:sym w:font="Wingdings 2" w:char="00A3"/>
                  </w:r>
                  <w:r>
                    <w:rPr>
                      <w:color w:val="auto"/>
                      <w:spacing w:val="-2"/>
                      <w:kern w:val="0"/>
                      <w:szCs w:val="21"/>
                    </w:rPr>
                    <w:t>；环保验收</w:t>
                  </w:r>
                  <w:r>
                    <w:rPr>
                      <w:color w:val="auto"/>
                      <w:spacing w:val="-2"/>
                      <w:kern w:val="0"/>
                      <w:szCs w:val="21"/>
                    </w:rPr>
                    <w:sym w:font="Wingdings 2" w:char="00A3"/>
                  </w:r>
                  <w:r>
                    <w:rPr>
                      <w:color w:val="auto"/>
                      <w:spacing w:val="-2"/>
                      <w:kern w:val="0"/>
                      <w:szCs w:val="21"/>
                    </w:rPr>
                    <w:t>；既有实测</w:t>
                  </w:r>
                  <w:r>
                    <w:rPr>
                      <w:color w:val="auto"/>
                      <w:spacing w:val="-2"/>
                      <w:kern w:val="0"/>
                      <w:szCs w:val="21"/>
                    </w:rPr>
                    <w:sym w:font="Wingdings 2" w:char="00A3"/>
                  </w:r>
                  <w:r>
                    <w:rPr>
                      <w:color w:val="auto"/>
                      <w:spacing w:val="-2"/>
                      <w:kern w:val="0"/>
                      <w:szCs w:val="21"/>
                    </w:rPr>
                    <w:t>；现场监测</w:t>
                  </w:r>
                  <w:r>
                    <w:rPr>
                      <w:color w:val="auto"/>
                      <w:spacing w:val="-2"/>
                      <w:kern w:val="0"/>
                      <w:szCs w:val="21"/>
                    </w:rPr>
                    <w:sym w:font="Wingdings 2" w:char="00A3"/>
                  </w:r>
                  <w:r>
                    <w:rPr>
                      <w:color w:val="auto"/>
                      <w:spacing w:val="-2"/>
                      <w:kern w:val="0"/>
                      <w:szCs w:val="21"/>
                    </w:rPr>
                    <w:t>；入河排放口数据</w:t>
                  </w:r>
                  <w:r>
                    <w:rPr>
                      <w:color w:val="auto"/>
                      <w:spacing w:val="-2"/>
                      <w:kern w:val="0"/>
                      <w:szCs w:val="21"/>
                    </w:rPr>
                    <w:sym w:font="Wingdings 2" w:char="00A3"/>
                  </w:r>
                  <w:r>
                    <w:rPr>
                      <w:color w:val="auto"/>
                      <w:spacing w:val="-2"/>
                      <w:kern w:val="0"/>
                      <w:szCs w:val="21"/>
                    </w:rPr>
                    <w:t>；</w:t>
                  </w:r>
                </w:p>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其他</w:t>
                  </w:r>
                  <w:r>
                    <w:rPr>
                      <w:color w:val="auto"/>
                      <w:spacing w:val="-2"/>
                      <w:kern w:val="0"/>
                      <w:szCs w:val="21"/>
                    </w:rPr>
                    <w:sym w:font="Wingdings 2" w:char="00A3"/>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79" w:type="dxa"/>
                  <w:vMerge w:val="continue"/>
                  <w:vAlign w:val="center"/>
                </w:tcPr>
                <w:p>
                  <w:pPr>
                    <w:tabs>
                      <w:tab w:val="left" w:pos="480"/>
                    </w:tabs>
                    <w:autoSpaceDE w:val="0"/>
                    <w:autoSpaceDN w:val="0"/>
                    <w:adjustRightInd w:val="0"/>
                    <w:snapToGrid w:val="0"/>
                    <w:jc w:val="center"/>
                    <w:textAlignment w:val="baseline"/>
                    <w:rPr>
                      <w:color w:val="auto"/>
                      <w:spacing w:val="-2"/>
                      <w:kern w:val="0"/>
                      <w:szCs w:val="21"/>
                    </w:rPr>
                  </w:pPr>
                </w:p>
              </w:tc>
              <w:tc>
                <w:tcPr>
                  <w:tcW w:w="896" w:type="dxa"/>
                  <w:vMerge w:val="restart"/>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受影响水体水环境质量　</w:t>
                  </w:r>
                </w:p>
              </w:tc>
              <w:tc>
                <w:tcPr>
                  <w:tcW w:w="3476" w:type="dxa"/>
                  <w:gridSpan w:val="6"/>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调查时期</w:t>
                  </w:r>
                </w:p>
              </w:tc>
              <w:tc>
                <w:tcPr>
                  <w:tcW w:w="4191" w:type="dxa"/>
                  <w:gridSpan w:val="6"/>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数据来源</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79" w:type="dxa"/>
                  <w:vMerge w:val="continue"/>
                  <w:vAlign w:val="center"/>
                </w:tcPr>
                <w:p>
                  <w:pPr>
                    <w:tabs>
                      <w:tab w:val="left" w:pos="480"/>
                    </w:tabs>
                    <w:autoSpaceDE w:val="0"/>
                    <w:autoSpaceDN w:val="0"/>
                    <w:adjustRightInd w:val="0"/>
                    <w:snapToGrid w:val="0"/>
                    <w:jc w:val="center"/>
                    <w:textAlignment w:val="baseline"/>
                    <w:rPr>
                      <w:color w:val="auto"/>
                      <w:spacing w:val="-2"/>
                      <w:kern w:val="0"/>
                      <w:szCs w:val="21"/>
                    </w:rPr>
                  </w:pPr>
                </w:p>
              </w:tc>
              <w:tc>
                <w:tcPr>
                  <w:tcW w:w="896" w:type="dxa"/>
                  <w:vMerge w:val="continue"/>
                  <w:vAlign w:val="center"/>
                </w:tcPr>
                <w:p>
                  <w:pPr>
                    <w:tabs>
                      <w:tab w:val="left" w:pos="480"/>
                    </w:tabs>
                    <w:autoSpaceDE w:val="0"/>
                    <w:autoSpaceDN w:val="0"/>
                    <w:adjustRightInd w:val="0"/>
                    <w:snapToGrid w:val="0"/>
                    <w:jc w:val="center"/>
                    <w:textAlignment w:val="baseline"/>
                    <w:rPr>
                      <w:color w:val="auto"/>
                      <w:spacing w:val="-2"/>
                      <w:kern w:val="0"/>
                      <w:szCs w:val="21"/>
                    </w:rPr>
                  </w:pPr>
                </w:p>
              </w:tc>
              <w:tc>
                <w:tcPr>
                  <w:tcW w:w="3476" w:type="dxa"/>
                  <w:gridSpan w:val="6"/>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丰水期□；平水期</w:t>
                  </w:r>
                  <w:r>
                    <w:rPr>
                      <w:rFonts w:ascii="Segoe UI Emoji" w:hAnsi="Segoe UI Emoji" w:cs="Segoe UI Emoji"/>
                      <w:color w:val="auto"/>
                      <w:spacing w:val="-2"/>
                      <w:kern w:val="0"/>
                      <w:szCs w:val="21"/>
                    </w:rPr>
                    <w:t>☑</w:t>
                  </w:r>
                  <w:r>
                    <w:rPr>
                      <w:color w:val="auto"/>
                      <w:spacing w:val="-2"/>
                      <w:kern w:val="0"/>
                      <w:szCs w:val="21"/>
                    </w:rPr>
                    <w:t>；</w:t>
                  </w:r>
                </w:p>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枯水期□；冰封期□春季□；夏季</w:t>
                  </w:r>
                  <w:r>
                    <w:rPr>
                      <w:rFonts w:ascii="Segoe UI Emoji" w:hAnsi="Segoe UI Emoji" w:cs="Segoe UI Emoji"/>
                      <w:color w:val="auto"/>
                      <w:spacing w:val="-2"/>
                      <w:kern w:val="0"/>
                      <w:szCs w:val="21"/>
                    </w:rPr>
                    <w:t>☑</w:t>
                  </w:r>
                  <w:r>
                    <w:rPr>
                      <w:color w:val="auto"/>
                      <w:spacing w:val="-2"/>
                      <w:kern w:val="0"/>
                      <w:szCs w:val="21"/>
                    </w:rPr>
                    <w:t>；秋季□；冬季□</w:t>
                  </w:r>
                </w:p>
              </w:tc>
              <w:tc>
                <w:tcPr>
                  <w:tcW w:w="4191" w:type="dxa"/>
                  <w:gridSpan w:val="6"/>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生态环境保护主管部门□；补充监测</w:t>
                  </w:r>
                  <w:r>
                    <w:rPr>
                      <w:rFonts w:ascii="Segoe UI Emoji" w:hAnsi="Segoe UI Emoji" w:cs="Segoe UI Emoji"/>
                      <w:color w:val="auto"/>
                      <w:spacing w:val="-2"/>
                      <w:kern w:val="0"/>
                      <w:szCs w:val="21"/>
                    </w:rPr>
                    <w:t>☑</w:t>
                  </w:r>
                  <w:r>
                    <w:rPr>
                      <w:color w:val="auto"/>
                      <w:spacing w:val="-2"/>
                      <w:kern w:val="0"/>
                      <w:szCs w:val="21"/>
                    </w:rPr>
                    <w:t>；其他□</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79" w:type="dxa"/>
                  <w:vMerge w:val="continue"/>
                  <w:vAlign w:val="center"/>
                </w:tcPr>
                <w:p>
                  <w:pPr>
                    <w:tabs>
                      <w:tab w:val="left" w:pos="480"/>
                    </w:tabs>
                    <w:autoSpaceDE w:val="0"/>
                    <w:autoSpaceDN w:val="0"/>
                    <w:adjustRightInd w:val="0"/>
                    <w:snapToGrid w:val="0"/>
                    <w:jc w:val="center"/>
                    <w:textAlignment w:val="baseline"/>
                    <w:rPr>
                      <w:color w:val="auto"/>
                      <w:spacing w:val="-2"/>
                      <w:kern w:val="0"/>
                      <w:szCs w:val="21"/>
                    </w:rPr>
                  </w:pPr>
                </w:p>
              </w:tc>
              <w:tc>
                <w:tcPr>
                  <w:tcW w:w="896" w:type="dxa"/>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区域水资源开发利用状况</w:t>
                  </w:r>
                </w:p>
              </w:tc>
              <w:tc>
                <w:tcPr>
                  <w:tcW w:w="7667" w:type="dxa"/>
                  <w:gridSpan w:val="12"/>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未开发</w:t>
                  </w:r>
                  <w:r>
                    <w:rPr>
                      <w:color w:val="auto"/>
                      <w:spacing w:val="-2"/>
                      <w:kern w:val="0"/>
                      <w:sz w:val="28"/>
                      <w:szCs w:val="28"/>
                    </w:rPr>
                    <w:t>□</w:t>
                  </w:r>
                  <w:r>
                    <w:rPr>
                      <w:color w:val="auto"/>
                      <w:spacing w:val="-2"/>
                      <w:kern w:val="0"/>
                      <w:szCs w:val="21"/>
                    </w:rPr>
                    <w:t>；开发量40%以下</w:t>
                  </w:r>
                  <w:r>
                    <w:rPr>
                      <w:color w:val="auto"/>
                      <w:spacing w:val="-2"/>
                      <w:kern w:val="0"/>
                      <w:sz w:val="28"/>
                      <w:szCs w:val="28"/>
                    </w:rPr>
                    <w:t>□</w:t>
                  </w:r>
                  <w:r>
                    <w:rPr>
                      <w:color w:val="auto"/>
                      <w:spacing w:val="-2"/>
                      <w:kern w:val="0"/>
                      <w:szCs w:val="21"/>
                    </w:rPr>
                    <w:t>；开发量40%以上</w:t>
                  </w:r>
                  <w:r>
                    <w:rPr>
                      <w:color w:val="auto"/>
                      <w:spacing w:val="-2"/>
                      <w:kern w:val="0"/>
                      <w:sz w:val="28"/>
                      <w:szCs w:val="28"/>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79" w:type="dxa"/>
                  <w:vMerge w:val="continue"/>
                  <w:vAlign w:val="center"/>
                </w:tcPr>
                <w:p>
                  <w:pPr>
                    <w:tabs>
                      <w:tab w:val="left" w:pos="480"/>
                    </w:tabs>
                    <w:autoSpaceDE w:val="0"/>
                    <w:autoSpaceDN w:val="0"/>
                    <w:adjustRightInd w:val="0"/>
                    <w:snapToGrid w:val="0"/>
                    <w:jc w:val="center"/>
                    <w:textAlignment w:val="baseline"/>
                    <w:rPr>
                      <w:color w:val="auto"/>
                      <w:spacing w:val="-2"/>
                      <w:kern w:val="0"/>
                      <w:szCs w:val="21"/>
                    </w:rPr>
                  </w:pPr>
                </w:p>
              </w:tc>
              <w:tc>
                <w:tcPr>
                  <w:tcW w:w="896" w:type="dxa"/>
                  <w:vMerge w:val="restart"/>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水文情势调查　</w:t>
                  </w:r>
                </w:p>
              </w:tc>
              <w:tc>
                <w:tcPr>
                  <w:tcW w:w="3476" w:type="dxa"/>
                  <w:gridSpan w:val="6"/>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调查时期</w:t>
                  </w:r>
                </w:p>
              </w:tc>
              <w:tc>
                <w:tcPr>
                  <w:tcW w:w="4191" w:type="dxa"/>
                  <w:gridSpan w:val="6"/>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数据来源</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79" w:type="dxa"/>
                  <w:vMerge w:val="continue"/>
                  <w:vAlign w:val="center"/>
                </w:tcPr>
                <w:p>
                  <w:pPr>
                    <w:tabs>
                      <w:tab w:val="left" w:pos="480"/>
                    </w:tabs>
                    <w:autoSpaceDE w:val="0"/>
                    <w:autoSpaceDN w:val="0"/>
                    <w:adjustRightInd w:val="0"/>
                    <w:snapToGrid w:val="0"/>
                    <w:jc w:val="center"/>
                    <w:textAlignment w:val="baseline"/>
                    <w:rPr>
                      <w:color w:val="auto"/>
                      <w:spacing w:val="-2"/>
                      <w:kern w:val="0"/>
                      <w:szCs w:val="21"/>
                    </w:rPr>
                  </w:pPr>
                </w:p>
              </w:tc>
              <w:tc>
                <w:tcPr>
                  <w:tcW w:w="896" w:type="dxa"/>
                  <w:vMerge w:val="continue"/>
                  <w:vAlign w:val="center"/>
                </w:tcPr>
                <w:p>
                  <w:pPr>
                    <w:tabs>
                      <w:tab w:val="left" w:pos="480"/>
                    </w:tabs>
                    <w:autoSpaceDE w:val="0"/>
                    <w:autoSpaceDN w:val="0"/>
                    <w:adjustRightInd w:val="0"/>
                    <w:snapToGrid w:val="0"/>
                    <w:jc w:val="center"/>
                    <w:textAlignment w:val="baseline"/>
                    <w:rPr>
                      <w:color w:val="auto"/>
                      <w:spacing w:val="-2"/>
                      <w:kern w:val="0"/>
                      <w:szCs w:val="21"/>
                    </w:rPr>
                  </w:pPr>
                </w:p>
              </w:tc>
              <w:tc>
                <w:tcPr>
                  <w:tcW w:w="3476" w:type="dxa"/>
                  <w:gridSpan w:val="6"/>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丰水期</w:t>
                  </w:r>
                  <w:r>
                    <w:rPr>
                      <w:color w:val="auto"/>
                      <w:spacing w:val="-2"/>
                      <w:kern w:val="0"/>
                      <w:sz w:val="28"/>
                      <w:szCs w:val="28"/>
                    </w:rPr>
                    <w:t>□</w:t>
                  </w:r>
                  <w:r>
                    <w:rPr>
                      <w:color w:val="auto"/>
                      <w:spacing w:val="-2"/>
                      <w:kern w:val="0"/>
                      <w:szCs w:val="21"/>
                    </w:rPr>
                    <w:t>；平水期</w:t>
                  </w:r>
                  <w:r>
                    <w:rPr>
                      <w:color w:val="auto"/>
                      <w:spacing w:val="-2"/>
                      <w:kern w:val="0"/>
                      <w:sz w:val="28"/>
                      <w:szCs w:val="28"/>
                    </w:rPr>
                    <w:t>□</w:t>
                  </w:r>
                  <w:r>
                    <w:rPr>
                      <w:color w:val="auto"/>
                      <w:spacing w:val="-2"/>
                      <w:kern w:val="0"/>
                      <w:szCs w:val="21"/>
                    </w:rPr>
                    <w:t>；</w:t>
                  </w:r>
                </w:p>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枯水期</w:t>
                  </w:r>
                  <w:r>
                    <w:rPr>
                      <w:color w:val="auto"/>
                      <w:spacing w:val="-2"/>
                      <w:kern w:val="0"/>
                      <w:sz w:val="28"/>
                      <w:szCs w:val="28"/>
                    </w:rPr>
                    <w:t>□</w:t>
                  </w:r>
                  <w:r>
                    <w:rPr>
                      <w:color w:val="auto"/>
                      <w:spacing w:val="-2"/>
                      <w:kern w:val="0"/>
                      <w:szCs w:val="21"/>
                    </w:rPr>
                    <w:t>；冰封期</w:t>
                  </w:r>
                  <w:r>
                    <w:rPr>
                      <w:color w:val="auto"/>
                      <w:spacing w:val="-2"/>
                      <w:kern w:val="0"/>
                      <w:sz w:val="28"/>
                      <w:szCs w:val="28"/>
                    </w:rPr>
                    <w:t>□</w:t>
                  </w:r>
                </w:p>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春季</w:t>
                  </w:r>
                  <w:r>
                    <w:rPr>
                      <w:color w:val="auto"/>
                      <w:spacing w:val="-2"/>
                      <w:kern w:val="0"/>
                      <w:sz w:val="28"/>
                      <w:szCs w:val="28"/>
                    </w:rPr>
                    <w:t>□</w:t>
                  </w:r>
                  <w:r>
                    <w:rPr>
                      <w:color w:val="auto"/>
                      <w:spacing w:val="-2"/>
                      <w:kern w:val="0"/>
                      <w:szCs w:val="21"/>
                    </w:rPr>
                    <w:t>；夏季</w:t>
                  </w:r>
                  <w:r>
                    <w:rPr>
                      <w:color w:val="auto"/>
                      <w:spacing w:val="-2"/>
                      <w:kern w:val="0"/>
                      <w:sz w:val="28"/>
                      <w:szCs w:val="28"/>
                    </w:rPr>
                    <w:t>□</w:t>
                  </w:r>
                  <w:r>
                    <w:rPr>
                      <w:color w:val="auto"/>
                      <w:spacing w:val="-2"/>
                      <w:kern w:val="0"/>
                      <w:szCs w:val="21"/>
                    </w:rPr>
                    <w:t>；秋季</w:t>
                  </w:r>
                  <w:r>
                    <w:rPr>
                      <w:color w:val="auto"/>
                      <w:spacing w:val="-2"/>
                      <w:kern w:val="0"/>
                      <w:sz w:val="28"/>
                      <w:szCs w:val="28"/>
                    </w:rPr>
                    <w:t>□</w:t>
                  </w:r>
                  <w:r>
                    <w:rPr>
                      <w:color w:val="auto"/>
                      <w:spacing w:val="-2"/>
                      <w:kern w:val="0"/>
                      <w:szCs w:val="21"/>
                    </w:rPr>
                    <w:t>；冬季</w:t>
                  </w:r>
                  <w:r>
                    <w:rPr>
                      <w:color w:val="auto"/>
                      <w:spacing w:val="-2"/>
                      <w:kern w:val="0"/>
                      <w:sz w:val="28"/>
                      <w:szCs w:val="28"/>
                    </w:rPr>
                    <w:t>□</w:t>
                  </w:r>
                </w:p>
              </w:tc>
              <w:tc>
                <w:tcPr>
                  <w:tcW w:w="4191" w:type="dxa"/>
                  <w:gridSpan w:val="6"/>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水行政主管部门</w:t>
                  </w:r>
                  <w:r>
                    <w:rPr>
                      <w:color w:val="auto"/>
                      <w:spacing w:val="-2"/>
                      <w:kern w:val="0"/>
                      <w:sz w:val="28"/>
                      <w:szCs w:val="28"/>
                    </w:rPr>
                    <w:t>□</w:t>
                  </w:r>
                  <w:r>
                    <w:rPr>
                      <w:color w:val="auto"/>
                      <w:spacing w:val="-2"/>
                      <w:kern w:val="0"/>
                      <w:szCs w:val="21"/>
                    </w:rPr>
                    <w:t>；补充监测</w:t>
                  </w:r>
                  <w:r>
                    <w:rPr>
                      <w:color w:val="auto"/>
                      <w:spacing w:val="-2"/>
                      <w:kern w:val="0"/>
                      <w:sz w:val="28"/>
                      <w:szCs w:val="28"/>
                    </w:rPr>
                    <w:t>□</w:t>
                  </w:r>
                  <w:r>
                    <w:rPr>
                      <w:color w:val="auto"/>
                      <w:spacing w:val="-2"/>
                      <w:kern w:val="0"/>
                      <w:szCs w:val="21"/>
                    </w:rPr>
                    <w:t>；其他</w:t>
                  </w:r>
                  <w:r>
                    <w:rPr>
                      <w:color w:val="auto"/>
                      <w:spacing w:val="-2"/>
                      <w:kern w:val="0"/>
                      <w:sz w:val="28"/>
                      <w:szCs w:val="28"/>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79" w:type="dxa"/>
                  <w:vMerge w:val="continue"/>
                  <w:vAlign w:val="center"/>
                </w:tcPr>
                <w:p>
                  <w:pPr>
                    <w:tabs>
                      <w:tab w:val="left" w:pos="480"/>
                    </w:tabs>
                    <w:autoSpaceDE w:val="0"/>
                    <w:autoSpaceDN w:val="0"/>
                    <w:adjustRightInd w:val="0"/>
                    <w:snapToGrid w:val="0"/>
                    <w:jc w:val="center"/>
                    <w:textAlignment w:val="baseline"/>
                    <w:rPr>
                      <w:color w:val="auto"/>
                      <w:spacing w:val="-2"/>
                      <w:kern w:val="0"/>
                      <w:szCs w:val="21"/>
                    </w:rPr>
                  </w:pPr>
                </w:p>
              </w:tc>
              <w:tc>
                <w:tcPr>
                  <w:tcW w:w="896" w:type="dxa"/>
                  <w:vMerge w:val="restart"/>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补充监测　</w:t>
                  </w:r>
                </w:p>
              </w:tc>
              <w:tc>
                <w:tcPr>
                  <w:tcW w:w="2036" w:type="dxa"/>
                  <w:gridSpan w:val="4"/>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监测时期</w:t>
                  </w:r>
                </w:p>
              </w:tc>
              <w:tc>
                <w:tcPr>
                  <w:tcW w:w="3900" w:type="dxa"/>
                  <w:gridSpan w:val="6"/>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监测因子</w:t>
                  </w:r>
                </w:p>
              </w:tc>
              <w:tc>
                <w:tcPr>
                  <w:tcW w:w="1731" w:type="dxa"/>
                  <w:gridSpan w:val="2"/>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监测断面或点位</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79" w:type="dxa"/>
                  <w:vMerge w:val="continue"/>
                  <w:vAlign w:val="center"/>
                </w:tcPr>
                <w:p>
                  <w:pPr>
                    <w:tabs>
                      <w:tab w:val="left" w:pos="480"/>
                    </w:tabs>
                    <w:autoSpaceDE w:val="0"/>
                    <w:autoSpaceDN w:val="0"/>
                    <w:adjustRightInd w:val="0"/>
                    <w:snapToGrid w:val="0"/>
                    <w:jc w:val="center"/>
                    <w:textAlignment w:val="baseline"/>
                    <w:rPr>
                      <w:color w:val="auto"/>
                      <w:spacing w:val="-2"/>
                      <w:kern w:val="0"/>
                      <w:szCs w:val="21"/>
                    </w:rPr>
                  </w:pPr>
                </w:p>
              </w:tc>
              <w:tc>
                <w:tcPr>
                  <w:tcW w:w="896" w:type="dxa"/>
                  <w:vMerge w:val="continue"/>
                  <w:vAlign w:val="center"/>
                </w:tcPr>
                <w:p>
                  <w:pPr>
                    <w:tabs>
                      <w:tab w:val="left" w:pos="480"/>
                    </w:tabs>
                    <w:autoSpaceDE w:val="0"/>
                    <w:autoSpaceDN w:val="0"/>
                    <w:adjustRightInd w:val="0"/>
                    <w:snapToGrid w:val="0"/>
                    <w:jc w:val="center"/>
                    <w:textAlignment w:val="baseline"/>
                    <w:rPr>
                      <w:color w:val="auto"/>
                      <w:spacing w:val="-2"/>
                      <w:kern w:val="0"/>
                      <w:szCs w:val="21"/>
                    </w:rPr>
                  </w:pPr>
                </w:p>
              </w:tc>
              <w:tc>
                <w:tcPr>
                  <w:tcW w:w="2036" w:type="dxa"/>
                  <w:gridSpan w:val="4"/>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丰水期</w:t>
                  </w:r>
                  <w:r>
                    <w:rPr>
                      <w:color w:val="auto"/>
                      <w:spacing w:val="-2"/>
                      <w:kern w:val="0"/>
                      <w:sz w:val="28"/>
                      <w:szCs w:val="28"/>
                    </w:rPr>
                    <w:t>□</w:t>
                  </w:r>
                  <w:r>
                    <w:rPr>
                      <w:color w:val="auto"/>
                      <w:spacing w:val="-2"/>
                      <w:kern w:val="0"/>
                      <w:szCs w:val="21"/>
                    </w:rPr>
                    <w:t>；平水期</w:t>
                  </w:r>
                  <w:r>
                    <w:rPr>
                      <w:color w:val="auto"/>
                      <w:spacing w:val="-2"/>
                      <w:kern w:val="0"/>
                      <w:sz w:val="28"/>
                      <w:szCs w:val="28"/>
                    </w:rPr>
                    <w:t>□</w:t>
                  </w:r>
                  <w:r>
                    <w:rPr>
                      <w:color w:val="auto"/>
                      <w:spacing w:val="-2"/>
                      <w:kern w:val="0"/>
                      <w:szCs w:val="21"/>
                    </w:rPr>
                    <w:t>；</w:t>
                  </w:r>
                </w:p>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枯水期</w:t>
                  </w:r>
                  <w:r>
                    <w:rPr>
                      <w:color w:val="auto"/>
                      <w:spacing w:val="-2"/>
                      <w:kern w:val="0"/>
                      <w:sz w:val="28"/>
                      <w:szCs w:val="28"/>
                    </w:rPr>
                    <w:t>□</w:t>
                  </w:r>
                  <w:r>
                    <w:rPr>
                      <w:color w:val="auto"/>
                      <w:spacing w:val="-2"/>
                      <w:kern w:val="0"/>
                      <w:szCs w:val="21"/>
                    </w:rPr>
                    <w:t>；冰封期</w:t>
                  </w:r>
                  <w:r>
                    <w:rPr>
                      <w:color w:val="auto"/>
                      <w:spacing w:val="-2"/>
                      <w:kern w:val="0"/>
                      <w:sz w:val="28"/>
                      <w:szCs w:val="28"/>
                    </w:rPr>
                    <w:t>□</w:t>
                  </w:r>
                  <w:r>
                    <w:rPr>
                      <w:color w:val="auto"/>
                      <w:spacing w:val="-2"/>
                      <w:kern w:val="0"/>
                      <w:szCs w:val="21"/>
                    </w:rPr>
                    <w:br w:type="textWrapping"/>
                  </w:r>
                  <w:r>
                    <w:rPr>
                      <w:color w:val="auto"/>
                      <w:spacing w:val="-2"/>
                      <w:kern w:val="0"/>
                      <w:szCs w:val="21"/>
                    </w:rPr>
                    <w:t>春季</w:t>
                  </w:r>
                  <w:r>
                    <w:rPr>
                      <w:color w:val="auto"/>
                      <w:spacing w:val="-2"/>
                      <w:kern w:val="0"/>
                      <w:sz w:val="28"/>
                      <w:szCs w:val="28"/>
                    </w:rPr>
                    <w:t>□</w:t>
                  </w:r>
                  <w:r>
                    <w:rPr>
                      <w:color w:val="auto"/>
                      <w:spacing w:val="-2"/>
                      <w:kern w:val="0"/>
                      <w:szCs w:val="21"/>
                    </w:rPr>
                    <w:t>；夏季</w:t>
                  </w:r>
                  <w:r>
                    <w:rPr>
                      <w:color w:val="auto"/>
                      <w:spacing w:val="-2"/>
                      <w:kern w:val="0"/>
                      <w:sz w:val="28"/>
                      <w:szCs w:val="28"/>
                    </w:rPr>
                    <w:t>□</w:t>
                  </w:r>
                  <w:r>
                    <w:rPr>
                      <w:color w:val="auto"/>
                      <w:spacing w:val="-2"/>
                      <w:kern w:val="0"/>
                      <w:szCs w:val="21"/>
                    </w:rPr>
                    <w:t>；秋季</w:t>
                  </w:r>
                  <w:r>
                    <w:rPr>
                      <w:color w:val="auto"/>
                      <w:spacing w:val="-2"/>
                      <w:kern w:val="0"/>
                      <w:sz w:val="28"/>
                      <w:szCs w:val="28"/>
                    </w:rPr>
                    <w:t>□</w:t>
                  </w:r>
                  <w:r>
                    <w:rPr>
                      <w:color w:val="auto"/>
                      <w:spacing w:val="-2"/>
                      <w:kern w:val="0"/>
                      <w:szCs w:val="21"/>
                    </w:rPr>
                    <w:t>；冬季</w:t>
                  </w:r>
                  <w:r>
                    <w:rPr>
                      <w:color w:val="auto"/>
                      <w:spacing w:val="-2"/>
                      <w:kern w:val="0"/>
                      <w:sz w:val="28"/>
                      <w:szCs w:val="28"/>
                    </w:rPr>
                    <w:t>□</w:t>
                  </w:r>
                </w:p>
              </w:tc>
              <w:tc>
                <w:tcPr>
                  <w:tcW w:w="3900" w:type="dxa"/>
                  <w:gridSpan w:val="6"/>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w:t>
                  </w:r>
                  <w:r>
                    <w:rPr>
                      <w:color w:val="auto"/>
                      <w:szCs w:val="21"/>
                    </w:rPr>
                    <w:t>pH、COD</w:t>
                  </w:r>
                  <w:r>
                    <w:rPr>
                      <w:color w:val="auto"/>
                      <w:szCs w:val="21"/>
                      <w:vertAlign w:val="subscript"/>
                    </w:rPr>
                    <w:t>Cr</w:t>
                  </w:r>
                  <w:r>
                    <w:rPr>
                      <w:color w:val="auto"/>
                      <w:szCs w:val="21"/>
                    </w:rPr>
                    <w:t>、BOD</w:t>
                  </w:r>
                  <w:r>
                    <w:rPr>
                      <w:color w:val="auto"/>
                      <w:szCs w:val="21"/>
                      <w:vertAlign w:val="subscript"/>
                    </w:rPr>
                    <w:t>5</w:t>
                  </w:r>
                  <w:r>
                    <w:rPr>
                      <w:color w:val="auto"/>
                      <w:szCs w:val="21"/>
                    </w:rPr>
                    <w:t>、DO、NH</w:t>
                  </w:r>
                  <w:r>
                    <w:rPr>
                      <w:color w:val="auto"/>
                      <w:szCs w:val="21"/>
                      <w:vertAlign w:val="subscript"/>
                    </w:rPr>
                    <w:t>3</w:t>
                  </w:r>
                  <w:r>
                    <w:rPr>
                      <w:color w:val="auto"/>
                      <w:szCs w:val="21"/>
                    </w:rPr>
                    <w:t>-N、总磷、</w:t>
                  </w:r>
                  <w:r>
                    <w:rPr>
                      <w:rFonts w:hint="eastAsia"/>
                      <w:color w:val="auto"/>
                      <w:szCs w:val="21"/>
                    </w:rPr>
                    <w:t>LAS</w:t>
                  </w:r>
                  <w:r>
                    <w:rPr>
                      <w:color w:val="auto"/>
                      <w:szCs w:val="21"/>
                    </w:rPr>
                    <w:t>、</w:t>
                  </w:r>
                  <w:r>
                    <w:rPr>
                      <w:rFonts w:hint="eastAsia"/>
                      <w:color w:val="auto"/>
                      <w:szCs w:val="21"/>
                    </w:rPr>
                    <w:t>悬浮物、粪大肠菌群</w:t>
                  </w:r>
                  <w:r>
                    <w:rPr>
                      <w:color w:val="auto"/>
                      <w:spacing w:val="-2"/>
                      <w:kern w:val="0"/>
                      <w:szCs w:val="21"/>
                    </w:rPr>
                    <w:t>）</w:t>
                  </w:r>
                </w:p>
              </w:tc>
              <w:tc>
                <w:tcPr>
                  <w:tcW w:w="1731" w:type="dxa"/>
                  <w:gridSpan w:val="2"/>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监测断面或点位</w:t>
                  </w:r>
                </w:p>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个数（2）个</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79" w:type="dxa"/>
                  <w:vMerge w:val="restart"/>
                  <w:textDirection w:val="tbRlV"/>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现状评价</w:t>
                  </w:r>
                </w:p>
              </w:tc>
              <w:tc>
                <w:tcPr>
                  <w:tcW w:w="896" w:type="dxa"/>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评价范围</w:t>
                  </w:r>
                </w:p>
              </w:tc>
              <w:tc>
                <w:tcPr>
                  <w:tcW w:w="7667" w:type="dxa"/>
                  <w:gridSpan w:val="12"/>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河流：长度（</w:t>
                  </w:r>
                  <w:r>
                    <w:rPr>
                      <w:rFonts w:hint="eastAsia"/>
                      <w:color w:val="auto"/>
                      <w:spacing w:val="-2"/>
                      <w:kern w:val="0"/>
                      <w:szCs w:val="21"/>
                    </w:rPr>
                    <w:t>/</w:t>
                  </w:r>
                  <w:r>
                    <w:rPr>
                      <w:color w:val="auto"/>
                      <w:spacing w:val="-2"/>
                      <w:kern w:val="0"/>
                      <w:szCs w:val="21"/>
                    </w:rPr>
                    <w:t>）km；湖库、河口及近岸海域：面积（   ）km</w:t>
                  </w:r>
                  <w:r>
                    <w:rPr>
                      <w:color w:val="auto"/>
                      <w:spacing w:val="-2"/>
                      <w:kern w:val="0"/>
                      <w:szCs w:val="21"/>
                      <w:vertAlign w:val="superscript"/>
                    </w:rPr>
                    <w:t>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79" w:type="dxa"/>
                  <w:vMerge w:val="continue"/>
                  <w:vAlign w:val="center"/>
                </w:tcPr>
                <w:p>
                  <w:pPr>
                    <w:tabs>
                      <w:tab w:val="left" w:pos="480"/>
                    </w:tabs>
                    <w:autoSpaceDE w:val="0"/>
                    <w:autoSpaceDN w:val="0"/>
                    <w:adjustRightInd w:val="0"/>
                    <w:snapToGrid w:val="0"/>
                    <w:jc w:val="center"/>
                    <w:textAlignment w:val="baseline"/>
                    <w:rPr>
                      <w:color w:val="auto"/>
                      <w:spacing w:val="-2"/>
                      <w:kern w:val="0"/>
                      <w:szCs w:val="21"/>
                    </w:rPr>
                  </w:pPr>
                </w:p>
              </w:tc>
              <w:tc>
                <w:tcPr>
                  <w:tcW w:w="896" w:type="dxa"/>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评价因子</w:t>
                  </w:r>
                </w:p>
              </w:tc>
              <w:tc>
                <w:tcPr>
                  <w:tcW w:w="7667" w:type="dxa"/>
                  <w:gridSpan w:val="12"/>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w:t>
                  </w:r>
                  <w:r>
                    <w:rPr>
                      <w:color w:val="auto"/>
                      <w:szCs w:val="21"/>
                    </w:rPr>
                    <w:t>pH、COD</w:t>
                  </w:r>
                  <w:r>
                    <w:rPr>
                      <w:color w:val="auto"/>
                      <w:szCs w:val="21"/>
                      <w:vertAlign w:val="subscript"/>
                    </w:rPr>
                    <w:t>Cr</w:t>
                  </w:r>
                  <w:r>
                    <w:rPr>
                      <w:color w:val="auto"/>
                      <w:szCs w:val="21"/>
                    </w:rPr>
                    <w:t>、BOD</w:t>
                  </w:r>
                  <w:r>
                    <w:rPr>
                      <w:color w:val="auto"/>
                      <w:szCs w:val="21"/>
                      <w:vertAlign w:val="subscript"/>
                    </w:rPr>
                    <w:t>5</w:t>
                  </w:r>
                  <w:r>
                    <w:rPr>
                      <w:color w:val="auto"/>
                      <w:szCs w:val="21"/>
                    </w:rPr>
                    <w:t>、DO、NH</w:t>
                  </w:r>
                  <w:r>
                    <w:rPr>
                      <w:color w:val="auto"/>
                      <w:szCs w:val="21"/>
                      <w:vertAlign w:val="subscript"/>
                    </w:rPr>
                    <w:t>3</w:t>
                  </w:r>
                  <w:r>
                    <w:rPr>
                      <w:color w:val="auto"/>
                      <w:szCs w:val="21"/>
                    </w:rPr>
                    <w:t>-N、总磷、</w:t>
                  </w:r>
                  <w:r>
                    <w:rPr>
                      <w:rFonts w:hint="eastAsia"/>
                      <w:color w:val="auto"/>
                      <w:szCs w:val="21"/>
                    </w:rPr>
                    <w:t>LAS</w:t>
                  </w:r>
                  <w:r>
                    <w:rPr>
                      <w:color w:val="auto"/>
                      <w:szCs w:val="21"/>
                    </w:rPr>
                    <w:t>、</w:t>
                  </w:r>
                  <w:r>
                    <w:rPr>
                      <w:rFonts w:hint="eastAsia"/>
                      <w:color w:val="auto"/>
                      <w:szCs w:val="21"/>
                    </w:rPr>
                    <w:t>悬浮物、粪大肠菌群</w:t>
                  </w:r>
                  <w:r>
                    <w:rPr>
                      <w:color w:val="auto"/>
                      <w:spacing w:val="-2"/>
                      <w:kern w:val="0"/>
                      <w:szCs w:val="21"/>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79" w:type="dxa"/>
                  <w:vMerge w:val="continue"/>
                  <w:vAlign w:val="center"/>
                </w:tcPr>
                <w:p>
                  <w:pPr>
                    <w:tabs>
                      <w:tab w:val="left" w:pos="480"/>
                    </w:tabs>
                    <w:autoSpaceDE w:val="0"/>
                    <w:autoSpaceDN w:val="0"/>
                    <w:adjustRightInd w:val="0"/>
                    <w:snapToGrid w:val="0"/>
                    <w:jc w:val="center"/>
                    <w:textAlignment w:val="baseline"/>
                    <w:rPr>
                      <w:color w:val="auto"/>
                      <w:spacing w:val="-2"/>
                      <w:kern w:val="0"/>
                      <w:szCs w:val="21"/>
                    </w:rPr>
                  </w:pPr>
                </w:p>
              </w:tc>
              <w:tc>
                <w:tcPr>
                  <w:tcW w:w="896" w:type="dxa"/>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评价标准</w:t>
                  </w:r>
                </w:p>
              </w:tc>
              <w:tc>
                <w:tcPr>
                  <w:tcW w:w="7667" w:type="dxa"/>
                  <w:gridSpan w:val="12"/>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河流、湖库、河口：Ⅰ类□；Ⅱ类 □；Ⅲ类</w:t>
                  </w:r>
                  <w:r>
                    <w:rPr>
                      <w:rFonts w:ascii="Segoe UI Emoji" w:hAnsi="Segoe UI Emoji" w:cs="Segoe UI Emoji"/>
                      <w:color w:val="auto"/>
                      <w:spacing w:val="-2"/>
                      <w:kern w:val="0"/>
                      <w:szCs w:val="21"/>
                    </w:rPr>
                    <w:t>☑</w:t>
                  </w:r>
                  <w:r>
                    <w:rPr>
                      <w:color w:val="auto"/>
                      <w:spacing w:val="-2"/>
                      <w:kern w:val="0"/>
                      <w:szCs w:val="21"/>
                    </w:rPr>
                    <w:t>；Ⅳ类□；Ⅴ类□</w:t>
                  </w:r>
                </w:p>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近岸海域：第一类□；第二类 □；第三类 □；第四类 □</w:t>
                  </w:r>
                </w:p>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规划年评价标准（）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79" w:type="dxa"/>
                  <w:vMerge w:val="continue"/>
                  <w:vAlign w:val="center"/>
                </w:tcPr>
                <w:p>
                  <w:pPr>
                    <w:tabs>
                      <w:tab w:val="left" w:pos="480"/>
                    </w:tabs>
                    <w:autoSpaceDE w:val="0"/>
                    <w:autoSpaceDN w:val="0"/>
                    <w:adjustRightInd w:val="0"/>
                    <w:snapToGrid w:val="0"/>
                    <w:jc w:val="center"/>
                    <w:textAlignment w:val="baseline"/>
                    <w:rPr>
                      <w:color w:val="auto"/>
                      <w:spacing w:val="-2"/>
                      <w:kern w:val="0"/>
                      <w:szCs w:val="21"/>
                    </w:rPr>
                  </w:pPr>
                </w:p>
              </w:tc>
              <w:tc>
                <w:tcPr>
                  <w:tcW w:w="896" w:type="dxa"/>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评价时期</w:t>
                  </w:r>
                </w:p>
              </w:tc>
              <w:tc>
                <w:tcPr>
                  <w:tcW w:w="7667" w:type="dxa"/>
                  <w:gridSpan w:val="12"/>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丰水期 □；平水期□；枯水期□；冰封期 □春季□；夏季□；秋季□；冬季□</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79" w:type="dxa"/>
                  <w:vMerge w:val="continue"/>
                  <w:vAlign w:val="center"/>
                </w:tcPr>
                <w:p>
                  <w:pPr>
                    <w:tabs>
                      <w:tab w:val="left" w:pos="480"/>
                    </w:tabs>
                    <w:autoSpaceDE w:val="0"/>
                    <w:autoSpaceDN w:val="0"/>
                    <w:adjustRightInd w:val="0"/>
                    <w:snapToGrid w:val="0"/>
                    <w:jc w:val="center"/>
                    <w:textAlignment w:val="baseline"/>
                    <w:rPr>
                      <w:color w:val="auto"/>
                      <w:spacing w:val="-2"/>
                      <w:kern w:val="0"/>
                      <w:szCs w:val="21"/>
                    </w:rPr>
                  </w:pPr>
                </w:p>
              </w:tc>
              <w:tc>
                <w:tcPr>
                  <w:tcW w:w="896" w:type="dxa"/>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评价结论</w:t>
                  </w:r>
                </w:p>
              </w:tc>
              <w:tc>
                <w:tcPr>
                  <w:tcW w:w="6296" w:type="dxa"/>
                  <w:gridSpan w:val="11"/>
                  <w:vAlign w:val="center"/>
                </w:tcPr>
                <w:p>
                  <w:pPr>
                    <w:tabs>
                      <w:tab w:val="left" w:pos="480"/>
                    </w:tabs>
                    <w:autoSpaceDE w:val="0"/>
                    <w:autoSpaceDN w:val="0"/>
                    <w:adjustRightInd w:val="0"/>
                    <w:snapToGrid w:val="0"/>
                    <w:jc w:val="left"/>
                    <w:textAlignment w:val="baseline"/>
                    <w:rPr>
                      <w:color w:val="auto"/>
                      <w:spacing w:val="-2"/>
                      <w:kern w:val="0"/>
                      <w:szCs w:val="21"/>
                    </w:rPr>
                  </w:pPr>
                  <w:r>
                    <w:rPr>
                      <w:color w:val="auto"/>
                      <w:spacing w:val="-2"/>
                      <w:kern w:val="0"/>
                      <w:szCs w:val="21"/>
                    </w:rPr>
                    <w:t>水环境功能区或水功能区、近岸海域环境功能区水质达标状况</w:t>
                  </w:r>
                  <w:r>
                    <w:rPr>
                      <w:color w:val="auto"/>
                      <w:spacing w:val="-2"/>
                      <w:kern w:val="0"/>
                      <w:szCs w:val="21"/>
                    </w:rPr>
                    <w:sym w:font="Wingdings 2" w:char="0052"/>
                  </w:r>
                  <w:r>
                    <w:rPr>
                      <w:color w:val="auto"/>
                      <w:spacing w:val="-2"/>
                      <w:kern w:val="0"/>
                      <w:szCs w:val="21"/>
                    </w:rPr>
                    <w:t>：达标</w:t>
                  </w:r>
                  <w:r>
                    <w:rPr>
                      <w:rFonts w:ascii="Segoe UI Emoji" w:hAnsi="Segoe UI Emoji" w:cs="Segoe UI Emoji"/>
                      <w:color w:val="auto"/>
                      <w:spacing w:val="-2"/>
                      <w:kern w:val="0"/>
                      <w:szCs w:val="21"/>
                    </w:rPr>
                    <w:t>☑</w:t>
                  </w:r>
                  <w:r>
                    <w:rPr>
                      <w:color w:val="auto"/>
                      <w:spacing w:val="-2"/>
                      <w:kern w:val="0"/>
                      <w:szCs w:val="21"/>
                    </w:rPr>
                    <w:t>；不达标□</w:t>
                  </w:r>
                </w:p>
                <w:p>
                  <w:pPr>
                    <w:tabs>
                      <w:tab w:val="left" w:pos="480"/>
                    </w:tabs>
                    <w:autoSpaceDE w:val="0"/>
                    <w:autoSpaceDN w:val="0"/>
                    <w:adjustRightInd w:val="0"/>
                    <w:snapToGrid w:val="0"/>
                    <w:jc w:val="left"/>
                    <w:textAlignment w:val="baseline"/>
                    <w:rPr>
                      <w:color w:val="auto"/>
                      <w:spacing w:val="-2"/>
                      <w:kern w:val="0"/>
                      <w:szCs w:val="21"/>
                    </w:rPr>
                  </w:pPr>
                  <w:r>
                    <w:rPr>
                      <w:color w:val="auto"/>
                      <w:spacing w:val="-2"/>
                      <w:kern w:val="0"/>
                      <w:szCs w:val="21"/>
                    </w:rPr>
                    <w:t>水环境控制单元或断面水质达标状况：达标</w:t>
                  </w:r>
                  <w:r>
                    <w:rPr>
                      <w:rFonts w:ascii="Segoe UI Emoji" w:hAnsi="Segoe UI Emoji" w:cs="Segoe UI Emoji"/>
                      <w:color w:val="auto"/>
                      <w:spacing w:val="-2"/>
                      <w:kern w:val="0"/>
                      <w:szCs w:val="21"/>
                    </w:rPr>
                    <w:t>☑</w:t>
                  </w:r>
                  <w:r>
                    <w:rPr>
                      <w:color w:val="auto"/>
                      <w:spacing w:val="-2"/>
                      <w:kern w:val="0"/>
                      <w:szCs w:val="21"/>
                    </w:rPr>
                    <w:t>；不达标□</w:t>
                  </w:r>
                </w:p>
                <w:p>
                  <w:pPr>
                    <w:tabs>
                      <w:tab w:val="left" w:pos="480"/>
                    </w:tabs>
                    <w:autoSpaceDE w:val="0"/>
                    <w:autoSpaceDN w:val="0"/>
                    <w:adjustRightInd w:val="0"/>
                    <w:snapToGrid w:val="0"/>
                    <w:jc w:val="left"/>
                    <w:textAlignment w:val="baseline"/>
                    <w:rPr>
                      <w:color w:val="auto"/>
                      <w:spacing w:val="-2"/>
                      <w:kern w:val="0"/>
                      <w:szCs w:val="21"/>
                    </w:rPr>
                  </w:pPr>
                  <w:r>
                    <w:rPr>
                      <w:color w:val="auto"/>
                      <w:spacing w:val="-2"/>
                      <w:kern w:val="0"/>
                      <w:szCs w:val="21"/>
                    </w:rPr>
                    <w:t>水环境保护目标质量状况：达标</w:t>
                  </w:r>
                  <w:r>
                    <w:rPr>
                      <w:rFonts w:ascii="Segoe UI Emoji" w:hAnsi="Segoe UI Emoji" w:cs="Segoe UI Emoji"/>
                      <w:color w:val="auto"/>
                      <w:spacing w:val="-2"/>
                      <w:kern w:val="0"/>
                      <w:szCs w:val="21"/>
                    </w:rPr>
                    <w:t>☑</w:t>
                  </w:r>
                  <w:r>
                    <w:rPr>
                      <w:color w:val="auto"/>
                      <w:spacing w:val="-2"/>
                      <w:kern w:val="0"/>
                      <w:szCs w:val="21"/>
                    </w:rPr>
                    <w:t>；不达标□</w:t>
                  </w:r>
                </w:p>
                <w:p>
                  <w:pPr>
                    <w:tabs>
                      <w:tab w:val="left" w:pos="480"/>
                    </w:tabs>
                    <w:autoSpaceDE w:val="0"/>
                    <w:autoSpaceDN w:val="0"/>
                    <w:adjustRightInd w:val="0"/>
                    <w:snapToGrid w:val="0"/>
                    <w:jc w:val="left"/>
                    <w:textAlignment w:val="baseline"/>
                    <w:rPr>
                      <w:color w:val="auto"/>
                      <w:spacing w:val="-2"/>
                      <w:kern w:val="0"/>
                      <w:szCs w:val="21"/>
                    </w:rPr>
                  </w:pPr>
                  <w:r>
                    <w:rPr>
                      <w:color w:val="auto"/>
                      <w:spacing w:val="-2"/>
                      <w:kern w:val="0"/>
                      <w:szCs w:val="21"/>
                    </w:rPr>
                    <w:t>对照断面、控制断面等代表性断面的水质状况 ：达标□；不达标□</w:t>
                  </w:r>
                </w:p>
                <w:p>
                  <w:pPr>
                    <w:tabs>
                      <w:tab w:val="left" w:pos="480"/>
                    </w:tabs>
                    <w:autoSpaceDE w:val="0"/>
                    <w:autoSpaceDN w:val="0"/>
                    <w:adjustRightInd w:val="0"/>
                    <w:snapToGrid w:val="0"/>
                    <w:jc w:val="left"/>
                    <w:textAlignment w:val="baseline"/>
                    <w:rPr>
                      <w:color w:val="auto"/>
                      <w:spacing w:val="-2"/>
                      <w:kern w:val="0"/>
                      <w:szCs w:val="21"/>
                    </w:rPr>
                  </w:pPr>
                  <w:r>
                    <w:rPr>
                      <w:color w:val="auto"/>
                      <w:spacing w:val="-2"/>
                      <w:kern w:val="0"/>
                      <w:szCs w:val="21"/>
                    </w:rPr>
                    <w:t>底泥污染评价□</w:t>
                  </w:r>
                </w:p>
                <w:p>
                  <w:pPr>
                    <w:tabs>
                      <w:tab w:val="left" w:pos="480"/>
                    </w:tabs>
                    <w:autoSpaceDE w:val="0"/>
                    <w:autoSpaceDN w:val="0"/>
                    <w:adjustRightInd w:val="0"/>
                    <w:snapToGrid w:val="0"/>
                    <w:jc w:val="left"/>
                    <w:textAlignment w:val="baseline"/>
                    <w:rPr>
                      <w:color w:val="auto"/>
                      <w:spacing w:val="-2"/>
                      <w:kern w:val="0"/>
                      <w:szCs w:val="21"/>
                    </w:rPr>
                  </w:pPr>
                  <w:r>
                    <w:rPr>
                      <w:color w:val="auto"/>
                      <w:spacing w:val="-2"/>
                      <w:kern w:val="0"/>
                      <w:szCs w:val="21"/>
                    </w:rPr>
                    <w:t>水资源与开发利用程度及其水文情势评价□</w:t>
                  </w:r>
                </w:p>
                <w:p>
                  <w:pPr>
                    <w:tabs>
                      <w:tab w:val="left" w:pos="480"/>
                    </w:tabs>
                    <w:autoSpaceDE w:val="0"/>
                    <w:autoSpaceDN w:val="0"/>
                    <w:adjustRightInd w:val="0"/>
                    <w:snapToGrid w:val="0"/>
                    <w:jc w:val="left"/>
                    <w:textAlignment w:val="baseline"/>
                    <w:rPr>
                      <w:color w:val="auto"/>
                      <w:spacing w:val="-2"/>
                      <w:kern w:val="0"/>
                      <w:szCs w:val="21"/>
                    </w:rPr>
                  </w:pPr>
                  <w:r>
                    <w:rPr>
                      <w:color w:val="auto"/>
                      <w:spacing w:val="-2"/>
                      <w:kern w:val="0"/>
                      <w:szCs w:val="21"/>
                    </w:rPr>
                    <w:t>水环境质量回顾评价□</w:t>
                  </w:r>
                </w:p>
                <w:p>
                  <w:pPr>
                    <w:tabs>
                      <w:tab w:val="left" w:pos="480"/>
                    </w:tabs>
                    <w:autoSpaceDE w:val="0"/>
                    <w:autoSpaceDN w:val="0"/>
                    <w:adjustRightInd w:val="0"/>
                    <w:snapToGrid w:val="0"/>
                    <w:jc w:val="left"/>
                    <w:textAlignment w:val="baseline"/>
                    <w:rPr>
                      <w:color w:val="auto"/>
                      <w:spacing w:val="-2"/>
                      <w:kern w:val="0"/>
                      <w:szCs w:val="21"/>
                    </w:rPr>
                  </w:pPr>
                  <w:r>
                    <w:rPr>
                      <w:color w:val="auto"/>
                      <w:spacing w:val="-2"/>
                      <w:kern w:val="0"/>
                      <w:szCs w:val="21"/>
                    </w:rPr>
                    <w:t>流域（区域）水资源（包括水能资源）与开发利用总体状况、生态流量管理要求与现状满足程度、建设项目占用水域空间的水流状况与河湖演变状况□</w:t>
                  </w:r>
                </w:p>
              </w:tc>
              <w:tc>
                <w:tcPr>
                  <w:tcW w:w="1371" w:type="dxa"/>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达标区</w:t>
                  </w:r>
                  <w:r>
                    <w:rPr>
                      <w:rFonts w:ascii="Segoe UI Emoji" w:hAnsi="Segoe UI Emoji" w:cs="Segoe UI Emoji"/>
                      <w:color w:val="auto"/>
                      <w:spacing w:val="-2"/>
                      <w:kern w:val="0"/>
                      <w:szCs w:val="21"/>
                    </w:rPr>
                    <w:t>☑</w:t>
                  </w:r>
                </w:p>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不达标区□</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79" w:type="dxa"/>
                  <w:vMerge w:val="restart"/>
                  <w:textDirection w:val="tbRlV"/>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影响预测</w:t>
                  </w:r>
                </w:p>
              </w:tc>
              <w:tc>
                <w:tcPr>
                  <w:tcW w:w="896" w:type="dxa"/>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预测范围</w:t>
                  </w:r>
                </w:p>
              </w:tc>
              <w:tc>
                <w:tcPr>
                  <w:tcW w:w="7667" w:type="dxa"/>
                  <w:gridSpan w:val="12"/>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河流：长度（   ）km；湖库、河口及近岸海域：面积（   ）km</w:t>
                  </w:r>
                  <w:r>
                    <w:rPr>
                      <w:color w:val="auto"/>
                      <w:spacing w:val="-2"/>
                      <w:kern w:val="0"/>
                      <w:szCs w:val="21"/>
                      <w:vertAlign w:val="superscript"/>
                    </w:rPr>
                    <w:t>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79" w:type="dxa"/>
                  <w:vMerge w:val="continue"/>
                  <w:vAlign w:val="center"/>
                </w:tcPr>
                <w:p>
                  <w:pPr>
                    <w:tabs>
                      <w:tab w:val="left" w:pos="480"/>
                    </w:tabs>
                    <w:autoSpaceDE w:val="0"/>
                    <w:autoSpaceDN w:val="0"/>
                    <w:adjustRightInd w:val="0"/>
                    <w:snapToGrid w:val="0"/>
                    <w:jc w:val="center"/>
                    <w:textAlignment w:val="baseline"/>
                    <w:rPr>
                      <w:color w:val="auto"/>
                      <w:spacing w:val="-2"/>
                      <w:kern w:val="0"/>
                      <w:szCs w:val="21"/>
                    </w:rPr>
                  </w:pPr>
                </w:p>
              </w:tc>
              <w:tc>
                <w:tcPr>
                  <w:tcW w:w="896" w:type="dxa"/>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预测因子</w:t>
                  </w:r>
                </w:p>
              </w:tc>
              <w:tc>
                <w:tcPr>
                  <w:tcW w:w="7667" w:type="dxa"/>
                  <w:gridSpan w:val="12"/>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   ）</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79" w:type="dxa"/>
                  <w:vMerge w:val="continue"/>
                  <w:vAlign w:val="center"/>
                </w:tcPr>
                <w:p>
                  <w:pPr>
                    <w:tabs>
                      <w:tab w:val="left" w:pos="480"/>
                    </w:tabs>
                    <w:autoSpaceDE w:val="0"/>
                    <w:autoSpaceDN w:val="0"/>
                    <w:adjustRightInd w:val="0"/>
                    <w:snapToGrid w:val="0"/>
                    <w:jc w:val="center"/>
                    <w:textAlignment w:val="baseline"/>
                    <w:rPr>
                      <w:color w:val="auto"/>
                      <w:spacing w:val="-2"/>
                      <w:kern w:val="0"/>
                      <w:szCs w:val="21"/>
                    </w:rPr>
                  </w:pPr>
                </w:p>
              </w:tc>
              <w:tc>
                <w:tcPr>
                  <w:tcW w:w="896" w:type="dxa"/>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预测时期</w:t>
                  </w:r>
                </w:p>
              </w:tc>
              <w:tc>
                <w:tcPr>
                  <w:tcW w:w="7667" w:type="dxa"/>
                  <w:gridSpan w:val="12"/>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丰水期</w:t>
                  </w:r>
                  <w:r>
                    <w:rPr>
                      <w:color w:val="auto"/>
                      <w:spacing w:val="-2"/>
                      <w:kern w:val="0"/>
                      <w:sz w:val="28"/>
                      <w:szCs w:val="28"/>
                    </w:rPr>
                    <w:t>□</w:t>
                  </w:r>
                  <w:r>
                    <w:rPr>
                      <w:color w:val="auto"/>
                      <w:spacing w:val="-2"/>
                      <w:kern w:val="0"/>
                      <w:szCs w:val="21"/>
                    </w:rPr>
                    <w:t>；平水期</w:t>
                  </w:r>
                  <w:r>
                    <w:rPr>
                      <w:color w:val="auto"/>
                      <w:spacing w:val="-2"/>
                      <w:kern w:val="0"/>
                      <w:sz w:val="28"/>
                      <w:szCs w:val="28"/>
                    </w:rPr>
                    <w:t>□</w:t>
                  </w:r>
                  <w:r>
                    <w:rPr>
                      <w:color w:val="auto"/>
                      <w:spacing w:val="-2"/>
                      <w:kern w:val="0"/>
                      <w:szCs w:val="21"/>
                    </w:rPr>
                    <w:t>；枯水期</w:t>
                  </w:r>
                  <w:r>
                    <w:rPr>
                      <w:color w:val="auto"/>
                      <w:spacing w:val="-2"/>
                      <w:kern w:val="0"/>
                      <w:sz w:val="28"/>
                      <w:szCs w:val="28"/>
                    </w:rPr>
                    <w:t>□</w:t>
                  </w:r>
                  <w:r>
                    <w:rPr>
                      <w:color w:val="auto"/>
                      <w:spacing w:val="-2"/>
                      <w:kern w:val="0"/>
                      <w:szCs w:val="21"/>
                    </w:rPr>
                    <w:t>；冰封期</w:t>
                  </w:r>
                  <w:r>
                    <w:rPr>
                      <w:color w:val="auto"/>
                      <w:spacing w:val="-2"/>
                      <w:kern w:val="0"/>
                      <w:sz w:val="28"/>
                      <w:szCs w:val="28"/>
                    </w:rPr>
                    <w:t>□</w:t>
                  </w:r>
                </w:p>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春季</w:t>
                  </w:r>
                  <w:r>
                    <w:rPr>
                      <w:color w:val="auto"/>
                      <w:spacing w:val="-2"/>
                      <w:kern w:val="0"/>
                      <w:sz w:val="28"/>
                      <w:szCs w:val="28"/>
                    </w:rPr>
                    <w:t>□</w:t>
                  </w:r>
                  <w:r>
                    <w:rPr>
                      <w:color w:val="auto"/>
                      <w:spacing w:val="-2"/>
                      <w:kern w:val="0"/>
                      <w:szCs w:val="21"/>
                    </w:rPr>
                    <w:t>；夏季</w:t>
                  </w:r>
                  <w:r>
                    <w:rPr>
                      <w:color w:val="auto"/>
                      <w:spacing w:val="-2"/>
                      <w:kern w:val="0"/>
                      <w:sz w:val="28"/>
                      <w:szCs w:val="28"/>
                    </w:rPr>
                    <w:t>□</w:t>
                  </w:r>
                  <w:r>
                    <w:rPr>
                      <w:color w:val="auto"/>
                      <w:spacing w:val="-2"/>
                      <w:kern w:val="0"/>
                      <w:szCs w:val="21"/>
                    </w:rPr>
                    <w:t>；秋季</w:t>
                  </w:r>
                  <w:r>
                    <w:rPr>
                      <w:color w:val="auto"/>
                      <w:spacing w:val="-2"/>
                      <w:kern w:val="0"/>
                      <w:sz w:val="28"/>
                      <w:szCs w:val="28"/>
                    </w:rPr>
                    <w:t>□</w:t>
                  </w:r>
                  <w:r>
                    <w:rPr>
                      <w:color w:val="auto"/>
                      <w:spacing w:val="-2"/>
                      <w:kern w:val="0"/>
                      <w:szCs w:val="21"/>
                    </w:rPr>
                    <w:t>；冬季</w:t>
                  </w:r>
                  <w:r>
                    <w:rPr>
                      <w:color w:val="auto"/>
                      <w:spacing w:val="-2"/>
                      <w:kern w:val="0"/>
                      <w:sz w:val="28"/>
                      <w:szCs w:val="28"/>
                    </w:rPr>
                    <w:t>□</w:t>
                  </w:r>
                </w:p>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设计水文条件</w:t>
                  </w:r>
                  <w:r>
                    <w:rPr>
                      <w:color w:val="auto"/>
                      <w:spacing w:val="-2"/>
                      <w:kern w:val="0"/>
                      <w:sz w:val="28"/>
                      <w:szCs w:val="28"/>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79" w:type="dxa"/>
                  <w:vMerge w:val="continue"/>
                  <w:vAlign w:val="center"/>
                </w:tcPr>
                <w:p>
                  <w:pPr>
                    <w:tabs>
                      <w:tab w:val="left" w:pos="480"/>
                    </w:tabs>
                    <w:autoSpaceDE w:val="0"/>
                    <w:autoSpaceDN w:val="0"/>
                    <w:adjustRightInd w:val="0"/>
                    <w:snapToGrid w:val="0"/>
                    <w:jc w:val="center"/>
                    <w:textAlignment w:val="baseline"/>
                    <w:rPr>
                      <w:color w:val="auto"/>
                      <w:spacing w:val="-2"/>
                      <w:kern w:val="0"/>
                      <w:szCs w:val="21"/>
                    </w:rPr>
                  </w:pPr>
                </w:p>
              </w:tc>
              <w:tc>
                <w:tcPr>
                  <w:tcW w:w="896" w:type="dxa"/>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预测情景</w:t>
                  </w:r>
                </w:p>
              </w:tc>
              <w:tc>
                <w:tcPr>
                  <w:tcW w:w="7667" w:type="dxa"/>
                  <w:gridSpan w:val="12"/>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建设期</w:t>
                  </w:r>
                  <w:r>
                    <w:rPr>
                      <w:color w:val="auto"/>
                      <w:spacing w:val="-2"/>
                      <w:kern w:val="0"/>
                      <w:sz w:val="28"/>
                      <w:szCs w:val="28"/>
                    </w:rPr>
                    <w:t>□</w:t>
                  </w:r>
                  <w:r>
                    <w:rPr>
                      <w:color w:val="auto"/>
                      <w:spacing w:val="-2"/>
                      <w:kern w:val="0"/>
                      <w:szCs w:val="21"/>
                    </w:rPr>
                    <w:t>；生产运行期</w:t>
                  </w:r>
                  <w:r>
                    <w:rPr>
                      <w:color w:val="auto"/>
                      <w:spacing w:val="-2"/>
                      <w:kern w:val="0"/>
                      <w:sz w:val="28"/>
                      <w:szCs w:val="28"/>
                    </w:rPr>
                    <w:t>□</w:t>
                  </w:r>
                  <w:r>
                    <w:rPr>
                      <w:color w:val="auto"/>
                      <w:spacing w:val="-2"/>
                      <w:kern w:val="0"/>
                      <w:szCs w:val="21"/>
                    </w:rPr>
                    <w:t>；服务期满后</w:t>
                  </w:r>
                  <w:r>
                    <w:rPr>
                      <w:color w:val="auto"/>
                      <w:spacing w:val="-2"/>
                      <w:kern w:val="0"/>
                      <w:sz w:val="28"/>
                      <w:szCs w:val="28"/>
                    </w:rPr>
                    <w:t>□</w:t>
                  </w:r>
                </w:p>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正常工况</w:t>
                  </w:r>
                  <w:r>
                    <w:rPr>
                      <w:color w:val="auto"/>
                      <w:spacing w:val="-2"/>
                      <w:kern w:val="0"/>
                      <w:sz w:val="28"/>
                      <w:szCs w:val="28"/>
                    </w:rPr>
                    <w:t>□</w:t>
                  </w:r>
                  <w:r>
                    <w:rPr>
                      <w:color w:val="auto"/>
                      <w:spacing w:val="-2"/>
                      <w:kern w:val="0"/>
                      <w:szCs w:val="21"/>
                    </w:rPr>
                    <w:t>；非正常工况</w:t>
                  </w:r>
                  <w:r>
                    <w:rPr>
                      <w:color w:val="auto"/>
                      <w:spacing w:val="-2"/>
                      <w:kern w:val="0"/>
                      <w:sz w:val="28"/>
                      <w:szCs w:val="28"/>
                    </w:rPr>
                    <w:t>□</w:t>
                  </w:r>
                </w:p>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污染控制和减缓措施方案</w:t>
                  </w:r>
                  <w:r>
                    <w:rPr>
                      <w:color w:val="auto"/>
                      <w:spacing w:val="-2"/>
                      <w:kern w:val="0"/>
                      <w:sz w:val="28"/>
                      <w:szCs w:val="28"/>
                    </w:rPr>
                    <w:t>□</w:t>
                  </w:r>
                </w:p>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区（流）域环境质量改善目标要求情景</w:t>
                  </w:r>
                  <w:r>
                    <w:rPr>
                      <w:color w:val="auto"/>
                      <w:spacing w:val="-2"/>
                      <w:kern w:val="0"/>
                      <w:sz w:val="28"/>
                      <w:szCs w:val="28"/>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79" w:type="dxa"/>
                  <w:vMerge w:val="continue"/>
                  <w:vAlign w:val="center"/>
                </w:tcPr>
                <w:p>
                  <w:pPr>
                    <w:tabs>
                      <w:tab w:val="left" w:pos="480"/>
                    </w:tabs>
                    <w:autoSpaceDE w:val="0"/>
                    <w:autoSpaceDN w:val="0"/>
                    <w:adjustRightInd w:val="0"/>
                    <w:snapToGrid w:val="0"/>
                    <w:jc w:val="center"/>
                    <w:textAlignment w:val="baseline"/>
                    <w:rPr>
                      <w:color w:val="auto"/>
                      <w:spacing w:val="-2"/>
                      <w:kern w:val="0"/>
                      <w:szCs w:val="21"/>
                    </w:rPr>
                  </w:pPr>
                </w:p>
              </w:tc>
              <w:tc>
                <w:tcPr>
                  <w:tcW w:w="896" w:type="dxa"/>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预测方法</w:t>
                  </w:r>
                </w:p>
              </w:tc>
              <w:tc>
                <w:tcPr>
                  <w:tcW w:w="7667" w:type="dxa"/>
                  <w:gridSpan w:val="12"/>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数值解</w:t>
                  </w:r>
                  <w:r>
                    <w:rPr>
                      <w:color w:val="auto"/>
                      <w:spacing w:val="-2"/>
                      <w:kern w:val="0"/>
                      <w:sz w:val="28"/>
                      <w:szCs w:val="28"/>
                    </w:rPr>
                    <w:t>□</w:t>
                  </w:r>
                  <w:r>
                    <w:rPr>
                      <w:color w:val="auto"/>
                      <w:spacing w:val="-2"/>
                      <w:kern w:val="0"/>
                      <w:szCs w:val="21"/>
                    </w:rPr>
                    <w:t>：解析解</w:t>
                  </w:r>
                  <w:r>
                    <w:rPr>
                      <w:color w:val="auto"/>
                      <w:spacing w:val="-2"/>
                      <w:kern w:val="0"/>
                      <w:sz w:val="28"/>
                      <w:szCs w:val="28"/>
                    </w:rPr>
                    <w:t>□</w:t>
                  </w:r>
                  <w:r>
                    <w:rPr>
                      <w:color w:val="auto"/>
                      <w:spacing w:val="-2"/>
                      <w:kern w:val="0"/>
                      <w:szCs w:val="21"/>
                    </w:rPr>
                    <w:t>；其他</w:t>
                  </w:r>
                  <w:r>
                    <w:rPr>
                      <w:color w:val="auto"/>
                      <w:spacing w:val="-2"/>
                      <w:kern w:val="0"/>
                      <w:sz w:val="28"/>
                      <w:szCs w:val="28"/>
                    </w:rPr>
                    <w:t>□</w:t>
                  </w:r>
                </w:p>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导则推荐模式</w:t>
                  </w:r>
                  <w:r>
                    <w:rPr>
                      <w:color w:val="auto"/>
                      <w:spacing w:val="-2"/>
                      <w:kern w:val="0"/>
                      <w:sz w:val="28"/>
                      <w:szCs w:val="28"/>
                    </w:rPr>
                    <w:t>□</w:t>
                  </w:r>
                  <w:r>
                    <w:rPr>
                      <w:color w:val="auto"/>
                      <w:spacing w:val="-2"/>
                      <w:kern w:val="0"/>
                      <w:szCs w:val="21"/>
                    </w:rPr>
                    <w:t>：其他</w:t>
                  </w:r>
                  <w:r>
                    <w:rPr>
                      <w:color w:val="auto"/>
                      <w:spacing w:val="-2"/>
                      <w:kern w:val="0"/>
                      <w:sz w:val="28"/>
                      <w:szCs w:val="28"/>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79" w:type="dxa"/>
                  <w:vMerge w:val="restart"/>
                  <w:textDirection w:val="tbRlV"/>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影响评价</w:t>
                  </w:r>
                </w:p>
              </w:tc>
              <w:tc>
                <w:tcPr>
                  <w:tcW w:w="896" w:type="dxa"/>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水污染控制和水环境影响减缓措施有效性评价</w:t>
                  </w:r>
                </w:p>
              </w:tc>
              <w:tc>
                <w:tcPr>
                  <w:tcW w:w="7667" w:type="dxa"/>
                  <w:gridSpan w:val="12"/>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区（流）域水环境质量改善目标</w:t>
                  </w:r>
                  <w:r>
                    <w:rPr>
                      <w:color w:val="auto"/>
                      <w:spacing w:val="-2"/>
                      <w:kern w:val="0"/>
                      <w:sz w:val="28"/>
                      <w:szCs w:val="28"/>
                    </w:rPr>
                    <w:t>□</w:t>
                  </w:r>
                  <w:r>
                    <w:rPr>
                      <w:color w:val="auto"/>
                      <w:spacing w:val="-2"/>
                      <w:kern w:val="0"/>
                      <w:szCs w:val="21"/>
                    </w:rPr>
                    <w:t xml:space="preserve">；替代削减源 </w:t>
                  </w:r>
                  <w:r>
                    <w:rPr>
                      <w:color w:val="auto"/>
                      <w:spacing w:val="-2"/>
                      <w:kern w:val="0"/>
                      <w:sz w:val="28"/>
                      <w:szCs w:val="28"/>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79" w:type="dxa"/>
                  <w:vMerge w:val="continue"/>
                  <w:vAlign w:val="center"/>
                </w:tcPr>
                <w:p>
                  <w:pPr>
                    <w:tabs>
                      <w:tab w:val="left" w:pos="480"/>
                    </w:tabs>
                    <w:autoSpaceDE w:val="0"/>
                    <w:autoSpaceDN w:val="0"/>
                    <w:adjustRightInd w:val="0"/>
                    <w:snapToGrid w:val="0"/>
                    <w:jc w:val="center"/>
                    <w:textAlignment w:val="baseline"/>
                    <w:rPr>
                      <w:color w:val="auto"/>
                      <w:spacing w:val="-2"/>
                      <w:kern w:val="0"/>
                      <w:szCs w:val="21"/>
                    </w:rPr>
                  </w:pPr>
                </w:p>
              </w:tc>
              <w:tc>
                <w:tcPr>
                  <w:tcW w:w="896" w:type="dxa"/>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水环境影响评价</w:t>
                  </w:r>
                </w:p>
              </w:tc>
              <w:tc>
                <w:tcPr>
                  <w:tcW w:w="7667" w:type="dxa"/>
                  <w:gridSpan w:val="12"/>
                  <w:vAlign w:val="center"/>
                </w:tcPr>
                <w:p>
                  <w:pPr>
                    <w:tabs>
                      <w:tab w:val="left" w:pos="480"/>
                    </w:tabs>
                    <w:autoSpaceDE w:val="0"/>
                    <w:autoSpaceDN w:val="0"/>
                    <w:adjustRightInd w:val="0"/>
                    <w:snapToGrid w:val="0"/>
                    <w:jc w:val="left"/>
                    <w:textAlignment w:val="baseline"/>
                    <w:rPr>
                      <w:color w:val="auto"/>
                      <w:spacing w:val="-2"/>
                      <w:kern w:val="0"/>
                      <w:szCs w:val="21"/>
                    </w:rPr>
                  </w:pPr>
                  <w:r>
                    <w:rPr>
                      <w:color w:val="auto"/>
                      <w:spacing w:val="-2"/>
                      <w:kern w:val="0"/>
                      <w:szCs w:val="21"/>
                    </w:rPr>
                    <w:t>排放口混合区外满足水环境管理要求</w:t>
                  </w:r>
                  <w:r>
                    <w:rPr>
                      <w:color w:val="auto"/>
                      <w:spacing w:val="-2"/>
                      <w:kern w:val="0"/>
                      <w:sz w:val="28"/>
                      <w:szCs w:val="28"/>
                    </w:rPr>
                    <w:t>□</w:t>
                  </w:r>
                </w:p>
                <w:p>
                  <w:pPr>
                    <w:tabs>
                      <w:tab w:val="left" w:pos="480"/>
                    </w:tabs>
                    <w:autoSpaceDE w:val="0"/>
                    <w:autoSpaceDN w:val="0"/>
                    <w:adjustRightInd w:val="0"/>
                    <w:snapToGrid w:val="0"/>
                    <w:jc w:val="left"/>
                    <w:textAlignment w:val="baseline"/>
                    <w:rPr>
                      <w:color w:val="auto"/>
                      <w:spacing w:val="-2"/>
                      <w:kern w:val="0"/>
                      <w:szCs w:val="21"/>
                    </w:rPr>
                  </w:pPr>
                  <w:r>
                    <w:rPr>
                      <w:color w:val="auto"/>
                      <w:spacing w:val="-2"/>
                      <w:kern w:val="0"/>
                      <w:szCs w:val="21"/>
                    </w:rPr>
                    <w:t>水环境功能区或水功能区、近岸海域环境功能区水质达标</w:t>
                  </w:r>
                  <w:r>
                    <w:rPr>
                      <w:color w:val="auto"/>
                      <w:spacing w:val="-2"/>
                      <w:kern w:val="0"/>
                      <w:sz w:val="28"/>
                      <w:szCs w:val="28"/>
                    </w:rPr>
                    <w:t>□</w:t>
                  </w:r>
                </w:p>
                <w:p>
                  <w:pPr>
                    <w:tabs>
                      <w:tab w:val="left" w:pos="480"/>
                    </w:tabs>
                    <w:autoSpaceDE w:val="0"/>
                    <w:autoSpaceDN w:val="0"/>
                    <w:adjustRightInd w:val="0"/>
                    <w:snapToGrid w:val="0"/>
                    <w:jc w:val="left"/>
                    <w:textAlignment w:val="baseline"/>
                    <w:rPr>
                      <w:color w:val="auto"/>
                      <w:spacing w:val="-2"/>
                      <w:kern w:val="0"/>
                      <w:szCs w:val="21"/>
                    </w:rPr>
                  </w:pPr>
                  <w:r>
                    <w:rPr>
                      <w:color w:val="auto"/>
                      <w:spacing w:val="-2"/>
                      <w:kern w:val="0"/>
                      <w:szCs w:val="21"/>
                    </w:rPr>
                    <w:t>满足水环境保护目标水域水环境质量要求</w:t>
                  </w:r>
                  <w:r>
                    <w:rPr>
                      <w:color w:val="auto"/>
                      <w:spacing w:val="-2"/>
                      <w:kern w:val="0"/>
                      <w:sz w:val="28"/>
                      <w:szCs w:val="28"/>
                    </w:rPr>
                    <w:t>□</w:t>
                  </w:r>
                </w:p>
                <w:p>
                  <w:pPr>
                    <w:tabs>
                      <w:tab w:val="left" w:pos="480"/>
                    </w:tabs>
                    <w:autoSpaceDE w:val="0"/>
                    <w:autoSpaceDN w:val="0"/>
                    <w:adjustRightInd w:val="0"/>
                    <w:snapToGrid w:val="0"/>
                    <w:jc w:val="left"/>
                    <w:textAlignment w:val="baseline"/>
                    <w:rPr>
                      <w:color w:val="auto"/>
                      <w:spacing w:val="-2"/>
                      <w:kern w:val="0"/>
                      <w:szCs w:val="21"/>
                    </w:rPr>
                  </w:pPr>
                  <w:r>
                    <w:rPr>
                      <w:color w:val="auto"/>
                      <w:spacing w:val="-2"/>
                      <w:kern w:val="0"/>
                      <w:szCs w:val="21"/>
                    </w:rPr>
                    <w:t>水环境控制单元或断面水质达标</w:t>
                  </w:r>
                  <w:r>
                    <w:rPr>
                      <w:color w:val="auto"/>
                      <w:spacing w:val="-2"/>
                      <w:kern w:val="0"/>
                      <w:sz w:val="28"/>
                      <w:szCs w:val="28"/>
                    </w:rPr>
                    <w:t>□</w:t>
                  </w:r>
                </w:p>
                <w:p>
                  <w:pPr>
                    <w:tabs>
                      <w:tab w:val="left" w:pos="480"/>
                    </w:tabs>
                    <w:autoSpaceDE w:val="0"/>
                    <w:autoSpaceDN w:val="0"/>
                    <w:adjustRightInd w:val="0"/>
                    <w:snapToGrid w:val="0"/>
                    <w:jc w:val="left"/>
                    <w:textAlignment w:val="baseline"/>
                    <w:rPr>
                      <w:color w:val="auto"/>
                      <w:spacing w:val="-2"/>
                      <w:kern w:val="0"/>
                      <w:szCs w:val="21"/>
                    </w:rPr>
                  </w:pPr>
                  <w:r>
                    <w:rPr>
                      <w:color w:val="auto"/>
                      <w:spacing w:val="-2"/>
                      <w:kern w:val="0"/>
                      <w:szCs w:val="21"/>
                    </w:rPr>
                    <w:t>满足重点水污染物排放总量控制指标要求，重点行业建设项目，主要污染物排放满足等量或减量替代要求</w:t>
                  </w:r>
                  <w:r>
                    <w:rPr>
                      <w:color w:val="auto"/>
                      <w:spacing w:val="-2"/>
                      <w:kern w:val="0"/>
                      <w:sz w:val="28"/>
                      <w:szCs w:val="28"/>
                    </w:rPr>
                    <w:t>□</w:t>
                  </w:r>
                </w:p>
                <w:p>
                  <w:pPr>
                    <w:tabs>
                      <w:tab w:val="left" w:pos="480"/>
                    </w:tabs>
                    <w:autoSpaceDE w:val="0"/>
                    <w:autoSpaceDN w:val="0"/>
                    <w:adjustRightInd w:val="0"/>
                    <w:snapToGrid w:val="0"/>
                    <w:jc w:val="left"/>
                    <w:textAlignment w:val="baseline"/>
                    <w:rPr>
                      <w:color w:val="auto"/>
                      <w:spacing w:val="-2"/>
                      <w:kern w:val="0"/>
                      <w:szCs w:val="21"/>
                    </w:rPr>
                  </w:pPr>
                  <w:r>
                    <w:rPr>
                      <w:color w:val="auto"/>
                      <w:spacing w:val="-2"/>
                      <w:kern w:val="0"/>
                      <w:szCs w:val="21"/>
                    </w:rPr>
                    <w:t>满足区（流）域水环境质量改善目标要求</w:t>
                  </w:r>
                  <w:r>
                    <w:rPr>
                      <w:color w:val="auto"/>
                      <w:spacing w:val="-2"/>
                      <w:kern w:val="0"/>
                      <w:sz w:val="28"/>
                      <w:szCs w:val="28"/>
                    </w:rPr>
                    <w:t>□</w:t>
                  </w:r>
                </w:p>
                <w:p>
                  <w:pPr>
                    <w:tabs>
                      <w:tab w:val="left" w:pos="480"/>
                    </w:tabs>
                    <w:autoSpaceDE w:val="0"/>
                    <w:autoSpaceDN w:val="0"/>
                    <w:adjustRightInd w:val="0"/>
                    <w:snapToGrid w:val="0"/>
                    <w:jc w:val="left"/>
                    <w:textAlignment w:val="baseline"/>
                    <w:rPr>
                      <w:color w:val="auto"/>
                      <w:spacing w:val="-2"/>
                      <w:kern w:val="0"/>
                      <w:szCs w:val="21"/>
                    </w:rPr>
                  </w:pPr>
                  <w:r>
                    <w:rPr>
                      <w:color w:val="auto"/>
                      <w:spacing w:val="-2"/>
                      <w:kern w:val="0"/>
                      <w:szCs w:val="21"/>
                    </w:rPr>
                    <w:t>水文要素影响型建设项目同时应包括水文情势变化评价、主要水文特征值影响评价、生态流量符合性评价</w:t>
                  </w:r>
                  <w:r>
                    <w:rPr>
                      <w:color w:val="auto"/>
                      <w:spacing w:val="-2"/>
                      <w:kern w:val="0"/>
                      <w:sz w:val="28"/>
                      <w:szCs w:val="28"/>
                    </w:rPr>
                    <w:t>□</w:t>
                  </w:r>
                </w:p>
                <w:p>
                  <w:pPr>
                    <w:tabs>
                      <w:tab w:val="left" w:pos="480"/>
                    </w:tabs>
                    <w:autoSpaceDE w:val="0"/>
                    <w:autoSpaceDN w:val="0"/>
                    <w:adjustRightInd w:val="0"/>
                    <w:snapToGrid w:val="0"/>
                    <w:jc w:val="left"/>
                    <w:textAlignment w:val="baseline"/>
                    <w:rPr>
                      <w:color w:val="auto"/>
                      <w:spacing w:val="-2"/>
                      <w:kern w:val="0"/>
                      <w:szCs w:val="21"/>
                    </w:rPr>
                  </w:pPr>
                  <w:r>
                    <w:rPr>
                      <w:color w:val="auto"/>
                      <w:spacing w:val="-2"/>
                      <w:kern w:val="0"/>
                      <w:szCs w:val="21"/>
                    </w:rPr>
                    <w:t>对于新设或调整入河（湖库、近岸海域）排放口的建设项目，应包括排放口设置的环境合理性评价</w:t>
                  </w:r>
                  <w:r>
                    <w:rPr>
                      <w:color w:val="auto"/>
                      <w:spacing w:val="-2"/>
                      <w:kern w:val="0"/>
                      <w:sz w:val="28"/>
                      <w:szCs w:val="28"/>
                    </w:rPr>
                    <w:t>□</w:t>
                  </w:r>
                </w:p>
                <w:p>
                  <w:pPr>
                    <w:tabs>
                      <w:tab w:val="left" w:pos="480"/>
                    </w:tabs>
                    <w:autoSpaceDE w:val="0"/>
                    <w:autoSpaceDN w:val="0"/>
                    <w:adjustRightInd w:val="0"/>
                    <w:snapToGrid w:val="0"/>
                    <w:jc w:val="left"/>
                    <w:textAlignment w:val="baseline"/>
                    <w:rPr>
                      <w:color w:val="auto"/>
                      <w:spacing w:val="-2"/>
                      <w:kern w:val="0"/>
                      <w:szCs w:val="21"/>
                    </w:rPr>
                  </w:pPr>
                  <w:r>
                    <w:rPr>
                      <w:color w:val="auto"/>
                      <w:spacing w:val="-2"/>
                      <w:kern w:val="0"/>
                      <w:szCs w:val="21"/>
                    </w:rPr>
                    <w:t>满足生态保护红线、水环境质量底线、资源利用上线和环境准入清单管理要求</w:t>
                  </w:r>
                  <w:r>
                    <w:rPr>
                      <w:color w:val="auto"/>
                      <w:spacing w:val="-2"/>
                      <w:kern w:val="0"/>
                      <w:sz w:val="28"/>
                      <w:szCs w:val="28"/>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79" w:type="dxa"/>
                  <w:vMerge w:val="continue"/>
                  <w:vAlign w:val="center"/>
                </w:tcPr>
                <w:p>
                  <w:pPr>
                    <w:tabs>
                      <w:tab w:val="left" w:pos="480"/>
                    </w:tabs>
                    <w:autoSpaceDE w:val="0"/>
                    <w:autoSpaceDN w:val="0"/>
                    <w:adjustRightInd w:val="0"/>
                    <w:snapToGrid w:val="0"/>
                    <w:jc w:val="center"/>
                    <w:textAlignment w:val="baseline"/>
                    <w:rPr>
                      <w:color w:val="auto"/>
                      <w:spacing w:val="-2"/>
                      <w:kern w:val="0"/>
                      <w:szCs w:val="21"/>
                    </w:rPr>
                  </w:pPr>
                </w:p>
              </w:tc>
              <w:tc>
                <w:tcPr>
                  <w:tcW w:w="896" w:type="dxa"/>
                  <w:vMerge w:val="restart"/>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污染源排放量核算</w:t>
                  </w:r>
                </w:p>
              </w:tc>
              <w:tc>
                <w:tcPr>
                  <w:tcW w:w="1810" w:type="dxa"/>
                  <w:gridSpan w:val="3"/>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污染物名称</w:t>
                  </w:r>
                </w:p>
              </w:tc>
              <w:tc>
                <w:tcPr>
                  <w:tcW w:w="2404" w:type="dxa"/>
                  <w:gridSpan w:val="5"/>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排放量/（t/a）</w:t>
                  </w:r>
                </w:p>
              </w:tc>
              <w:tc>
                <w:tcPr>
                  <w:tcW w:w="3453" w:type="dxa"/>
                  <w:gridSpan w:val="4"/>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排放浓度/（mg/L）</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79" w:type="dxa"/>
                  <w:vMerge w:val="continue"/>
                  <w:vAlign w:val="center"/>
                </w:tcPr>
                <w:p>
                  <w:pPr>
                    <w:tabs>
                      <w:tab w:val="left" w:pos="480"/>
                    </w:tabs>
                    <w:autoSpaceDE w:val="0"/>
                    <w:autoSpaceDN w:val="0"/>
                    <w:adjustRightInd w:val="0"/>
                    <w:snapToGrid w:val="0"/>
                    <w:jc w:val="center"/>
                    <w:textAlignment w:val="baseline"/>
                    <w:rPr>
                      <w:color w:val="auto"/>
                      <w:spacing w:val="-2"/>
                      <w:kern w:val="0"/>
                      <w:szCs w:val="21"/>
                    </w:rPr>
                  </w:pPr>
                </w:p>
              </w:tc>
              <w:tc>
                <w:tcPr>
                  <w:tcW w:w="896" w:type="dxa"/>
                  <w:vMerge w:val="continue"/>
                  <w:vAlign w:val="center"/>
                </w:tcPr>
                <w:p>
                  <w:pPr>
                    <w:tabs>
                      <w:tab w:val="left" w:pos="480"/>
                    </w:tabs>
                    <w:autoSpaceDE w:val="0"/>
                    <w:autoSpaceDN w:val="0"/>
                    <w:adjustRightInd w:val="0"/>
                    <w:snapToGrid w:val="0"/>
                    <w:jc w:val="center"/>
                    <w:textAlignment w:val="baseline"/>
                    <w:rPr>
                      <w:color w:val="auto"/>
                      <w:spacing w:val="-2"/>
                      <w:kern w:val="0"/>
                      <w:szCs w:val="21"/>
                    </w:rPr>
                  </w:pPr>
                </w:p>
              </w:tc>
              <w:tc>
                <w:tcPr>
                  <w:tcW w:w="1810" w:type="dxa"/>
                  <w:gridSpan w:val="3"/>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w:t>
                  </w:r>
                </w:p>
              </w:tc>
              <w:tc>
                <w:tcPr>
                  <w:tcW w:w="2404" w:type="dxa"/>
                  <w:gridSpan w:val="5"/>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w:t>
                  </w:r>
                </w:p>
              </w:tc>
              <w:tc>
                <w:tcPr>
                  <w:tcW w:w="3453" w:type="dxa"/>
                  <w:gridSpan w:val="4"/>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79" w:type="dxa"/>
                  <w:vMerge w:val="continue"/>
                  <w:vAlign w:val="center"/>
                </w:tcPr>
                <w:p>
                  <w:pPr>
                    <w:tabs>
                      <w:tab w:val="left" w:pos="480"/>
                    </w:tabs>
                    <w:autoSpaceDE w:val="0"/>
                    <w:autoSpaceDN w:val="0"/>
                    <w:adjustRightInd w:val="0"/>
                    <w:snapToGrid w:val="0"/>
                    <w:jc w:val="center"/>
                    <w:textAlignment w:val="baseline"/>
                    <w:rPr>
                      <w:color w:val="auto"/>
                      <w:spacing w:val="-2"/>
                      <w:kern w:val="0"/>
                      <w:szCs w:val="21"/>
                    </w:rPr>
                  </w:pPr>
                </w:p>
              </w:tc>
              <w:tc>
                <w:tcPr>
                  <w:tcW w:w="896" w:type="dxa"/>
                  <w:vMerge w:val="restart"/>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替代源排放情况</w:t>
                  </w:r>
                </w:p>
              </w:tc>
              <w:tc>
                <w:tcPr>
                  <w:tcW w:w="883" w:type="dxa"/>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污染源名称</w:t>
                  </w:r>
                </w:p>
              </w:tc>
              <w:tc>
                <w:tcPr>
                  <w:tcW w:w="1392" w:type="dxa"/>
                  <w:gridSpan w:val="4"/>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排污许可证编号</w:t>
                  </w:r>
                </w:p>
              </w:tc>
              <w:tc>
                <w:tcPr>
                  <w:tcW w:w="1399" w:type="dxa"/>
                  <w:gridSpan w:val="2"/>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污染物名称</w:t>
                  </w:r>
                </w:p>
              </w:tc>
              <w:tc>
                <w:tcPr>
                  <w:tcW w:w="1485" w:type="dxa"/>
                  <w:gridSpan w:val="2"/>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排放量/（t/a）</w:t>
                  </w:r>
                </w:p>
              </w:tc>
              <w:tc>
                <w:tcPr>
                  <w:tcW w:w="2508" w:type="dxa"/>
                  <w:gridSpan w:val="3"/>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排放浓度/（mg/L）</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79" w:type="dxa"/>
                  <w:vMerge w:val="continue"/>
                  <w:vAlign w:val="center"/>
                </w:tcPr>
                <w:p>
                  <w:pPr>
                    <w:tabs>
                      <w:tab w:val="left" w:pos="480"/>
                    </w:tabs>
                    <w:autoSpaceDE w:val="0"/>
                    <w:autoSpaceDN w:val="0"/>
                    <w:adjustRightInd w:val="0"/>
                    <w:snapToGrid w:val="0"/>
                    <w:jc w:val="center"/>
                    <w:textAlignment w:val="baseline"/>
                    <w:rPr>
                      <w:color w:val="auto"/>
                      <w:spacing w:val="-2"/>
                      <w:kern w:val="0"/>
                      <w:szCs w:val="21"/>
                    </w:rPr>
                  </w:pPr>
                </w:p>
              </w:tc>
              <w:tc>
                <w:tcPr>
                  <w:tcW w:w="896" w:type="dxa"/>
                  <w:vMerge w:val="continue"/>
                  <w:vAlign w:val="center"/>
                </w:tcPr>
                <w:p>
                  <w:pPr>
                    <w:tabs>
                      <w:tab w:val="left" w:pos="480"/>
                    </w:tabs>
                    <w:autoSpaceDE w:val="0"/>
                    <w:autoSpaceDN w:val="0"/>
                    <w:adjustRightInd w:val="0"/>
                    <w:snapToGrid w:val="0"/>
                    <w:jc w:val="center"/>
                    <w:textAlignment w:val="baseline"/>
                    <w:rPr>
                      <w:color w:val="auto"/>
                      <w:spacing w:val="-2"/>
                      <w:kern w:val="0"/>
                      <w:szCs w:val="21"/>
                    </w:rPr>
                  </w:pPr>
                </w:p>
              </w:tc>
              <w:tc>
                <w:tcPr>
                  <w:tcW w:w="883" w:type="dxa"/>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   ）</w:t>
                  </w:r>
                </w:p>
              </w:tc>
              <w:tc>
                <w:tcPr>
                  <w:tcW w:w="1392" w:type="dxa"/>
                  <w:gridSpan w:val="4"/>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   ）</w:t>
                  </w:r>
                </w:p>
              </w:tc>
              <w:tc>
                <w:tcPr>
                  <w:tcW w:w="1399" w:type="dxa"/>
                  <w:gridSpan w:val="2"/>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   ）</w:t>
                  </w:r>
                </w:p>
              </w:tc>
              <w:tc>
                <w:tcPr>
                  <w:tcW w:w="1485" w:type="dxa"/>
                  <w:gridSpan w:val="2"/>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   ）</w:t>
                  </w:r>
                </w:p>
              </w:tc>
              <w:tc>
                <w:tcPr>
                  <w:tcW w:w="2508" w:type="dxa"/>
                  <w:gridSpan w:val="3"/>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   ）</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79" w:type="dxa"/>
                  <w:vMerge w:val="continue"/>
                  <w:vAlign w:val="center"/>
                </w:tcPr>
                <w:p>
                  <w:pPr>
                    <w:tabs>
                      <w:tab w:val="left" w:pos="480"/>
                    </w:tabs>
                    <w:autoSpaceDE w:val="0"/>
                    <w:autoSpaceDN w:val="0"/>
                    <w:adjustRightInd w:val="0"/>
                    <w:snapToGrid w:val="0"/>
                    <w:jc w:val="center"/>
                    <w:textAlignment w:val="baseline"/>
                    <w:rPr>
                      <w:color w:val="auto"/>
                      <w:spacing w:val="-2"/>
                      <w:kern w:val="0"/>
                      <w:szCs w:val="21"/>
                    </w:rPr>
                  </w:pPr>
                </w:p>
              </w:tc>
              <w:tc>
                <w:tcPr>
                  <w:tcW w:w="896" w:type="dxa"/>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生态流量确定</w:t>
                  </w:r>
                </w:p>
              </w:tc>
              <w:tc>
                <w:tcPr>
                  <w:tcW w:w="7667" w:type="dxa"/>
                  <w:gridSpan w:val="12"/>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生态流量：一般水期（   ）m</w:t>
                  </w:r>
                  <w:r>
                    <w:rPr>
                      <w:color w:val="auto"/>
                      <w:spacing w:val="-2"/>
                      <w:kern w:val="0"/>
                      <w:szCs w:val="21"/>
                      <w:vertAlign w:val="superscript"/>
                    </w:rPr>
                    <w:t>3</w:t>
                  </w:r>
                  <w:r>
                    <w:rPr>
                      <w:color w:val="auto"/>
                      <w:spacing w:val="-2"/>
                      <w:kern w:val="0"/>
                      <w:szCs w:val="21"/>
                    </w:rPr>
                    <w:t>/s；鱼类繁殖期（   ）m</w:t>
                  </w:r>
                  <w:r>
                    <w:rPr>
                      <w:color w:val="auto"/>
                      <w:spacing w:val="-2"/>
                      <w:kern w:val="0"/>
                      <w:szCs w:val="21"/>
                      <w:vertAlign w:val="superscript"/>
                    </w:rPr>
                    <w:t>3</w:t>
                  </w:r>
                  <w:r>
                    <w:rPr>
                      <w:color w:val="auto"/>
                      <w:spacing w:val="-2"/>
                      <w:kern w:val="0"/>
                      <w:szCs w:val="21"/>
                    </w:rPr>
                    <w:t>/s；其他（   ）m</w:t>
                  </w:r>
                  <w:r>
                    <w:rPr>
                      <w:color w:val="auto"/>
                      <w:spacing w:val="-2"/>
                      <w:kern w:val="0"/>
                      <w:szCs w:val="21"/>
                      <w:vertAlign w:val="superscript"/>
                    </w:rPr>
                    <w:t>3</w:t>
                  </w:r>
                  <w:r>
                    <w:rPr>
                      <w:color w:val="auto"/>
                      <w:spacing w:val="-2"/>
                      <w:kern w:val="0"/>
                      <w:szCs w:val="21"/>
                    </w:rPr>
                    <w:t>/s</w:t>
                  </w:r>
                </w:p>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生态水位：一般水期（   ）m；鱼类繁殖期（   ）m；其他（   ）m</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79" w:type="dxa"/>
                  <w:vMerge w:val="restart"/>
                  <w:textDirection w:val="tbRlV"/>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防治措施</w:t>
                  </w:r>
                </w:p>
              </w:tc>
              <w:tc>
                <w:tcPr>
                  <w:tcW w:w="896" w:type="dxa"/>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环保措施</w:t>
                  </w:r>
                </w:p>
              </w:tc>
              <w:tc>
                <w:tcPr>
                  <w:tcW w:w="7667" w:type="dxa"/>
                  <w:gridSpan w:val="12"/>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污水处理设施□；水文减缓设施□；生态流量保障设施□；区域削减□；</w:t>
                  </w:r>
                </w:p>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依托其他工程措施□；其他 □</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79" w:type="dxa"/>
                  <w:vMerge w:val="continue"/>
                  <w:vAlign w:val="center"/>
                </w:tcPr>
                <w:p>
                  <w:pPr>
                    <w:tabs>
                      <w:tab w:val="left" w:pos="480"/>
                    </w:tabs>
                    <w:autoSpaceDE w:val="0"/>
                    <w:autoSpaceDN w:val="0"/>
                    <w:adjustRightInd w:val="0"/>
                    <w:snapToGrid w:val="0"/>
                    <w:jc w:val="center"/>
                    <w:textAlignment w:val="baseline"/>
                    <w:rPr>
                      <w:color w:val="auto"/>
                      <w:spacing w:val="-2"/>
                      <w:kern w:val="0"/>
                      <w:szCs w:val="21"/>
                    </w:rPr>
                  </w:pPr>
                </w:p>
              </w:tc>
              <w:tc>
                <w:tcPr>
                  <w:tcW w:w="896" w:type="dxa"/>
                  <w:vMerge w:val="restart"/>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监测计划</w:t>
                  </w:r>
                </w:p>
              </w:tc>
              <w:tc>
                <w:tcPr>
                  <w:tcW w:w="1054" w:type="dxa"/>
                  <w:gridSpan w:val="2"/>
                  <w:vAlign w:val="center"/>
                </w:tcPr>
                <w:p>
                  <w:pPr>
                    <w:tabs>
                      <w:tab w:val="left" w:pos="480"/>
                    </w:tabs>
                    <w:autoSpaceDE w:val="0"/>
                    <w:autoSpaceDN w:val="0"/>
                    <w:adjustRightInd w:val="0"/>
                    <w:snapToGrid w:val="0"/>
                    <w:jc w:val="center"/>
                    <w:textAlignment w:val="baseline"/>
                    <w:rPr>
                      <w:color w:val="auto"/>
                      <w:spacing w:val="-2"/>
                      <w:kern w:val="0"/>
                      <w:szCs w:val="21"/>
                    </w:rPr>
                  </w:pPr>
                </w:p>
              </w:tc>
              <w:tc>
                <w:tcPr>
                  <w:tcW w:w="2620" w:type="dxa"/>
                  <w:gridSpan w:val="5"/>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环境质量</w:t>
                  </w:r>
                </w:p>
              </w:tc>
              <w:tc>
                <w:tcPr>
                  <w:tcW w:w="3993" w:type="dxa"/>
                  <w:gridSpan w:val="5"/>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污染源</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79" w:type="dxa"/>
                  <w:vMerge w:val="continue"/>
                  <w:vAlign w:val="center"/>
                </w:tcPr>
                <w:p>
                  <w:pPr>
                    <w:tabs>
                      <w:tab w:val="left" w:pos="480"/>
                    </w:tabs>
                    <w:autoSpaceDE w:val="0"/>
                    <w:autoSpaceDN w:val="0"/>
                    <w:adjustRightInd w:val="0"/>
                    <w:snapToGrid w:val="0"/>
                    <w:jc w:val="center"/>
                    <w:textAlignment w:val="baseline"/>
                    <w:rPr>
                      <w:color w:val="auto"/>
                      <w:spacing w:val="-2"/>
                      <w:kern w:val="0"/>
                      <w:szCs w:val="21"/>
                    </w:rPr>
                  </w:pPr>
                </w:p>
              </w:tc>
              <w:tc>
                <w:tcPr>
                  <w:tcW w:w="896" w:type="dxa"/>
                  <w:vMerge w:val="continue"/>
                  <w:vAlign w:val="center"/>
                </w:tcPr>
                <w:p>
                  <w:pPr>
                    <w:tabs>
                      <w:tab w:val="left" w:pos="480"/>
                    </w:tabs>
                    <w:autoSpaceDE w:val="0"/>
                    <w:autoSpaceDN w:val="0"/>
                    <w:adjustRightInd w:val="0"/>
                    <w:snapToGrid w:val="0"/>
                    <w:jc w:val="center"/>
                    <w:textAlignment w:val="baseline"/>
                    <w:rPr>
                      <w:color w:val="auto"/>
                      <w:spacing w:val="-2"/>
                      <w:kern w:val="0"/>
                      <w:szCs w:val="21"/>
                    </w:rPr>
                  </w:pPr>
                </w:p>
              </w:tc>
              <w:tc>
                <w:tcPr>
                  <w:tcW w:w="1054" w:type="dxa"/>
                  <w:gridSpan w:val="2"/>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监测方式</w:t>
                  </w:r>
                </w:p>
              </w:tc>
              <w:tc>
                <w:tcPr>
                  <w:tcW w:w="2620" w:type="dxa"/>
                  <w:gridSpan w:val="5"/>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手动</w:t>
                  </w:r>
                  <w:r>
                    <w:rPr>
                      <w:color w:val="auto"/>
                      <w:spacing w:val="-2"/>
                      <w:kern w:val="0"/>
                      <w:sz w:val="28"/>
                      <w:szCs w:val="28"/>
                    </w:rPr>
                    <w:t>□</w:t>
                  </w:r>
                  <w:r>
                    <w:rPr>
                      <w:color w:val="auto"/>
                      <w:spacing w:val="-2"/>
                      <w:kern w:val="0"/>
                      <w:szCs w:val="21"/>
                    </w:rPr>
                    <w:t>；自动</w:t>
                  </w:r>
                  <w:r>
                    <w:rPr>
                      <w:color w:val="auto"/>
                      <w:spacing w:val="-2"/>
                      <w:kern w:val="0"/>
                      <w:sz w:val="28"/>
                      <w:szCs w:val="28"/>
                    </w:rPr>
                    <w:t>□</w:t>
                  </w:r>
                  <w:r>
                    <w:rPr>
                      <w:color w:val="auto"/>
                      <w:spacing w:val="-2"/>
                      <w:kern w:val="0"/>
                      <w:szCs w:val="21"/>
                    </w:rPr>
                    <w:t>；无监测</w:t>
                  </w:r>
                  <w:r>
                    <w:rPr>
                      <w:color w:val="auto"/>
                      <w:spacing w:val="-2"/>
                      <w:kern w:val="0"/>
                      <w:sz w:val="28"/>
                      <w:szCs w:val="28"/>
                    </w:rPr>
                    <w:t>□</w:t>
                  </w:r>
                </w:p>
              </w:tc>
              <w:tc>
                <w:tcPr>
                  <w:tcW w:w="3993" w:type="dxa"/>
                  <w:gridSpan w:val="5"/>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手动</w:t>
                  </w:r>
                  <w:r>
                    <w:rPr>
                      <w:rFonts w:ascii="Segoe UI Emoji" w:hAnsi="Segoe UI Emoji" w:cs="Segoe UI Emoji"/>
                      <w:color w:val="auto"/>
                      <w:spacing w:val="-2"/>
                      <w:kern w:val="0"/>
                      <w:szCs w:val="21"/>
                    </w:rPr>
                    <w:t>☑</w:t>
                  </w:r>
                  <w:r>
                    <w:rPr>
                      <w:color w:val="auto"/>
                      <w:spacing w:val="-2"/>
                      <w:kern w:val="0"/>
                      <w:szCs w:val="21"/>
                    </w:rPr>
                    <w:t>；自动</w:t>
                  </w:r>
                  <w:r>
                    <w:rPr>
                      <w:color w:val="auto"/>
                      <w:spacing w:val="-2"/>
                      <w:kern w:val="0"/>
                      <w:sz w:val="28"/>
                      <w:szCs w:val="28"/>
                    </w:rPr>
                    <w:t>□</w:t>
                  </w:r>
                  <w:r>
                    <w:rPr>
                      <w:color w:val="auto"/>
                      <w:spacing w:val="-2"/>
                      <w:kern w:val="0"/>
                      <w:szCs w:val="21"/>
                    </w:rPr>
                    <w:t>；无监测</w:t>
                  </w:r>
                  <w:r>
                    <w:rPr>
                      <w:color w:val="auto"/>
                      <w:spacing w:val="-2"/>
                      <w:kern w:val="0"/>
                      <w:sz w:val="28"/>
                      <w:szCs w:val="28"/>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79" w:type="dxa"/>
                  <w:vMerge w:val="continue"/>
                  <w:vAlign w:val="center"/>
                </w:tcPr>
                <w:p>
                  <w:pPr>
                    <w:tabs>
                      <w:tab w:val="left" w:pos="480"/>
                    </w:tabs>
                    <w:autoSpaceDE w:val="0"/>
                    <w:autoSpaceDN w:val="0"/>
                    <w:adjustRightInd w:val="0"/>
                    <w:snapToGrid w:val="0"/>
                    <w:jc w:val="center"/>
                    <w:textAlignment w:val="baseline"/>
                    <w:rPr>
                      <w:color w:val="auto"/>
                      <w:spacing w:val="-2"/>
                      <w:kern w:val="0"/>
                      <w:szCs w:val="21"/>
                    </w:rPr>
                  </w:pPr>
                </w:p>
              </w:tc>
              <w:tc>
                <w:tcPr>
                  <w:tcW w:w="896" w:type="dxa"/>
                  <w:vMerge w:val="continue"/>
                  <w:vAlign w:val="center"/>
                </w:tcPr>
                <w:p>
                  <w:pPr>
                    <w:tabs>
                      <w:tab w:val="left" w:pos="480"/>
                    </w:tabs>
                    <w:autoSpaceDE w:val="0"/>
                    <w:autoSpaceDN w:val="0"/>
                    <w:adjustRightInd w:val="0"/>
                    <w:snapToGrid w:val="0"/>
                    <w:jc w:val="center"/>
                    <w:textAlignment w:val="baseline"/>
                    <w:rPr>
                      <w:color w:val="auto"/>
                      <w:spacing w:val="-2"/>
                      <w:kern w:val="0"/>
                      <w:szCs w:val="21"/>
                    </w:rPr>
                  </w:pPr>
                </w:p>
              </w:tc>
              <w:tc>
                <w:tcPr>
                  <w:tcW w:w="1054" w:type="dxa"/>
                  <w:gridSpan w:val="2"/>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监测点位</w:t>
                  </w:r>
                </w:p>
              </w:tc>
              <w:tc>
                <w:tcPr>
                  <w:tcW w:w="2620" w:type="dxa"/>
                  <w:gridSpan w:val="5"/>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   ）</w:t>
                  </w:r>
                </w:p>
              </w:tc>
              <w:tc>
                <w:tcPr>
                  <w:tcW w:w="3993" w:type="dxa"/>
                  <w:gridSpan w:val="5"/>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（生活污水排放口）</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79" w:type="dxa"/>
                  <w:vMerge w:val="continue"/>
                  <w:vAlign w:val="center"/>
                </w:tcPr>
                <w:p>
                  <w:pPr>
                    <w:tabs>
                      <w:tab w:val="left" w:pos="480"/>
                    </w:tabs>
                    <w:autoSpaceDE w:val="0"/>
                    <w:autoSpaceDN w:val="0"/>
                    <w:adjustRightInd w:val="0"/>
                    <w:snapToGrid w:val="0"/>
                    <w:jc w:val="center"/>
                    <w:textAlignment w:val="baseline"/>
                    <w:rPr>
                      <w:color w:val="auto"/>
                      <w:spacing w:val="-2"/>
                      <w:kern w:val="0"/>
                      <w:szCs w:val="21"/>
                    </w:rPr>
                  </w:pPr>
                </w:p>
              </w:tc>
              <w:tc>
                <w:tcPr>
                  <w:tcW w:w="896" w:type="dxa"/>
                  <w:vMerge w:val="continue"/>
                  <w:vAlign w:val="center"/>
                </w:tcPr>
                <w:p>
                  <w:pPr>
                    <w:tabs>
                      <w:tab w:val="left" w:pos="480"/>
                    </w:tabs>
                    <w:autoSpaceDE w:val="0"/>
                    <w:autoSpaceDN w:val="0"/>
                    <w:adjustRightInd w:val="0"/>
                    <w:snapToGrid w:val="0"/>
                    <w:jc w:val="center"/>
                    <w:textAlignment w:val="baseline"/>
                    <w:rPr>
                      <w:color w:val="auto"/>
                      <w:spacing w:val="-2"/>
                      <w:kern w:val="0"/>
                      <w:szCs w:val="21"/>
                    </w:rPr>
                  </w:pPr>
                </w:p>
              </w:tc>
              <w:tc>
                <w:tcPr>
                  <w:tcW w:w="1054" w:type="dxa"/>
                  <w:gridSpan w:val="2"/>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监测因子</w:t>
                  </w:r>
                </w:p>
              </w:tc>
              <w:tc>
                <w:tcPr>
                  <w:tcW w:w="2620" w:type="dxa"/>
                  <w:gridSpan w:val="5"/>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   ）</w:t>
                  </w:r>
                </w:p>
              </w:tc>
              <w:tc>
                <w:tcPr>
                  <w:tcW w:w="3993" w:type="dxa"/>
                  <w:gridSpan w:val="5"/>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（COD</w:t>
                  </w:r>
                  <w:r>
                    <w:rPr>
                      <w:color w:val="auto"/>
                      <w:spacing w:val="-2"/>
                      <w:kern w:val="0"/>
                      <w:szCs w:val="21"/>
                      <w:vertAlign w:val="subscript"/>
                    </w:rPr>
                    <w:t>cr</w:t>
                  </w:r>
                  <w:r>
                    <w:rPr>
                      <w:color w:val="auto"/>
                      <w:spacing w:val="-2"/>
                      <w:kern w:val="0"/>
                      <w:szCs w:val="21"/>
                    </w:rPr>
                    <w:t>、NH</w:t>
                  </w:r>
                  <w:r>
                    <w:rPr>
                      <w:color w:val="auto"/>
                      <w:spacing w:val="-2"/>
                      <w:kern w:val="0"/>
                      <w:szCs w:val="21"/>
                      <w:vertAlign w:val="subscript"/>
                    </w:rPr>
                    <w:t>3</w:t>
                  </w:r>
                  <w:r>
                    <w:rPr>
                      <w:color w:val="auto"/>
                      <w:spacing w:val="-2"/>
                      <w:kern w:val="0"/>
                      <w:szCs w:val="21"/>
                    </w:rPr>
                    <w:t>-N）</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79" w:type="dxa"/>
                  <w:vMerge w:val="continue"/>
                  <w:vAlign w:val="center"/>
                </w:tcPr>
                <w:p>
                  <w:pPr>
                    <w:tabs>
                      <w:tab w:val="left" w:pos="480"/>
                    </w:tabs>
                    <w:autoSpaceDE w:val="0"/>
                    <w:autoSpaceDN w:val="0"/>
                    <w:adjustRightInd w:val="0"/>
                    <w:snapToGrid w:val="0"/>
                    <w:jc w:val="center"/>
                    <w:textAlignment w:val="baseline"/>
                    <w:rPr>
                      <w:color w:val="auto"/>
                      <w:spacing w:val="-2"/>
                      <w:kern w:val="0"/>
                      <w:szCs w:val="21"/>
                    </w:rPr>
                  </w:pPr>
                </w:p>
              </w:tc>
              <w:tc>
                <w:tcPr>
                  <w:tcW w:w="896" w:type="dxa"/>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污染物排放清单</w:t>
                  </w:r>
                </w:p>
              </w:tc>
              <w:tc>
                <w:tcPr>
                  <w:tcW w:w="7667" w:type="dxa"/>
                  <w:gridSpan w:val="12"/>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 w:val="28"/>
                      <w:szCs w:val="28"/>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375" w:type="dxa"/>
                  <w:gridSpan w:val="2"/>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评价结论</w:t>
                  </w:r>
                </w:p>
              </w:tc>
              <w:tc>
                <w:tcPr>
                  <w:tcW w:w="7667" w:type="dxa"/>
                  <w:gridSpan w:val="12"/>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 xml:space="preserve">可以接受 </w:t>
                  </w:r>
                  <w:r>
                    <w:rPr>
                      <w:rFonts w:ascii="Segoe UI Emoji" w:hAnsi="Segoe UI Emoji" w:cs="Segoe UI Emoji"/>
                      <w:color w:val="auto"/>
                      <w:spacing w:val="-2"/>
                      <w:kern w:val="0"/>
                      <w:szCs w:val="21"/>
                    </w:rPr>
                    <w:t>☑</w:t>
                  </w:r>
                  <w:r>
                    <w:rPr>
                      <w:color w:val="auto"/>
                      <w:spacing w:val="-2"/>
                      <w:kern w:val="0"/>
                      <w:szCs w:val="21"/>
                    </w:rPr>
                    <w:t xml:space="preserve">；不可以接受 </w:t>
                  </w:r>
                  <w:r>
                    <w:rPr>
                      <w:color w:val="auto"/>
                      <w:spacing w:val="-2"/>
                      <w:kern w:val="0"/>
                      <w:sz w:val="28"/>
                      <w:szCs w:val="28"/>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9042" w:type="dxa"/>
                  <w:gridSpan w:val="14"/>
                  <w:vAlign w:val="center"/>
                </w:tcPr>
                <w:p>
                  <w:pPr>
                    <w:tabs>
                      <w:tab w:val="left" w:pos="480"/>
                    </w:tabs>
                    <w:autoSpaceDE w:val="0"/>
                    <w:autoSpaceDN w:val="0"/>
                    <w:adjustRightInd w:val="0"/>
                    <w:snapToGrid w:val="0"/>
                    <w:jc w:val="center"/>
                    <w:textAlignment w:val="baseline"/>
                    <w:rPr>
                      <w:color w:val="auto"/>
                      <w:spacing w:val="-2"/>
                      <w:kern w:val="0"/>
                      <w:szCs w:val="21"/>
                    </w:rPr>
                  </w:pPr>
                  <w:r>
                    <w:rPr>
                      <w:color w:val="auto"/>
                      <w:spacing w:val="-2"/>
                      <w:kern w:val="0"/>
                      <w:szCs w:val="21"/>
                    </w:rPr>
                    <w:t>注：“□”为勾选项，可√；“（   ）”为内容填写项；“备注”为其他补充内容。</w:t>
                  </w:r>
                </w:p>
              </w:tc>
            </w:tr>
          </w:tbl>
          <w:p>
            <w:pPr>
              <w:rPr>
                <w:color w:val="auto"/>
              </w:rPr>
            </w:pPr>
          </w:p>
          <w:bookmarkEnd w:id="12"/>
          <w:bookmarkEnd w:id="13"/>
          <w:bookmarkEnd w:id="14"/>
          <w:p>
            <w:pPr>
              <w:pStyle w:val="3"/>
              <w:snapToGrid w:val="0"/>
              <w:spacing w:before="0" w:after="0" w:line="360" w:lineRule="auto"/>
              <w:ind w:firstLine="482" w:firstLineChars="200"/>
              <w:rPr>
                <w:rFonts w:ascii="Times New Roman" w:hAnsi="Times New Roman" w:eastAsia="宋体"/>
                <w:color w:val="auto"/>
                <w:szCs w:val="24"/>
              </w:rPr>
            </w:pPr>
            <w:r>
              <w:rPr>
                <w:rFonts w:ascii="Times New Roman" w:hAnsi="Times New Roman" w:eastAsia="宋体"/>
                <w:color w:val="auto"/>
                <w:szCs w:val="24"/>
              </w:rPr>
              <w:t>2、声环境影响分析</w:t>
            </w:r>
          </w:p>
          <w:p>
            <w:pPr>
              <w:spacing w:line="360" w:lineRule="auto"/>
              <w:ind w:firstLine="482" w:firstLineChars="200"/>
              <w:rPr>
                <w:color w:val="auto"/>
                <w:sz w:val="24"/>
              </w:rPr>
            </w:pPr>
            <w:r>
              <w:rPr>
                <w:rFonts w:hint="eastAsia"/>
                <w:b/>
                <w:bCs/>
                <w:color w:val="auto"/>
                <w:sz w:val="24"/>
              </w:rPr>
              <w:t>评价范围：</w:t>
            </w:r>
            <w:r>
              <w:rPr>
                <w:rFonts w:hint="eastAsia"/>
                <w:color w:val="auto"/>
                <w:sz w:val="24"/>
              </w:rPr>
              <w:t>根据《环境影响评价技术导则</w:t>
            </w:r>
            <w:r>
              <w:rPr>
                <w:color w:val="auto"/>
                <w:sz w:val="24"/>
              </w:rPr>
              <w:t xml:space="preserve"> </w:t>
            </w:r>
            <w:r>
              <w:rPr>
                <w:rFonts w:hint="eastAsia"/>
                <w:color w:val="auto"/>
                <w:sz w:val="24"/>
              </w:rPr>
              <w:t>声环境》（HJ</w:t>
            </w:r>
            <w:r>
              <w:rPr>
                <w:color w:val="auto"/>
                <w:sz w:val="24"/>
              </w:rPr>
              <w:t>2.4-2009</w:t>
            </w:r>
            <w:r>
              <w:rPr>
                <w:rFonts w:hint="eastAsia"/>
                <w:color w:val="auto"/>
                <w:sz w:val="24"/>
              </w:rPr>
              <w:t>），本项目的加压泵站为固定声源，所在区域为声2类区，评价范围以泵站边界向外2</w:t>
            </w:r>
            <w:r>
              <w:rPr>
                <w:color w:val="auto"/>
                <w:sz w:val="24"/>
              </w:rPr>
              <w:t>00</w:t>
            </w:r>
            <w:r>
              <w:rPr>
                <w:rFonts w:hint="eastAsia"/>
                <w:color w:val="auto"/>
                <w:sz w:val="24"/>
              </w:rPr>
              <w:t>m作为评价范围。供水管道铺设属于线状项目，参照导则中的道路等线状项目，以管道两侧外2</w:t>
            </w:r>
            <w:r>
              <w:rPr>
                <w:color w:val="auto"/>
                <w:sz w:val="24"/>
              </w:rPr>
              <w:t>00</w:t>
            </w:r>
            <w:r>
              <w:rPr>
                <w:rFonts w:hint="eastAsia"/>
                <w:color w:val="auto"/>
                <w:sz w:val="24"/>
              </w:rPr>
              <w:t>以内为评价范围，但由于管道在运营期主要为地下输水，一般不会产生明显噪声对敏感点造成影响（评价范围内的环境敏感目标识别见表6），因此本报告不对供水管道进行预测，仅针对加压泵站运营期造成的声环境影响进行预测。</w:t>
            </w:r>
          </w:p>
          <w:p>
            <w:pPr>
              <w:spacing w:line="360" w:lineRule="auto"/>
              <w:ind w:firstLine="480" w:firstLineChars="200"/>
              <w:rPr>
                <w:color w:val="auto"/>
                <w:sz w:val="24"/>
              </w:rPr>
            </w:pPr>
            <w:r>
              <w:rPr>
                <w:rFonts w:hint="eastAsia"/>
                <w:color w:val="auto"/>
                <w:sz w:val="24"/>
              </w:rPr>
              <w:t>本</w:t>
            </w:r>
            <w:r>
              <w:rPr>
                <w:color w:val="auto"/>
                <w:sz w:val="24"/>
              </w:rPr>
              <w:t>项目</w:t>
            </w:r>
            <w:r>
              <w:rPr>
                <w:rFonts w:hint="eastAsia"/>
                <w:color w:val="auto"/>
                <w:sz w:val="24"/>
              </w:rPr>
              <w:t>包含加压泵站和供水管网，运营期中，供水管网在地下进行输水，基本不产生噪声污染影响，本项目的噪声污染源主要为加压泵站的水泵运行时产生的噪声</w:t>
            </w:r>
            <w:r>
              <w:rPr>
                <w:color w:val="auto"/>
                <w:sz w:val="24"/>
              </w:rPr>
              <w:t>，类比调查同类设备噪声源强，噪声源强一般在</w:t>
            </w:r>
            <w:r>
              <w:rPr>
                <w:rFonts w:hint="eastAsia"/>
                <w:color w:val="auto"/>
                <w:sz w:val="24"/>
              </w:rPr>
              <w:t>8</w:t>
            </w:r>
            <w:r>
              <w:rPr>
                <w:color w:val="auto"/>
                <w:sz w:val="24"/>
              </w:rPr>
              <w:t>0~</w:t>
            </w:r>
            <w:r>
              <w:rPr>
                <w:rFonts w:hint="eastAsia"/>
                <w:color w:val="auto"/>
                <w:sz w:val="24"/>
              </w:rPr>
              <w:t>90</w:t>
            </w:r>
            <w:r>
              <w:rPr>
                <w:bCs/>
                <w:color w:val="auto"/>
                <w:sz w:val="24"/>
              </w:rPr>
              <w:t>dB(A)之间</w:t>
            </w:r>
            <w:r>
              <w:rPr>
                <w:color w:val="auto"/>
                <w:sz w:val="24"/>
              </w:rPr>
              <w:t>，主要表现为空气动力性噪声，各噪声源置于建筑物内。</w:t>
            </w:r>
          </w:p>
          <w:p>
            <w:pPr>
              <w:spacing w:line="360" w:lineRule="auto"/>
              <w:ind w:firstLine="480"/>
              <w:rPr>
                <w:color w:val="auto"/>
                <w:sz w:val="24"/>
              </w:rPr>
            </w:pPr>
            <w:r>
              <w:rPr>
                <w:color w:val="auto"/>
                <w:sz w:val="24"/>
              </w:rPr>
              <w:t>本项目的噪声源均是室内声源，按下述程序预测厂界外噪声值：</w:t>
            </w:r>
          </w:p>
          <w:p>
            <w:pPr>
              <w:spacing w:line="360" w:lineRule="auto"/>
              <w:ind w:firstLine="480"/>
              <w:rPr>
                <w:color w:val="auto"/>
                <w:sz w:val="24"/>
              </w:rPr>
            </w:pPr>
            <w:r>
              <w:rPr>
                <w:color w:val="auto"/>
                <w:sz w:val="24"/>
              </w:rPr>
              <w:t>第一步：计算厂房内第i个声源在室内靠近围护结构处的声级Lpi；</w:t>
            </w:r>
          </w:p>
          <w:p>
            <w:pPr>
              <w:spacing w:line="360" w:lineRule="auto"/>
              <w:ind w:firstLine="480"/>
              <w:rPr>
                <w:color w:val="auto"/>
                <w:sz w:val="24"/>
              </w:rPr>
            </w:pPr>
            <w:r>
              <w:rPr>
                <w:color w:val="auto"/>
                <w:sz w:val="24"/>
              </w:rPr>
              <w:t>第二步：计算厂房内多个声源在室内靠近围护结构处的叠加声级；</w:t>
            </w:r>
          </w:p>
          <w:p>
            <w:pPr>
              <w:spacing w:line="360" w:lineRule="auto"/>
              <w:ind w:firstLine="480"/>
              <w:rPr>
                <w:color w:val="auto"/>
                <w:sz w:val="24"/>
              </w:rPr>
            </w:pPr>
            <w:r>
              <w:rPr>
                <w:color w:val="auto"/>
                <w:sz w:val="24"/>
              </w:rPr>
              <w:t>第三步：计算厂房外靠近围护结构处的声级L</w:t>
            </w:r>
            <w:r>
              <w:rPr>
                <w:color w:val="auto"/>
                <w:sz w:val="24"/>
                <w:vertAlign w:val="subscript"/>
              </w:rPr>
              <w:t>P2</w:t>
            </w:r>
            <w:r>
              <w:rPr>
                <w:color w:val="auto"/>
                <w:sz w:val="24"/>
              </w:rPr>
              <w:t>；</w:t>
            </w:r>
          </w:p>
          <w:p>
            <w:pPr>
              <w:spacing w:line="360" w:lineRule="auto"/>
              <w:ind w:firstLine="480"/>
              <w:rPr>
                <w:color w:val="auto"/>
                <w:sz w:val="24"/>
              </w:rPr>
            </w:pPr>
            <w:r>
              <w:rPr>
                <w:color w:val="auto"/>
                <w:sz w:val="24"/>
              </w:rPr>
              <w:t>第四步：将围护结构当作等效室外声源，按照室外声源的计算方法，计算该等效室外声源在第i个预测点的声级；</w:t>
            </w:r>
          </w:p>
          <w:p>
            <w:pPr>
              <w:spacing w:line="360" w:lineRule="auto"/>
              <w:ind w:firstLine="480"/>
              <w:rPr>
                <w:color w:val="auto"/>
                <w:sz w:val="24"/>
              </w:rPr>
            </w:pPr>
            <w:r>
              <w:rPr>
                <w:color w:val="auto"/>
                <w:sz w:val="24"/>
              </w:rPr>
              <w:t>第五步：计算室外新增噪声源在第i个预测点的声级；</w:t>
            </w:r>
          </w:p>
          <w:p>
            <w:pPr>
              <w:spacing w:line="360" w:lineRule="auto"/>
              <w:ind w:firstLine="480"/>
              <w:rPr>
                <w:color w:val="auto"/>
                <w:sz w:val="24"/>
              </w:rPr>
            </w:pPr>
            <w:r>
              <w:rPr>
                <w:color w:val="auto"/>
                <w:sz w:val="24"/>
              </w:rPr>
              <w:t>第六步：计算第i个预测点处各室外声源和等效室外声源叠加后的总声压级。</w:t>
            </w:r>
          </w:p>
          <w:p>
            <w:pPr>
              <w:spacing w:line="360" w:lineRule="auto"/>
              <w:ind w:firstLine="482" w:firstLineChars="200"/>
              <w:rPr>
                <w:b/>
                <w:color w:val="auto"/>
                <w:sz w:val="24"/>
              </w:rPr>
            </w:pPr>
            <w:r>
              <w:rPr>
                <w:rFonts w:ascii="Calibri" w:hAnsi="Calibri" w:cs="Calibri"/>
                <w:b/>
                <w:color w:val="auto"/>
                <w:sz w:val="24"/>
              </w:rPr>
              <w:t>①</w:t>
            </w:r>
            <w:r>
              <w:rPr>
                <w:b/>
                <w:color w:val="auto"/>
                <w:sz w:val="24"/>
              </w:rPr>
              <w:t>、预测模式</w:t>
            </w:r>
          </w:p>
          <w:p>
            <w:pPr>
              <w:spacing w:line="360" w:lineRule="auto"/>
              <w:ind w:firstLine="482"/>
              <w:rPr>
                <w:b/>
                <w:color w:val="auto"/>
                <w:sz w:val="24"/>
              </w:rPr>
            </w:pPr>
            <w:r>
              <w:rPr>
                <w:b/>
                <w:color w:val="auto"/>
                <w:sz w:val="24"/>
              </w:rPr>
              <w:t>（1）声源i在室内靠近内墙的声级Lpi</w:t>
            </w:r>
          </w:p>
          <w:p>
            <w:pPr>
              <w:spacing w:line="360" w:lineRule="auto"/>
              <w:ind w:left="480" w:firstLine="480"/>
              <w:jc w:val="center"/>
              <w:rPr>
                <w:color w:val="auto"/>
                <w:sz w:val="24"/>
              </w:rPr>
            </w:pPr>
            <w:r>
              <w:rPr>
                <w:color w:val="auto"/>
                <w:position w:val="-30"/>
                <w:sz w:val="24"/>
              </w:rPr>
              <w:object>
                <v:shape id="_x0000_i1025" o:spt="75" type="#_x0000_t75" style="height:34.2pt;width:139.65pt;" o:ole="t" filled="f" o:preferrelative="t" stroked="f" coordsize="21600,21600">
                  <v:path/>
                  <v:fill on="f" focussize="0,0"/>
                  <v:stroke on="f" joinstyle="miter"/>
                  <v:imagedata r:id="rId30" o:title=""/>
                  <o:lock v:ext="edit" aspectratio="t"/>
                  <w10:wrap type="none"/>
                  <w10:anchorlock/>
                </v:shape>
                <o:OLEObject Type="Embed" ProgID="Equations" ShapeID="_x0000_i1025" DrawAspect="Content" ObjectID="_1468075725" r:id="rId29">
                  <o:LockedField>false</o:LockedField>
                </o:OLEObject>
              </w:object>
            </w:r>
          </w:p>
          <w:p>
            <w:pPr>
              <w:spacing w:line="360" w:lineRule="auto"/>
              <w:rPr>
                <w:color w:val="auto"/>
                <w:sz w:val="24"/>
              </w:rPr>
            </w:pPr>
            <w:r>
              <w:rPr>
                <w:color w:val="auto"/>
                <w:sz w:val="24"/>
              </w:rPr>
              <w:t>式中：</w:t>
            </w:r>
            <w:r>
              <w:rPr>
                <w:i/>
                <w:iCs/>
                <w:color w:val="auto"/>
                <w:sz w:val="24"/>
              </w:rPr>
              <w:t>Lw</w:t>
            </w:r>
            <w:r>
              <w:rPr>
                <w:color w:val="auto"/>
                <w:sz w:val="24"/>
              </w:rPr>
              <w:t>i：厂房内第i个声源的声功率级；</w:t>
            </w:r>
          </w:p>
          <w:p>
            <w:pPr>
              <w:spacing w:line="360" w:lineRule="auto"/>
              <w:ind w:firstLine="720" w:firstLineChars="300"/>
              <w:rPr>
                <w:color w:val="auto"/>
                <w:sz w:val="24"/>
              </w:rPr>
            </w:pPr>
            <w:r>
              <w:rPr>
                <w:i/>
                <w:iCs/>
                <w:color w:val="auto"/>
                <w:sz w:val="24"/>
              </w:rPr>
              <w:t>Lw</w:t>
            </w:r>
            <w:r>
              <w:rPr>
                <w:color w:val="auto"/>
                <w:sz w:val="24"/>
              </w:rPr>
              <w:t>=</w:t>
            </w:r>
            <w:r>
              <w:rPr>
                <w:i/>
                <w:iCs/>
                <w:color w:val="auto"/>
                <w:sz w:val="24"/>
              </w:rPr>
              <w:t>Lp</w:t>
            </w:r>
            <w:r>
              <w:rPr>
                <w:color w:val="auto"/>
                <w:sz w:val="24"/>
              </w:rPr>
              <w:t>+10</w:t>
            </w:r>
            <w:r>
              <w:rPr>
                <w:color w:val="auto"/>
                <w:position w:val="-10"/>
                <w:sz w:val="24"/>
              </w:rPr>
              <w:object>
                <v:shape id="_x0000_i1026" o:spt="75" type="#_x0000_t75" style="height:14.55pt;width:13.1pt;" o:ole="t" filled="f" o:preferrelative="t" stroked="f" coordsize="21600,21600">
                  <v:path/>
                  <v:fill on="f" focussize="0,0"/>
                  <v:stroke on="f" joinstyle="miter"/>
                  <v:imagedata r:id="rId32" o:title=""/>
                  <o:lock v:ext="edit" aspectratio="t"/>
                  <w10:wrap type="none"/>
                  <w10:anchorlock/>
                </v:shape>
                <o:OLEObject Type="Embed" ProgID="Equations" ShapeID="_x0000_i1026" DrawAspect="Content" ObjectID="_1468075726" r:id="rId31">
                  <o:LockedField>false</o:LockedField>
                </o:OLEObject>
              </w:object>
            </w:r>
            <w:r>
              <w:rPr>
                <w:i/>
                <w:iCs/>
                <w:color w:val="auto"/>
                <w:sz w:val="24"/>
              </w:rPr>
              <w:t xml:space="preserve">S </w:t>
            </w:r>
            <w:r>
              <w:rPr>
                <w:color w:val="auto"/>
                <w:sz w:val="24"/>
              </w:rPr>
              <w:t xml:space="preserve">                                </w:t>
            </w:r>
          </w:p>
          <w:p>
            <w:pPr>
              <w:spacing w:line="360" w:lineRule="auto"/>
              <w:ind w:firstLine="720" w:firstLineChars="300"/>
              <w:rPr>
                <w:color w:val="auto"/>
                <w:sz w:val="24"/>
              </w:rPr>
            </w:pPr>
            <w:r>
              <w:rPr>
                <w:i/>
                <w:iCs/>
                <w:color w:val="auto"/>
                <w:sz w:val="24"/>
              </w:rPr>
              <w:t>S</w:t>
            </w:r>
            <w:r>
              <w:rPr>
                <w:color w:val="auto"/>
                <w:sz w:val="24"/>
              </w:rPr>
              <w:t>：室内面积</w:t>
            </w:r>
          </w:p>
          <w:p>
            <w:pPr>
              <w:spacing w:line="360" w:lineRule="auto"/>
              <w:ind w:firstLine="720" w:firstLineChars="300"/>
              <w:rPr>
                <w:color w:val="auto"/>
                <w:sz w:val="24"/>
              </w:rPr>
            </w:pPr>
            <w:r>
              <w:rPr>
                <w:i/>
                <w:iCs/>
                <w:color w:val="auto"/>
                <w:sz w:val="24"/>
              </w:rPr>
              <w:t>Q</w:t>
            </w:r>
            <w:r>
              <w:rPr>
                <w:color w:val="auto"/>
                <w:sz w:val="24"/>
              </w:rPr>
              <w:t>：声源的方向性因数 (声源位于地面上的Q值等于2)；</w:t>
            </w:r>
          </w:p>
          <w:p>
            <w:pPr>
              <w:spacing w:line="360" w:lineRule="auto"/>
              <w:ind w:firstLine="720" w:firstLineChars="300"/>
              <w:rPr>
                <w:color w:val="auto"/>
                <w:sz w:val="24"/>
              </w:rPr>
            </w:pPr>
            <w:r>
              <w:rPr>
                <w:i/>
                <w:iCs/>
                <w:color w:val="auto"/>
                <w:sz w:val="24"/>
              </w:rPr>
              <w:t>R</w:t>
            </w:r>
            <w:r>
              <w:rPr>
                <w:i/>
                <w:iCs/>
                <w:color w:val="auto"/>
                <w:sz w:val="24"/>
                <w:vertAlign w:val="subscript"/>
              </w:rPr>
              <w:t>i</w:t>
            </w:r>
            <w:r>
              <w:rPr>
                <w:color w:val="auto"/>
                <w:sz w:val="24"/>
              </w:rPr>
              <w:t>：室内点距声源的距离，m；</w:t>
            </w:r>
          </w:p>
          <w:p>
            <w:pPr>
              <w:spacing w:line="360" w:lineRule="auto"/>
              <w:ind w:firstLine="720" w:firstLineChars="300"/>
              <w:rPr>
                <w:color w:val="auto"/>
                <w:sz w:val="24"/>
              </w:rPr>
            </w:pPr>
            <w:r>
              <w:rPr>
                <w:i/>
                <w:iCs/>
                <w:color w:val="auto"/>
                <w:sz w:val="24"/>
              </w:rPr>
              <w:t>R</w:t>
            </w:r>
            <w:r>
              <w:rPr>
                <w:color w:val="auto"/>
                <w:sz w:val="24"/>
              </w:rPr>
              <w:t>：房间常数，m</w:t>
            </w:r>
            <w:r>
              <w:rPr>
                <w:color w:val="auto"/>
                <w:sz w:val="24"/>
                <w:vertAlign w:val="superscript"/>
              </w:rPr>
              <w:t>2</w:t>
            </w:r>
            <w:r>
              <w:rPr>
                <w:color w:val="auto"/>
                <w:sz w:val="24"/>
              </w:rPr>
              <w:t>。由下式计算；</w:t>
            </w:r>
          </w:p>
          <w:p>
            <w:pPr>
              <w:spacing w:line="360" w:lineRule="auto"/>
              <w:ind w:firstLine="720" w:firstLineChars="300"/>
              <w:jc w:val="center"/>
              <w:rPr>
                <w:color w:val="auto"/>
                <w:sz w:val="24"/>
              </w:rPr>
            </w:pPr>
            <w:r>
              <w:rPr>
                <w:color w:val="auto"/>
                <w:position w:val="-24"/>
                <w:sz w:val="24"/>
              </w:rPr>
              <w:object>
                <v:shape id="_x0000_i1027" o:spt="75" type="#_x0000_t75" style="height:30.55pt;width:48pt;" o:ole="t" filled="f" o:preferrelative="t" stroked="f" coordsize="21600,21600">
                  <v:path/>
                  <v:fill on="f" focussize="0,0"/>
                  <v:stroke on="f" joinstyle="miter"/>
                  <v:imagedata r:id="rId34" o:title=""/>
                  <o:lock v:ext="edit" aspectratio="t"/>
                  <w10:wrap type="none"/>
                  <w10:anchorlock/>
                </v:shape>
                <o:OLEObject Type="Embed" ProgID="Equations" ShapeID="_x0000_i1027" DrawAspect="Content" ObjectID="_1468075727" r:id="rId33">
                  <o:LockedField>false</o:LockedField>
                </o:OLEObject>
              </w:object>
            </w:r>
          </w:p>
          <w:p>
            <w:pPr>
              <w:spacing w:line="360" w:lineRule="auto"/>
              <w:rPr>
                <w:color w:val="auto"/>
                <w:sz w:val="24"/>
              </w:rPr>
            </w:pPr>
            <w:r>
              <w:rPr>
                <w:color w:val="auto"/>
                <w:sz w:val="24"/>
              </w:rPr>
              <w:t>式中：</w:t>
            </w:r>
            <w:r>
              <w:rPr>
                <w:color w:val="auto"/>
                <w:position w:val="-6"/>
                <w:sz w:val="24"/>
              </w:rPr>
              <w:object>
                <v:shape id="_x0000_i1028" o:spt="75" type="#_x0000_t75" style="height:13.1pt;width:10.9pt;" o:ole="t" filled="f" o:preferrelative="t" stroked="f" coordsize="21600,21600">
                  <v:path/>
                  <v:fill on="f" focussize="0,0"/>
                  <v:stroke on="f" joinstyle="miter"/>
                  <v:imagedata r:id="rId36" o:title=""/>
                  <o:lock v:ext="edit" aspectratio="t"/>
                  <w10:wrap type="none"/>
                  <w10:anchorlock/>
                </v:shape>
                <o:OLEObject Type="Embed" ProgID="Equations" ShapeID="_x0000_i1028" DrawAspect="Content" ObjectID="_1468075728" r:id="rId35">
                  <o:LockedField>false</o:LockedField>
                </o:OLEObject>
              </w:object>
            </w:r>
            <w:r>
              <w:rPr>
                <w:color w:val="auto"/>
                <w:sz w:val="24"/>
              </w:rPr>
              <w:t xml:space="preserve">：房间平均吸声系数； </w:t>
            </w:r>
          </w:p>
          <w:p>
            <w:pPr>
              <w:spacing w:line="360" w:lineRule="auto"/>
              <w:ind w:firstLine="796" w:firstLineChars="332"/>
              <w:rPr>
                <w:color w:val="auto"/>
                <w:sz w:val="24"/>
              </w:rPr>
            </w:pPr>
            <w:r>
              <w:rPr>
                <w:i/>
                <w:iCs/>
                <w:color w:val="auto"/>
                <w:sz w:val="24"/>
              </w:rPr>
              <w:t>S</w:t>
            </w:r>
            <w:r>
              <w:rPr>
                <w:color w:val="auto"/>
                <w:sz w:val="24"/>
              </w:rPr>
              <w:t>：房间总壁表面积，m</w:t>
            </w:r>
            <w:r>
              <w:rPr>
                <w:color w:val="auto"/>
                <w:sz w:val="24"/>
                <w:vertAlign w:val="superscript"/>
              </w:rPr>
              <w:t>2</w:t>
            </w:r>
            <w:r>
              <w:rPr>
                <w:color w:val="auto"/>
                <w:sz w:val="24"/>
              </w:rPr>
              <w:t>。</w:t>
            </w:r>
          </w:p>
          <w:p>
            <w:pPr>
              <w:spacing w:line="360" w:lineRule="auto"/>
              <w:ind w:firstLine="482"/>
              <w:rPr>
                <w:b/>
                <w:color w:val="auto"/>
                <w:sz w:val="24"/>
              </w:rPr>
            </w:pPr>
            <w:r>
              <w:rPr>
                <w:b/>
                <w:color w:val="auto"/>
                <w:sz w:val="24"/>
              </w:rPr>
              <w:t>（2）室内</w:t>
            </w:r>
            <w:r>
              <w:rPr>
                <w:b/>
                <w:i/>
                <w:iCs/>
                <w:color w:val="auto"/>
                <w:sz w:val="24"/>
              </w:rPr>
              <w:t>K</w:t>
            </w:r>
            <w:r>
              <w:rPr>
                <w:b/>
                <w:color w:val="auto"/>
                <w:sz w:val="24"/>
              </w:rPr>
              <w:t>个声源在室内靠近内墙处的叠加声级</w:t>
            </w:r>
          </w:p>
          <w:p>
            <w:pPr>
              <w:spacing w:line="360" w:lineRule="auto"/>
              <w:ind w:left="480" w:firstLine="480"/>
              <w:jc w:val="center"/>
              <w:rPr>
                <w:color w:val="auto"/>
                <w:sz w:val="24"/>
              </w:rPr>
            </w:pPr>
            <w:r>
              <w:rPr>
                <w:color w:val="auto"/>
                <w:position w:val="-28"/>
                <w:sz w:val="24"/>
              </w:rPr>
              <w:object>
                <v:shape id="_x0000_i1029" o:spt="75" type="#_x0000_t75" style="height:34.2pt;width:108.35pt;" o:ole="t" filled="f" o:preferrelative="t" stroked="f" coordsize="21600,21600">
                  <v:path/>
                  <v:fill on="f" focussize="0,0"/>
                  <v:stroke on="f" joinstyle="miter"/>
                  <v:imagedata r:id="rId38" o:title=""/>
                  <o:lock v:ext="edit" aspectratio="t"/>
                  <w10:wrap type="none"/>
                  <w10:anchorlock/>
                </v:shape>
                <o:OLEObject Type="Embed" ProgID="Equations" ShapeID="_x0000_i1029" DrawAspect="Content" ObjectID="_1468075729" r:id="rId37">
                  <o:LockedField>false</o:LockedField>
                </o:OLEObject>
              </w:object>
            </w:r>
          </w:p>
          <w:p>
            <w:pPr>
              <w:spacing w:line="360" w:lineRule="auto"/>
              <w:ind w:firstLine="482"/>
              <w:rPr>
                <w:b/>
                <w:color w:val="auto"/>
                <w:sz w:val="24"/>
              </w:rPr>
            </w:pPr>
            <w:r>
              <w:rPr>
                <w:b/>
                <w:color w:val="auto"/>
                <w:sz w:val="24"/>
              </w:rPr>
              <w:t>（3）噪声通过墙壁的隔音到达室外的声级</w:t>
            </w:r>
          </w:p>
          <w:p>
            <w:pPr>
              <w:spacing w:line="360" w:lineRule="auto"/>
              <w:ind w:firstLine="480"/>
              <w:jc w:val="center"/>
              <w:rPr>
                <w:color w:val="auto"/>
                <w:sz w:val="24"/>
              </w:rPr>
            </w:pPr>
            <w:r>
              <w:rPr>
                <w:color w:val="auto"/>
                <w:position w:val="-14"/>
                <w:sz w:val="24"/>
              </w:rPr>
              <w:object>
                <v:shape id="_x0000_i1030" o:spt="75" type="#_x0000_t75" style="height:18.9pt;width:95.25pt;" o:ole="t" filled="f" o:preferrelative="t" stroked="f" coordsize="21600,21600">
                  <v:path/>
                  <v:fill on="f" focussize="0,0"/>
                  <v:stroke on="f" joinstyle="miter"/>
                  <v:imagedata r:id="rId40" o:title=""/>
                  <o:lock v:ext="edit" aspectratio="t"/>
                  <w10:wrap type="none"/>
                  <w10:anchorlock/>
                </v:shape>
                <o:OLEObject Type="Embed" ProgID="Equations" ShapeID="_x0000_i1030" DrawAspect="Content" ObjectID="_1468075730" r:id="rId39">
                  <o:LockedField>false</o:LockedField>
                </o:OLEObject>
              </w:object>
            </w:r>
          </w:p>
          <w:p>
            <w:pPr>
              <w:spacing w:line="360" w:lineRule="auto"/>
              <w:ind w:firstLine="480"/>
              <w:rPr>
                <w:color w:val="auto"/>
                <w:sz w:val="24"/>
              </w:rPr>
            </w:pPr>
            <w:r>
              <w:rPr>
                <w:color w:val="auto"/>
                <w:sz w:val="24"/>
              </w:rPr>
              <w:t>式中：</w:t>
            </w:r>
            <w:r>
              <w:rPr>
                <w:i/>
                <w:iCs/>
                <w:color w:val="auto"/>
                <w:sz w:val="24"/>
              </w:rPr>
              <w:t>TL</w:t>
            </w:r>
            <w:r>
              <w:rPr>
                <w:color w:val="auto"/>
                <w:sz w:val="24"/>
              </w:rPr>
              <w:t>：围护结构的传声损失 dB(A)</w:t>
            </w:r>
          </w:p>
          <w:p>
            <w:pPr>
              <w:spacing w:line="360" w:lineRule="auto"/>
              <w:ind w:firstLine="482"/>
              <w:rPr>
                <w:b/>
                <w:color w:val="auto"/>
                <w:sz w:val="24"/>
              </w:rPr>
            </w:pPr>
            <w:r>
              <w:rPr>
                <w:b/>
                <w:color w:val="auto"/>
                <w:sz w:val="24"/>
              </w:rPr>
              <w:t>（4）室外噪声的衰减模式 (半自由空间)</w:t>
            </w:r>
          </w:p>
          <w:p>
            <w:pPr>
              <w:spacing w:line="360" w:lineRule="auto"/>
              <w:ind w:firstLine="480"/>
              <w:jc w:val="center"/>
              <w:rPr>
                <w:color w:val="auto"/>
                <w:sz w:val="24"/>
              </w:rPr>
            </w:pPr>
            <w:r>
              <w:rPr>
                <w:color w:val="auto"/>
                <w:position w:val="-30"/>
                <w:sz w:val="24"/>
              </w:rPr>
              <w:object>
                <v:shape id="_x0000_i1031" o:spt="75" type="#_x0000_t75" style="height:34.2pt;width:152pt;" o:ole="t" filled="f" o:preferrelative="t" stroked="f" coordsize="21600,21600">
                  <v:path/>
                  <v:fill on="f" focussize="0,0"/>
                  <v:stroke on="f" joinstyle="miter"/>
                  <v:imagedata r:id="rId42" o:title=""/>
                  <o:lock v:ext="edit" aspectratio="t"/>
                  <w10:wrap type="none"/>
                  <w10:anchorlock/>
                </v:shape>
                <o:OLEObject Type="Embed" ProgID="Equations" ShapeID="_x0000_i1031" DrawAspect="Content" ObjectID="_1468075731" r:id="rId41">
                  <o:LockedField>false</o:LockedField>
                </o:OLEObject>
              </w:object>
            </w:r>
          </w:p>
          <w:p>
            <w:pPr>
              <w:spacing w:line="360" w:lineRule="auto"/>
              <w:rPr>
                <w:color w:val="auto"/>
                <w:sz w:val="24"/>
              </w:rPr>
            </w:pPr>
            <w:r>
              <w:rPr>
                <w:color w:val="auto"/>
                <w:sz w:val="24"/>
              </w:rPr>
              <w:t>式中：</w:t>
            </w:r>
            <w:r>
              <w:rPr>
                <w:i/>
                <w:iCs/>
                <w:color w:val="auto"/>
                <w:sz w:val="24"/>
              </w:rPr>
              <w:t>Lp</w:t>
            </w:r>
            <w:r>
              <w:rPr>
                <w:color w:val="auto"/>
                <w:sz w:val="24"/>
              </w:rPr>
              <w:t>：距离声源r处的声压级， dB(A)；</w:t>
            </w:r>
          </w:p>
          <w:p>
            <w:pPr>
              <w:spacing w:line="360" w:lineRule="auto"/>
              <w:ind w:firstLine="796" w:firstLineChars="332"/>
              <w:rPr>
                <w:color w:val="auto"/>
                <w:sz w:val="24"/>
              </w:rPr>
            </w:pPr>
            <w:r>
              <w:rPr>
                <w:i/>
                <w:iCs/>
                <w:color w:val="auto"/>
                <w:sz w:val="24"/>
              </w:rPr>
              <w:t>a</w:t>
            </w:r>
            <w:r>
              <w:rPr>
                <w:color w:val="auto"/>
                <w:sz w:val="24"/>
              </w:rPr>
              <w:t>：衰减常数，dB(A)；</w:t>
            </w:r>
          </w:p>
          <w:p>
            <w:pPr>
              <w:spacing w:line="360" w:lineRule="auto"/>
              <w:ind w:firstLine="796" w:firstLineChars="332"/>
              <w:rPr>
                <w:color w:val="auto"/>
                <w:sz w:val="24"/>
              </w:rPr>
            </w:pPr>
            <w:r>
              <w:rPr>
                <w:i/>
                <w:iCs/>
                <w:color w:val="auto"/>
                <w:sz w:val="24"/>
              </w:rPr>
              <w:t>r</w:t>
            </w:r>
            <w:r>
              <w:rPr>
                <w:color w:val="auto"/>
                <w:sz w:val="24"/>
              </w:rPr>
              <w:t>：离声源的距离，m；</w:t>
            </w:r>
          </w:p>
          <w:p>
            <w:pPr>
              <w:spacing w:line="360" w:lineRule="auto"/>
              <w:ind w:firstLine="796" w:firstLineChars="332"/>
              <w:rPr>
                <w:color w:val="auto"/>
                <w:sz w:val="24"/>
              </w:rPr>
            </w:pPr>
            <w:r>
              <w:rPr>
                <w:i/>
                <w:iCs/>
                <w:color w:val="auto"/>
                <w:sz w:val="24"/>
              </w:rPr>
              <w:t>r</w:t>
            </w:r>
            <w:r>
              <w:rPr>
                <w:color w:val="auto"/>
                <w:sz w:val="24"/>
                <w:vertAlign w:val="subscript"/>
              </w:rPr>
              <w:t>2</w:t>
            </w:r>
            <w:r>
              <w:rPr>
                <w:color w:val="auto"/>
                <w:sz w:val="24"/>
              </w:rPr>
              <w:t>：参考点位置，m。</w:t>
            </w:r>
          </w:p>
          <w:p>
            <w:pPr>
              <w:spacing w:line="360" w:lineRule="auto"/>
              <w:ind w:firstLine="480"/>
              <w:rPr>
                <w:color w:val="auto"/>
                <w:sz w:val="24"/>
              </w:rPr>
            </w:pPr>
            <w:r>
              <w:rPr>
                <w:color w:val="auto"/>
                <w:sz w:val="24"/>
              </w:rPr>
              <w:t>模式中衰减参数a是与频率、温度、湿度有关的参数，具体取值见表20。为了简化计算，本报告中取值为0。</w:t>
            </w:r>
          </w:p>
          <w:p>
            <w:pPr>
              <w:pStyle w:val="131"/>
              <w:spacing w:line="360" w:lineRule="auto"/>
              <w:rPr>
                <w:rFonts w:ascii="Times New Roman" w:hAnsi="Times New Roman" w:eastAsia="宋体"/>
                <w:b/>
                <w:color w:val="auto"/>
                <w:sz w:val="24"/>
                <w:szCs w:val="24"/>
              </w:rPr>
            </w:pPr>
            <w:r>
              <w:rPr>
                <w:rFonts w:ascii="Times New Roman" w:hAnsi="Times New Roman" w:eastAsia="宋体"/>
                <w:b/>
                <w:color w:val="auto"/>
                <w:sz w:val="24"/>
                <w:szCs w:val="24"/>
              </w:rPr>
              <w:t>表20  大气中噪声传播的衰减常数a</w:t>
            </w:r>
          </w:p>
          <w:tbl>
            <w:tblPr>
              <w:tblStyle w:val="33"/>
              <w:tblW w:w="492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4"/>
              <w:gridCol w:w="1130"/>
              <w:gridCol w:w="1143"/>
              <w:gridCol w:w="1143"/>
              <w:gridCol w:w="1143"/>
              <w:gridCol w:w="1143"/>
              <w:gridCol w:w="1143"/>
              <w:gridCol w:w="11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54" w:type="pct"/>
                  <w:vMerge w:val="restart"/>
                </w:tcPr>
                <w:p>
                  <w:pPr>
                    <w:spacing w:line="360" w:lineRule="auto"/>
                    <w:jc w:val="center"/>
                    <w:rPr>
                      <w:b/>
                      <w:color w:val="auto"/>
                      <w:szCs w:val="21"/>
                    </w:rPr>
                  </w:pPr>
                  <w:r>
                    <w:rPr>
                      <w:b/>
                      <w:color w:val="auto"/>
                      <w:szCs w:val="21"/>
                    </w:rPr>
                    <w:t>温度</w:t>
                  </w:r>
                </w:p>
                <w:p>
                  <w:pPr>
                    <w:spacing w:line="360" w:lineRule="auto"/>
                    <w:jc w:val="center"/>
                    <w:rPr>
                      <w:b/>
                      <w:color w:val="auto"/>
                      <w:szCs w:val="21"/>
                    </w:rPr>
                  </w:pPr>
                  <w:r>
                    <w:rPr>
                      <w:b/>
                      <w:color w:val="auto"/>
                      <w:szCs w:val="21"/>
                    </w:rPr>
                    <w:t>(℃)</w:t>
                  </w:r>
                </w:p>
              </w:tc>
              <w:tc>
                <w:tcPr>
                  <w:tcW w:w="629" w:type="pct"/>
                  <w:vMerge w:val="restart"/>
                </w:tcPr>
                <w:p>
                  <w:pPr>
                    <w:spacing w:line="360" w:lineRule="auto"/>
                    <w:jc w:val="center"/>
                    <w:rPr>
                      <w:b/>
                      <w:color w:val="auto"/>
                      <w:szCs w:val="21"/>
                    </w:rPr>
                  </w:pPr>
                  <w:r>
                    <w:rPr>
                      <w:b/>
                      <w:color w:val="auto"/>
                      <w:szCs w:val="21"/>
                    </w:rPr>
                    <w:t>相对湿度(%)</w:t>
                  </w:r>
                </w:p>
              </w:tc>
              <w:tc>
                <w:tcPr>
                  <w:tcW w:w="3817" w:type="pct"/>
                  <w:gridSpan w:val="6"/>
                </w:tcPr>
                <w:p>
                  <w:pPr>
                    <w:spacing w:line="360" w:lineRule="auto"/>
                    <w:jc w:val="center"/>
                    <w:rPr>
                      <w:b/>
                      <w:color w:val="auto"/>
                      <w:szCs w:val="21"/>
                    </w:rPr>
                  </w:pPr>
                  <w:r>
                    <w:rPr>
                      <w:b/>
                      <w:color w:val="auto"/>
                      <w:szCs w:val="21"/>
                    </w:rPr>
                    <w:t>频  率 （Hz）</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54" w:type="pct"/>
                  <w:vMerge w:val="continue"/>
                </w:tcPr>
                <w:p>
                  <w:pPr>
                    <w:spacing w:line="360" w:lineRule="auto"/>
                    <w:jc w:val="center"/>
                    <w:rPr>
                      <w:b/>
                      <w:color w:val="auto"/>
                      <w:szCs w:val="21"/>
                    </w:rPr>
                  </w:pPr>
                </w:p>
              </w:tc>
              <w:tc>
                <w:tcPr>
                  <w:tcW w:w="629" w:type="pct"/>
                  <w:vMerge w:val="continue"/>
                </w:tcPr>
                <w:p>
                  <w:pPr>
                    <w:spacing w:line="360" w:lineRule="auto"/>
                    <w:jc w:val="center"/>
                    <w:rPr>
                      <w:b/>
                      <w:color w:val="auto"/>
                      <w:szCs w:val="21"/>
                    </w:rPr>
                  </w:pPr>
                </w:p>
              </w:tc>
              <w:tc>
                <w:tcPr>
                  <w:tcW w:w="636" w:type="pct"/>
                </w:tcPr>
                <w:p>
                  <w:pPr>
                    <w:spacing w:line="360" w:lineRule="auto"/>
                    <w:jc w:val="center"/>
                    <w:rPr>
                      <w:b/>
                      <w:color w:val="auto"/>
                      <w:szCs w:val="21"/>
                    </w:rPr>
                  </w:pPr>
                  <w:r>
                    <w:rPr>
                      <w:b/>
                      <w:color w:val="auto"/>
                      <w:szCs w:val="21"/>
                    </w:rPr>
                    <w:t>125</w:t>
                  </w:r>
                </w:p>
              </w:tc>
              <w:tc>
                <w:tcPr>
                  <w:tcW w:w="636" w:type="pct"/>
                </w:tcPr>
                <w:p>
                  <w:pPr>
                    <w:spacing w:line="360" w:lineRule="auto"/>
                    <w:jc w:val="center"/>
                    <w:rPr>
                      <w:b/>
                      <w:color w:val="auto"/>
                      <w:szCs w:val="21"/>
                    </w:rPr>
                  </w:pPr>
                  <w:r>
                    <w:rPr>
                      <w:b/>
                      <w:color w:val="auto"/>
                      <w:szCs w:val="21"/>
                    </w:rPr>
                    <w:t>250</w:t>
                  </w:r>
                </w:p>
              </w:tc>
              <w:tc>
                <w:tcPr>
                  <w:tcW w:w="636" w:type="pct"/>
                </w:tcPr>
                <w:p>
                  <w:pPr>
                    <w:spacing w:line="360" w:lineRule="auto"/>
                    <w:jc w:val="center"/>
                    <w:rPr>
                      <w:b/>
                      <w:color w:val="auto"/>
                      <w:szCs w:val="21"/>
                    </w:rPr>
                  </w:pPr>
                  <w:r>
                    <w:rPr>
                      <w:b/>
                      <w:color w:val="auto"/>
                      <w:szCs w:val="21"/>
                    </w:rPr>
                    <w:t>500</w:t>
                  </w:r>
                </w:p>
              </w:tc>
              <w:tc>
                <w:tcPr>
                  <w:tcW w:w="636" w:type="pct"/>
                </w:tcPr>
                <w:p>
                  <w:pPr>
                    <w:spacing w:line="360" w:lineRule="auto"/>
                    <w:jc w:val="center"/>
                    <w:rPr>
                      <w:b/>
                      <w:color w:val="auto"/>
                      <w:szCs w:val="21"/>
                    </w:rPr>
                  </w:pPr>
                  <w:r>
                    <w:rPr>
                      <w:b/>
                      <w:color w:val="auto"/>
                      <w:szCs w:val="21"/>
                    </w:rPr>
                    <w:t>1000</w:t>
                  </w:r>
                </w:p>
              </w:tc>
              <w:tc>
                <w:tcPr>
                  <w:tcW w:w="636" w:type="pct"/>
                </w:tcPr>
                <w:p>
                  <w:pPr>
                    <w:spacing w:line="360" w:lineRule="auto"/>
                    <w:jc w:val="center"/>
                    <w:rPr>
                      <w:b/>
                      <w:color w:val="auto"/>
                      <w:szCs w:val="21"/>
                    </w:rPr>
                  </w:pPr>
                  <w:r>
                    <w:rPr>
                      <w:b/>
                      <w:color w:val="auto"/>
                      <w:szCs w:val="21"/>
                    </w:rPr>
                    <w:t>2000</w:t>
                  </w:r>
                </w:p>
              </w:tc>
              <w:tc>
                <w:tcPr>
                  <w:tcW w:w="638" w:type="pct"/>
                </w:tcPr>
                <w:p>
                  <w:pPr>
                    <w:spacing w:line="360" w:lineRule="auto"/>
                    <w:jc w:val="center"/>
                    <w:rPr>
                      <w:b/>
                      <w:color w:val="auto"/>
                      <w:szCs w:val="21"/>
                    </w:rPr>
                  </w:pPr>
                  <w:r>
                    <w:rPr>
                      <w:b/>
                      <w:color w:val="auto"/>
                      <w:szCs w:val="21"/>
                    </w:rPr>
                    <w:t>4000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54" w:type="pct"/>
                  <w:vMerge w:val="restart"/>
                  <w:vAlign w:val="center"/>
                </w:tcPr>
                <w:p>
                  <w:pPr>
                    <w:spacing w:line="360" w:lineRule="auto"/>
                    <w:jc w:val="center"/>
                    <w:rPr>
                      <w:color w:val="auto"/>
                      <w:szCs w:val="21"/>
                    </w:rPr>
                  </w:pPr>
                  <w:r>
                    <w:rPr>
                      <w:color w:val="auto"/>
                      <w:szCs w:val="21"/>
                    </w:rPr>
                    <w:t>30</w:t>
                  </w:r>
                </w:p>
              </w:tc>
              <w:tc>
                <w:tcPr>
                  <w:tcW w:w="629" w:type="pct"/>
                  <w:vAlign w:val="center"/>
                </w:tcPr>
                <w:p>
                  <w:pPr>
                    <w:spacing w:line="360" w:lineRule="auto"/>
                    <w:jc w:val="center"/>
                    <w:rPr>
                      <w:color w:val="auto"/>
                      <w:szCs w:val="21"/>
                    </w:rPr>
                  </w:pPr>
                  <w:r>
                    <w:rPr>
                      <w:color w:val="auto"/>
                      <w:szCs w:val="21"/>
                    </w:rPr>
                    <w:t>10</w:t>
                  </w:r>
                </w:p>
              </w:tc>
              <w:tc>
                <w:tcPr>
                  <w:tcW w:w="636" w:type="pct"/>
                  <w:vAlign w:val="center"/>
                </w:tcPr>
                <w:p>
                  <w:pPr>
                    <w:spacing w:line="360" w:lineRule="auto"/>
                    <w:jc w:val="center"/>
                    <w:rPr>
                      <w:color w:val="auto"/>
                      <w:szCs w:val="21"/>
                    </w:rPr>
                  </w:pPr>
                  <w:r>
                    <w:rPr>
                      <w:color w:val="auto"/>
                      <w:szCs w:val="21"/>
                    </w:rPr>
                    <w:t>0.0009</w:t>
                  </w:r>
                </w:p>
              </w:tc>
              <w:tc>
                <w:tcPr>
                  <w:tcW w:w="636" w:type="pct"/>
                  <w:vAlign w:val="center"/>
                </w:tcPr>
                <w:p>
                  <w:pPr>
                    <w:spacing w:line="360" w:lineRule="auto"/>
                    <w:jc w:val="center"/>
                    <w:rPr>
                      <w:color w:val="auto"/>
                      <w:szCs w:val="21"/>
                    </w:rPr>
                  </w:pPr>
                  <w:r>
                    <w:rPr>
                      <w:color w:val="auto"/>
                      <w:szCs w:val="21"/>
                    </w:rPr>
                    <w:t>0.0019</w:t>
                  </w:r>
                </w:p>
              </w:tc>
              <w:tc>
                <w:tcPr>
                  <w:tcW w:w="636" w:type="pct"/>
                  <w:vAlign w:val="center"/>
                </w:tcPr>
                <w:p>
                  <w:pPr>
                    <w:spacing w:line="360" w:lineRule="auto"/>
                    <w:jc w:val="center"/>
                    <w:rPr>
                      <w:color w:val="auto"/>
                      <w:szCs w:val="21"/>
                    </w:rPr>
                  </w:pPr>
                  <w:r>
                    <w:rPr>
                      <w:color w:val="auto"/>
                      <w:szCs w:val="21"/>
                    </w:rPr>
                    <w:t>0.0035</w:t>
                  </w:r>
                </w:p>
              </w:tc>
              <w:tc>
                <w:tcPr>
                  <w:tcW w:w="636" w:type="pct"/>
                  <w:vAlign w:val="center"/>
                </w:tcPr>
                <w:p>
                  <w:pPr>
                    <w:spacing w:line="360" w:lineRule="auto"/>
                    <w:jc w:val="center"/>
                    <w:rPr>
                      <w:color w:val="auto"/>
                      <w:szCs w:val="21"/>
                    </w:rPr>
                  </w:pPr>
                  <w:r>
                    <w:rPr>
                      <w:color w:val="auto"/>
                      <w:szCs w:val="21"/>
                    </w:rPr>
                    <w:t>0.0082</w:t>
                  </w:r>
                </w:p>
              </w:tc>
              <w:tc>
                <w:tcPr>
                  <w:tcW w:w="636" w:type="pct"/>
                  <w:vAlign w:val="center"/>
                </w:tcPr>
                <w:p>
                  <w:pPr>
                    <w:spacing w:line="360" w:lineRule="auto"/>
                    <w:jc w:val="center"/>
                    <w:rPr>
                      <w:color w:val="auto"/>
                      <w:szCs w:val="21"/>
                    </w:rPr>
                  </w:pPr>
                  <w:r>
                    <w:rPr>
                      <w:color w:val="auto"/>
                      <w:szCs w:val="21"/>
                    </w:rPr>
                    <w:t>0.026</w:t>
                  </w:r>
                </w:p>
              </w:tc>
              <w:tc>
                <w:tcPr>
                  <w:tcW w:w="638" w:type="pct"/>
                  <w:vAlign w:val="center"/>
                </w:tcPr>
                <w:p>
                  <w:pPr>
                    <w:spacing w:line="360" w:lineRule="auto"/>
                    <w:jc w:val="center"/>
                    <w:rPr>
                      <w:color w:val="auto"/>
                      <w:szCs w:val="21"/>
                    </w:rPr>
                  </w:pPr>
                  <w:r>
                    <w:rPr>
                      <w:color w:val="auto"/>
                      <w:szCs w:val="21"/>
                    </w:rPr>
                    <w:t>0.088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54" w:type="pct"/>
                  <w:vMerge w:val="continue"/>
                  <w:vAlign w:val="center"/>
                </w:tcPr>
                <w:p>
                  <w:pPr>
                    <w:spacing w:line="360" w:lineRule="auto"/>
                    <w:jc w:val="center"/>
                    <w:rPr>
                      <w:color w:val="auto"/>
                      <w:szCs w:val="21"/>
                    </w:rPr>
                  </w:pPr>
                </w:p>
              </w:tc>
              <w:tc>
                <w:tcPr>
                  <w:tcW w:w="629" w:type="pct"/>
                  <w:vAlign w:val="center"/>
                </w:tcPr>
                <w:p>
                  <w:pPr>
                    <w:spacing w:line="360" w:lineRule="auto"/>
                    <w:jc w:val="center"/>
                    <w:rPr>
                      <w:color w:val="auto"/>
                      <w:szCs w:val="21"/>
                    </w:rPr>
                  </w:pPr>
                  <w:r>
                    <w:rPr>
                      <w:color w:val="auto"/>
                      <w:szCs w:val="21"/>
                    </w:rPr>
                    <w:t>20</w:t>
                  </w:r>
                </w:p>
              </w:tc>
              <w:tc>
                <w:tcPr>
                  <w:tcW w:w="636" w:type="pct"/>
                  <w:vAlign w:val="center"/>
                </w:tcPr>
                <w:p>
                  <w:pPr>
                    <w:spacing w:line="360" w:lineRule="auto"/>
                    <w:jc w:val="center"/>
                    <w:rPr>
                      <w:color w:val="auto"/>
                      <w:szCs w:val="21"/>
                    </w:rPr>
                  </w:pPr>
                  <w:r>
                    <w:rPr>
                      <w:color w:val="auto"/>
                      <w:szCs w:val="21"/>
                    </w:rPr>
                    <w:t>0.0006</w:t>
                  </w:r>
                </w:p>
              </w:tc>
              <w:tc>
                <w:tcPr>
                  <w:tcW w:w="636" w:type="pct"/>
                  <w:vAlign w:val="center"/>
                </w:tcPr>
                <w:p>
                  <w:pPr>
                    <w:spacing w:line="360" w:lineRule="auto"/>
                    <w:jc w:val="center"/>
                    <w:rPr>
                      <w:color w:val="auto"/>
                      <w:szCs w:val="21"/>
                    </w:rPr>
                  </w:pPr>
                  <w:r>
                    <w:rPr>
                      <w:color w:val="auto"/>
                      <w:szCs w:val="21"/>
                    </w:rPr>
                    <w:t>0.0018</w:t>
                  </w:r>
                </w:p>
              </w:tc>
              <w:tc>
                <w:tcPr>
                  <w:tcW w:w="636" w:type="pct"/>
                  <w:vAlign w:val="center"/>
                </w:tcPr>
                <w:p>
                  <w:pPr>
                    <w:spacing w:line="360" w:lineRule="auto"/>
                    <w:jc w:val="center"/>
                    <w:rPr>
                      <w:color w:val="auto"/>
                      <w:szCs w:val="21"/>
                    </w:rPr>
                  </w:pPr>
                  <w:r>
                    <w:rPr>
                      <w:color w:val="auto"/>
                      <w:szCs w:val="21"/>
                    </w:rPr>
                    <w:t>0.0037</w:t>
                  </w:r>
                </w:p>
              </w:tc>
              <w:tc>
                <w:tcPr>
                  <w:tcW w:w="636" w:type="pct"/>
                  <w:vAlign w:val="center"/>
                </w:tcPr>
                <w:p>
                  <w:pPr>
                    <w:spacing w:line="360" w:lineRule="auto"/>
                    <w:jc w:val="center"/>
                    <w:rPr>
                      <w:color w:val="auto"/>
                      <w:szCs w:val="21"/>
                    </w:rPr>
                  </w:pPr>
                  <w:r>
                    <w:rPr>
                      <w:color w:val="auto"/>
                      <w:szCs w:val="21"/>
                    </w:rPr>
                    <w:t>0.0064</w:t>
                  </w:r>
                </w:p>
              </w:tc>
              <w:tc>
                <w:tcPr>
                  <w:tcW w:w="636" w:type="pct"/>
                  <w:vAlign w:val="center"/>
                </w:tcPr>
                <w:p>
                  <w:pPr>
                    <w:spacing w:line="360" w:lineRule="auto"/>
                    <w:jc w:val="center"/>
                    <w:rPr>
                      <w:color w:val="auto"/>
                      <w:szCs w:val="21"/>
                    </w:rPr>
                  </w:pPr>
                  <w:r>
                    <w:rPr>
                      <w:color w:val="auto"/>
                      <w:szCs w:val="21"/>
                    </w:rPr>
                    <w:t>0.014</w:t>
                  </w:r>
                </w:p>
              </w:tc>
              <w:tc>
                <w:tcPr>
                  <w:tcW w:w="638" w:type="pct"/>
                  <w:vAlign w:val="center"/>
                </w:tcPr>
                <w:p>
                  <w:pPr>
                    <w:spacing w:line="360" w:lineRule="auto"/>
                    <w:jc w:val="center"/>
                    <w:rPr>
                      <w:color w:val="auto"/>
                      <w:szCs w:val="21"/>
                    </w:rPr>
                  </w:pPr>
                  <w:r>
                    <w:rPr>
                      <w:color w:val="auto"/>
                      <w:szCs w:val="21"/>
                    </w:rPr>
                    <w:t>0.044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54" w:type="pct"/>
                  <w:vMerge w:val="continue"/>
                  <w:vAlign w:val="center"/>
                </w:tcPr>
                <w:p>
                  <w:pPr>
                    <w:spacing w:line="360" w:lineRule="auto"/>
                    <w:jc w:val="center"/>
                    <w:rPr>
                      <w:color w:val="auto"/>
                      <w:szCs w:val="21"/>
                    </w:rPr>
                  </w:pPr>
                </w:p>
              </w:tc>
              <w:tc>
                <w:tcPr>
                  <w:tcW w:w="629" w:type="pct"/>
                  <w:vAlign w:val="center"/>
                </w:tcPr>
                <w:p>
                  <w:pPr>
                    <w:spacing w:line="360" w:lineRule="auto"/>
                    <w:jc w:val="center"/>
                    <w:rPr>
                      <w:color w:val="auto"/>
                      <w:szCs w:val="21"/>
                    </w:rPr>
                  </w:pPr>
                  <w:r>
                    <w:rPr>
                      <w:color w:val="auto"/>
                      <w:szCs w:val="21"/>
                    </w:rPr>
                    <w:t>30</w:t>
                  </w:r>
                </w:p>
              </w:tc>
              <w:tc>
                <w:tcPr>
                  <w:tcW w:w="636" w:type="pct"/>
                  <w:vAlign w:val="center"/>
                </w:tcPr>
                <w:p>
                  <w:pPr>
                    <w:spacing w:line="360" w:lineRule="auto"/>
                    <w:jc w:val="center"/>
                    <w:rPr>
                      <w:color w:val="auto"/>
                      <w:szCs w:val="21"/>
                    </w:rPr>
                  </w:pPr>
                  <w:r>
                    <w:rPr>
                      <w:color w:val="auto"/>
                      <w:szCs w:val="21"/>
                    </w:rPr>
                    <w:t>0.0004</w:t>
                  </w:r>
                </w:p>
              </w:tc>
              <w:tc>
                <w:tcPr>
                  <w:tcW w:w="636" w:type="pct"/>
                  <w:vAlign w:val="center"/>
                </w:tcPr>
                <w:p>
                  <w:pPr>
                    <w:spacing w:line="360" w:lineRule="auto"/>
                    <w:jc w:val="center"/>
                    <w:rPr>
                      <w:color w:val="auto"/>
                      <w:szCs w:val="21"/>
                    </w:rPr>
                  </w:pPr>
                  <w:r>
                    <w:rPr>
                      <w:color w:val="auto"/>
                      <w:szCs w:val="21"/>
                    </w:rPr>
                    <w:t>0.0015</w:t>
                  </w:r>
                </w:p>
              </w:tc>
              <w:tc>
                <w:tcPr>
                  <w:tcW w:w="636" w:type="pct"/>
                  <w:vAlign w:val="center"/>
                </w:tcPr>
                <w:p>
                  <w:pPr>
                    <w:spacing w:line="360" w:lineRule="auto"/>
                    <w:jc w:val="center"/>
                    <w:rPr>
                      <w:color w:val="auto"/>
                      <w:szCs w:val="21"/>
                    </w:rPr>
                  </w:pPr>
                  <w:r>
                    <w:rPr>
                      <w:color w:val="auto"/>
                      <w:szCs w:val="21"/>
                    </w:rPr>
                    <w:t>0.0038</w:t>
                  </w:r>
                </w:p>
              </w:tc>
              <w:tc>
                <w:tcPr>
                  <w:tcW w:w="636" w:type="pct"/>
                  <w:vAlign w:val="center"/>
                </w:tcPr>
                <w:p>
                  <w:pPr>
                    <w:spacing w:line="360" w:lineRule="auto"/>
                    <w:jc w:val="center"/>
                    <w:rPr>
                      <w:color w:val="auto"/>
                      <w:szCs w:val="21"/>
                    </w:rPr>
                  </w:pPr>
                  <w:r>
                    <w:rPr>
                      <w:color w:val="auto"/>
                      <w:szCs w:val="21"/>
                    </w:rPr>
                    <w:t>0.0068</w:t>
                  </w:r>
                </w:p>
              </w:tc>
              <w:tc>
                <w:tcPr>
                  <w:tcW w:w="636" w:type="pct"/>
                  <w:vAlign w:val="center"/>
                </w:tcPr>
                <w:p>
                  <w:pPr>
                    <w:spacing w:line="360" w:lineRule="auto"/>
                    <w:jc w:val="center"/>
                    <w:rPr>
                      <w:color w:val="auto"/>
                      <w:szCs w:val="21"/>
                    </w:rPr>
                  </w:pPr>
                  <w:r>
                    <w:rPr>
                      <w:color w:val="auto"/>
                      <w:szCs w:val="21"/>
                    </w:rPr>
                    <w:t>0.012</w:t>
                  </w:r>
                </w:p>
              </w:tc>
              <w:tc>
                <w:tcPr>
                  <w:tcW w:w="638" w:type="pct"/>
                  <w:vAlign w:val="center"/>
                </w:tcPr>
                <w:p>
                  <w:pPr>
                    <w:spacing w:line="360" w:lineRule="auto"/>
                    <w:jc w:val="center"/>
                    <w:rPr>
                      <w:color w:val="auto"/>
                      <w:szCs w:val="21"/>
                    </w:rPr>
                  </w:pPr>
                  <w:r>
                    <w:rPr>
                      <w:color w:val="auto"/>
                      <w:szCs w:val="21"/>
                    </w:rPr>
                    <w:t>0.032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54" w:type="pct"/>
                  <w:vMerge w:val="continue"/>
                  <w:vAlign w:val="center"/>
                </w:tcPr>
                <w:p>
                  <w:pPr>
                    <w:spacing w:line="360" w:lineRule="auto"/>
                    <w:jc w:val="center"/>
                    <w:rPr>
                      <w:color w:val="auto"/>
                      <w:szCs w:val="21"/>
                    </w:rPr>
                  </w:pPr>
                </w:p>
              </w:tc>
              <w:tc>
                <w:tcPr>
                  <w:tcW w:w="629" w:type="pct"/>
                  <w:vAlign w:val="center"/>
                </w:tcPr>
                <w:p>
                  <w:pPr>
                    <w:spacing w:line="360" w:lineRule="auto"/>
                    <w:jc w:val="center"/>
                    <w:rPr>
                      <w:color w:val="auto"/>
                      <w:szCs w:val="21"/>
                    </w:rPr>
                  </w:pPr>
                  <w:r>
                    <w:rPr>
                      <w:color w:val="auto"/>
                      <w:szCs w:val="21"/>
                    </w:rPr>
                    <w:t>50</w:t>
                  </w:r>
                </w:p>
              </w:tc>
              <w:tc>
                <w:tcPr>
                  <w:tcW w:w="636" w:type="pct"/>
                  <w:vAlign w:val="center"/>
                </w:tcPr>
                <w:p>
                  <w:pPr>
                    <w:spacing w:line="360" w:lineRule="auto"/>
                    <w:jc w:val="center"/>
                    <w:rPr>
                      <w:color w:val="auto"/>
                      <w:szCs w:val="21"/>
                    </w:rPr>
                  </w:pPr>
                  <w:r>
                    <w:rPr>
                      <w:color w:val="auto"/>
                      <w:szCs w:val="21"/>
                    </w:rPr>
                    <w:t>0.0003</w:t>
                  </w:r>
                </w:p>
              </w:tc>
              <w:tc>
                <w:tcPr>
                  <w:tcW w:w="636" w:type="pct"/>
                  <w:vAlign w:val="center"/>
                </w:tcPr>
                <w:p>
                  <w:pPr>
                    <w:spacing w:line="360" w:lineRule="auto"/>
                    <w:jc w:val="center"/>
                    <w:rPr>
                      <w:color w:val="auto"/>
                      <w:szCs w:val="21"/>
                    </w:rPr>
                  </w:pPr>
                  <w:r>
                    <w:rPr>
                      <w:color w:val="auto"/>
                      <w:szCs w:val="21"/>
                    </w:rPr>
                    <w:t>0.0010</w:t>
                  </w:r>
                </w:p>
              </w:tc>
              <w:tc>
                <w:tcPr>
                  <w:tcW w:w="636" w:type="pct"/>
                  <w:vAlign w:val="center"/>
                </w:tcPr>
                <w:p>
                  <w:pPr>
                    <w:spacing w:line="360" w:lineRule="auto"/>
                    <w:jc w:val="center"/>
                    <w:rPr>
                      <w:color w:val="auto"/>
                      <w:szCs w:val="21"/>
                    </w:rPr>
                  </w:pPr>
                  <w:r>
                    <w:rPr>
                      <w:color w:val="auto"/>
                      <w:szCs w:val="21"/>
                    </w:rPr>
                    <w:t>0.0033</w:t>
                  </w:r>
                </w:p>
              </w:tc>
              <w:tc>
                <w:tcPr>
                  <w:tcW w:w="636" w:type="pct"/>
                  <w:vAlign w:val="center"/>
                </w:tcPr>
                <w:p>
                  <w:pPr>
                    <w:spacing w:line="360" w:lineRule="auto"/>
                    <w:jc w:val="center"/>
                    <w:rPr>
                      <w:color w:val="auto"/>
                      <w:szCs w:val="21"/>
                    </w:rPr>
                  </w:pPr>
                  <w:r>
                    <w:rPr>
                      <w:color w:val="auto"/>
                      <w:szCs w:val="21"/>
                    </w:rPr>
                    <w:t>0.0075</w:t>
                  </w:r>
                </w:p>
              </w:tc>
              <w:tc>
                <w:tcPr>
                  <w:tcW w:w="636" w:type="pct"/>
                  <w:vAlign w:val="center"/>
                </w:tcPr>
                <w:p>
                  <w:pPr>
                    <w:spacing w:line="360" w:lineRule="auto"/>
                    <w:jc w:val="center"/>
                    <w:rPr>
                      <w:color w:val="auto"/>
                      <w:szCs w:val="21"/>
                    </w:rPr>
                  </w:pPr>
                  <w:r>
                    <w:rPr>
                      <w:color w:val="auto"/>
                      <w:szCs w:val="21"/>
                    </w:rPr>
                    <w:t>0.013</w:t>
                  </w:r>
                </w:p>
              </w:tc>
              <w:tc>
                <w:tcPr>
                  <w:tcW w:w="638" w:type="pct"/>
                  <w:vAlign w:val="center"/>
                </w:tcPr>
                <w:p>
                  <w:pPr>
                    <w:spacing w:line="360" w:lineRule="auto"/>
                    <w:jc w:val="center"/>
                    <w:rPr>
                      <w:color w:val="auto"/>
                      <w:szCs w:val="21"/>
                    </w:rPr>
                  </w:pPr>
                  <w:r>
                    <w:rPr>
                      <w:color w:val="auto"/>
                      <w:szCs w:val="21"/>
                    </w:rPr>
                    <w:t>0.025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54" w:type="pct"/>
                  <w:vMerge w:val="continue"/>
                  <w:vAlign w:val="center"/>
                </w:tcPr>
                <w:p>
                  <w:pPr>
                    <w:spacing w:line="360" w:lineRule="auto"/>
                    <w:jc w:val="center"/>
                    <w:rPr>
                      <w:color w:val="auto"/>
                      <w:szCs w:val="21"/>
                    </w:rPr>
                  </w:pPr>
                </w:p>
              </w:tc>
              <w:tc>
                <w:tcPr>
                  <w:tcW w:w="629" w:type="pct"/>
                  <w:vAlign w:val="center"/>
                </w:tcPr>
                <w:p>
                  <w:pPr>
                    <w:spacing w:line="360" w:lineRule="auto"/>
                    <w:jc w:val="center"/>
                    <w:rPr>
                      <w:color w:val="auto"/>
                      <w:szCs w:val="21"/>
                    </w:rPr>
                  </w:pPr>
                  <w:r>
                    <w:rPr>
                      <w:color w:val="auto"/>
                      <w:szCs w:val="21"/>
                    </w:rPr>
                    <w:t>70</w:t>
                  </w:r>
                </w:p>
              </w:tc>
              <w:tc>
                <w:tcPr>
                  <w:tcW w:w="636" w:type="pct"/>
                  <w:vAlign w:val="center"/>
                </w:tcPr>
                <w:p>
                  <w:pPr>
                    <w:spacing w:line="360" w:lineRule="auto"/>
                    <w:jc w:val="center"/>
                    <w:rPr>
                      <w:color w:val="auto"/>
                      <w:szCs w:val="21"/>
                    </w:rPr>
                  </w:pPr>
                  <w:r>
                    <w:rPr>
                      <w:color w:val="auto"/>
                      <w:szCs w:val="21"/>
                    </w:rPr>
                    <w:t>0.0002</w:t>
                  </w:r>
                </w:p>
              </w:tc>
              <w:tc>
                <w:tcPr>
                  <w:tcW w:w="636" w:type="pct"/>
                  <w:vAlign w:val="center"/>
                </w:tcPr>
                <w:p>
                  <w:pPr>
                    <w:spacing w:line="360" w:lineRule="auto"/>
                    <w:jc w:val="center"/>
                    <w:rPr>
                      <w:color w:val="auto"/>
                      <w:szCs w:val="21"/>
                    </w:rPr>
                  </w:pPr>
                  <w:r>
                    <w:rPr>
                      <w:color w:val="auto"/>
                      <w:szCs w:val="21"/>
                    </w:rPr>
                    <w:t>0.0008</w:t>
                  </w:r>
                </w:p>
              </w:tc>
              <w:tc>
                <w:tcPr>
                  <w:tcW w:w="636" w:type="pct"/>
                  <w:vAlign w:val="center"/>
                </w:tcPr>
                <w:p>
                  <w:pPr>
                    <w:spacing w:line="360" w:lineRule="auto"/>
                    <w:jc w:val="center"/>
                    <w:rPr>
                      <w:color w:val="auto"/>
                      <w:szCs w:val="21"/>
                    </w:rPr>
                  </w:pPr>
                  <w:r>
                    <w:rPr>
                      <w:color w:val="auto"/>
                      <w:szCs w:val="21"/>
                    </w:rPr>
                    <w:t>0.0027</w:t>
                  </w:r>
                </w:p>
              </w:tc>
              <w:tc>
                <w:tcPr>
                  <w:tcW w:w="636" w:type="pct"/>
                  <w:vAlign w:val="center"/>
                </w:tcPr>
                <w:p>
                  <w:pPr>
                    <w:spacing w:line="360" w:lineRule="auto"/>
                    <w:jc w:val="center"/>
                    <w:rPr>
                      <w:color w:val="auto"/>
                      <w:szCs w:val="21"/>
                    </w:rPr>
                  </w:pPr>
                  <w:r>
                    <w:rPr>
                      <w:color w:val="auto"/>
                      <w:szCs w:val="21"/>
                    </w:rPr>
                    <w:t>0.0074</w:t>
                  </w:r>
                </w:p>
              </w:tc>
              <w:tc>
                <w:tcPr>
                  <w:tcW w:w="636" w:type="pct"/>
                  <w:vAlign w:val="center"/>
                </w:tcPr>
                <w:p>
                  <w:pPr>
                    <w:spacing w:line="360" w:lineRule="auto"/>
                    <w:jc w:val="center"/>
                    <w:rPr>
                      <w:color w:val="auto"/>
                      <w:szCs w:val="21"/>
                    </w:rPr>
                  </w:pPr>
                  <w:r>
                    <w:rPr>
                      <w:color w:val="auto"/>
                      <w:szCs w:val="21"/>
                    </w:rPr>
                    <w:t>0.0014</w:t>
                  </w:r>
                </w:p>
              </w:tc>
              <w:tc>
                <w:tcPr>
                  <w:tcW w:w="638" w:type="pct"/>
                  <w:vAlign w:val="center"/>
                </w:tcPr>
                <w:p>
                  <w:pPr>
                    <w:spacing w:line="360" w:lineRule="auto"/>
                    <w:jc w:val="center"/>
                    <w:rPr>
                      <w:color w:val="auto"/>
                      <w:szCs w:val="21"/>
                    </w:rPr>
                  </w:pPr>
                  <w:r>
                    <w:rPr>
                      <w:color w:val="auto"/>
                      <w:szCs w:val="21"/>
                    </w:rPr>
                    <w:t>0.025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54" w:type="pct"/>
                  <w:vMerge w:val="continue"/>
                  <w:vAlign w:val="center"/>
                </w:tcPr>
                <w:p>
                  <w:pPr>
                    <w:spacing w:line="360" w:lineRule="auto"/>
                    <w:jc w:val="center"/>
                    <w:rPr>
                      <w:color w:val="auto"/>
                      <w:szCs w:val="21"/>
                    </w:rPr>
                  </w:pPr>
                </w:p>
              </w:tc>
              <w:tc>
                <w:tcPr>
                  <w:tcW w:w="629" w:type="pct"/>
                  <w:vAlign w:val="center"/>
                </w:tcPr>
                <w:p>
                  <w:pPr>
                    <w:spacing w:line="360" w:lineRule="auto"/>
                    <w:jc w:val="center"/>
                    <w:rPr>
                      <w:color w:val="auto"/>
                      <w:szCs w:val="21"/>
                    </w:rPr>
                  </w:pPr>
                  <w:r>
                    <w:rPr>
                      <w:color w:val="auto"/>
                      <w:szCs w:val="21"/>
                    </w:rPr>
                    <w:t>90</w:t>
                  </w:r>
                </w:p>
              </w:tc>
              <w:tc>
                <w:tcPr>
                  <w:tcW w:w="636" w:type="pct"/>
                  <w:vAlign w:val="center"/>
                </w:tcPr>
                <w:p>
                  <w:pPr>
                    <w:spacing w:line="360" w:lineRule="auto"/>
                    <w:jc w:val="center"/>
                    <w:rPr>
                      <w:color w:val="auto"/>
                      <w:szCs w:val="21"/>
                    </w:rPr>
                  </w:pPr>
                  <w:r>
                    <w:rPr>
                      <w:color w:val="auto"/>
                      <w:szCs w:val="21"/>
                    </w:rPr>
                    <w:t>0.0002</w:t>
                  </w:r>
                </w:p>
              </w:tc>
              <w:tc>
                <w:tcPr>
                  <w:tcW w:w="636" w:type="pct"/>
                  <w:vAlign w:val="center"/>
                </w:tcPr>
                <w:p>
                  <w:pPr>
                    <w:spacing w:line="360" w:lineRule="auto"/>
                    <w:jc w:val="center"/>
                    <w:rPr>
                      <w:color w:val="auto"/>
                      <w:szCs w:val="21"/>
                    </w:rPr>
                  </w:pPr>
                  <w:r>
                    <w:rPr>
                      <w:color w:val="auto"/>
                      <w:szCs w:val="21"/>
                    </w:rPr>
                    <w:t>0.006</w:t>
                  </w:r>
                </w:p>
              </w:tc>
              <w:tc>
                <w:tcPr>
                  <w:tcW w:w="636" w:type="pct"/>
                  <w:vAlign w:val="center"/>
                </w:tcPr>
                <w:p>
                  <w:pPr>
                    <w:spacing w:line="360" w:lineRule="auto"/>
                    <w:jc w:val="center"/>
                    <w:rPr>
                      <w:color w:val="auto"/>
                      <w:szCs w:val="21"/>
                    </w:rPr>
                  </w:pPr>
                  <w:r>
                    <w:rPr>
                      <w:color w:val="auto"/>
                      <w:szCs w:val="21"/>
                    </w:rPr>
                    <w:t>0.0024</w:t>
                  </w:r>
                </w:p>
              </w:tc>
              <w:tc>
                <w:tcPr>
                  <w:tcW w:w="636" w:type="pct"/>
                  <w:vAlign w:val="center"/>
                </w:tcPr>
                <w:p>
                  <w:pPr>
                    <w:spacing w:line="360" w:lineRule="auto"/>
                    <w:jc w:val="center"/>
                    <w:rPr>
                      <w:color w:val="auto"/>
                      <w:szCs w:val="21"/>
                    </w:rPr>
                  </w:pPr>
                  <w:r>
                    <w:rPr>
                      <w:color w:val="auto"/>
                      <w:szCs w:val="21"/>
                    </w:rPr>
                    <w:t>0.0070</w:t>
                  </w:r>
                </w:p>
              </w:tc>
              <w:tc>
                <w:tcPr>
                  <w:tcW w:w="636" w:type="pct"/>
                  <w:vAlign w:val="center"/>
                </w:tcPr>
                <w:p>
                  <w:pPr>
                    <w:spacing w:line="360" w:lineRule="auto"/>
                    <w:jc w:val="center"/>
                    <w:rPr>
                      <w:color w:val="auto"/>
                      <w:szCs w:val="21"/>
                    </w:rPr>
                  </w:pPr>
                  <w:r>
                    <w:rPr>
                      <w:color w:val="auto"/>
                      <w:szCs w:val="21"/>
                    </w:rPr>
                    <w:t>0.0015</w:t>
                  </w:r>
                </w:p>
              </w:tc>
              <w:tc>
                <w:tcPr>
                  <w:tcW w:w="638" w:type="pct"/>
                  <w:vAlign w:val="center"/>
                </w:tcPr>
                <w:p>
                  <w:pPr>
                    <w:spacing w:line="360" w:lineRule="auto"/>
                    <w:jc w:val="center"/>
                    <w:rPr>
                      <w:color w:val="auto"/>
                      <w:szCs w:val="21"/>
                    </w:rPr>
                  </w:pPr>
                  <w:r>
                    <w:rPr>
                      <w:color w:val="auto"/>
                      <w:szCs w:val="21"/>
                    </w:rPr>
                    <w:t>0.026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54" w:type="pct"/>
                  <w:vMerge w:val="restart"/>
                  <w:vAlign w:val="center"/>
                </w:tcPr>
                <w:p>
                  <w:pPr>
                    <w:spacing w:line="360" w:lineRule="auto"/>
                    <w:jc w:val="center"/>
                    <w:rPr>
                      <w:color w:val="auto"/>
                      <w:szCs w:val="21"/>
                    </w:rPr>
                  </w:pPr>
                  <w:r>
                    <w:rPr>
                      <w:color w:val="auto"/>
                      <w:szCs w:val="21"/>
                    </w:rPr>
                    <w:t>20</w:t>
                  </w:r>
                </w:p>
              </w:tc>
              <w:tc>
                <w:tcPr>
                  <w:tcW w:w="629" w:type="pct"/>
                  <w:vAlign w:val="center"/>
                </w:tcPr>
                <w:p>
                  <w:pPr>
                    <w:spacing w:line="360" w:lineRule="auto"/>
                    <w:jc w:val="center"/>
                    <w:rPr>
                      <w:color w:val="auto"/>
                      <w:szCs w:val="21"/>
                    </w:rPr>
                  </w:pPr>
                  <w:r>
                    <w:rPr>
                      <w:color w:val="auto"/>
                      <w:szCs w:val="21"/>
                    </w:rPr>
                    <w:t>10</w:t>
                  </w:r>
                </w:p>
              </w:tc>
              <w:tc>
                <w:tcPr>
                  <w:tcW w:w="636" w:type="pct"/>
                  <w:vAlign w:val="center"/>
                </w:tcPr>
                <w:p>
                  <w:pPr>
                    <w:spacing w:line="360" w:lineRule="auto"/>
                    <w:jc w:val="center"/>
                    <w:rPr>
                      <w:color w:val="auto"/>
                      <w:szCs w:val="21"/>
                    </w:rPr>
                  </w:pPr>
                  <w:r>
                    <w:rPr>
                      <w:color w:val="auto"/>
                      <w:szCs w:val="21"/>
                    </w:rPr>
                    <w:t>0.0008</w:t>
                  </w:r>
                </w:p>
              </w:tc>
              <w:tc>
                <w:tcPr>
                  <w:tcW w:w="636" w:type="pct"/>
                  <w:vAlign w:val="center"/>
                </w:tcPr>
                <w:p>
                  <w:pPr>
                    <w:spacing w:line="360" w:lineRule="auto"/>
                    <w:jc w:val="center"/>
                    <w:rPr>
                      <w:color w:val="auto"/>
                      <w:szCs w:val="21"/>
                    </w:rPr>
                  </w:pPr>
                  <w:r>
                    <w:rPr>
                      <w:color w:val="auto"/>
                      <w:szCs w:val="21"/>
                    </w:rPr>
                    <w:t>0.0015</w:t>
                  </w:r>
                </w:p>
              </w:tc>
              <w:tc>
                <w:tcPr>
                  <w:tcW w:w="636" w:type="pct"/>
                  <w:vAlign w:val="center"/>
                </w:tcPr>
                <w:p>
                  <w:pPr>
                    <w:spacing w:line="360" w:lineRule="auto"/>
                    <w:jc w:val="center"/>
                    <w:rPr>
                      <w:color w:val="auto"/>
                      <w:szCs w:val="21"/>
                    </w:rPr>
                  </w:pPr>
                  <w:r>
                    <w:rPr>
                      <w:color w:val="auto"/>
                      <w:szCs w:val="21"/>
                    </w:rPr>
                    <w:t>0.0038</w:t>
                  </w:r>
                </w:p>
              </w:tc>
              <w:tc>
                <w:tcPr>
                  <w:tcW w:w="636" w:type="pct"/>
                  <w:vAlign w:val="center"/>
                </w:tcPr>
                <w:p>
                  <w:pPr>
                    <w:spacing w:line="360" w:lineRule="auto"/>
                    <w:jc w:val="center"/>
                    <w:rPr>
                      <w:color w:val="auto"/>
                      <w:szCs w:val="21"/>
                    </w:rPr>
                  </w:pPr>
                  <w:r>
                    <w:rPr>
                      <w:color w:val="auto"/>
                      <w:szCs w:val="21"/>
                    </w:rPr>
                    <w:t>0.0120</w:t>
                  </w:r>
                </w:p>
              </w:tc>
              <w:tc>
                <w:tcPr>
                  <w:tcW w:w="636" w:type="pct"/>
                  <w:vAlign w:val="center"/>
                </w:tcPr>
                <w:p>
                  <w:pPr>
                    <w:spacing w:line="360" w:lineRule="auto"/>
                    <w:jc w:val="center"/>
                    <w:rPr>
                      <w:color w:val="auto"/>
                      <w:szCs w:val="21"/>
                    </w:rPr>
                  </w:pPr>
                  <w:r>
                    <w:rPr>
                      <w:color w:val="auto"/>
                      <w:szCs w:val="21"/>
                    </w:rPr>
                    <w:t>0.040</w:t>
                  </w:r>
                </w:p>
              </w:tc>
              <w:tc>
                <w:tcPr>
                  <w:tcW w:w="638" w:type="pct"/>
                  <w:vAlign w:val="center"/>
                </w:tcPr>
                <w:p>
                  <w:pPr>
                    <w:spacing w:line="360" w:lineRule="auto"/>
                    <w:jc w:val="center"/>
                    <w:rPr>
                      <w:color w:val="auto"/>
                      <w:szCs w:val="21"/>
                    </w:rPr>
                  </w:pPr>
                  <w:r>
                    <w:rPr>
                      <w:color w:val="auto"/>
                      <w:szCs w:val="21"/>
                    </w:rPr>
                    <w:t>0.109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54" w:type="pct"/>
                  <w:vMerge w:val="continue"/>
                  <w:vAlign w:val="center"/>
                </w:tcPr>
                <w:p>
                  <w:pPr>
                    <w:spacing w:line="360" w:lineRule="auto"/>
                    <w:jc w:val="center"/>
                    <w:rPr>
                      <w:color w:val="auto"/>
                      <w:szCs w:val="21"/>
                    </w:rPr>
                  </w:pPr>
                </w:p>
              </w:tc>
              <w:tc>
                <w:tcPr>
                  <w:tcW w:w="629" w:type="pct"/>
                  <w:vAlign w:val="center"/>
                </w:tcPr>
                <w:p>
                  <w:pPr>
                    <w:spacing w:line="360" w:lineRule="auto"/>
                    <w:jc w:val="center"/>
                    <w:rPr>
                      <w:color w:val="auto"/>
                      <w:szCs w:val="21"/>
                    </w:rPr>
                  </w:pPr>
                  <w:r>
                    <w:rPr>
                      <w:color w:val="auto"/>
                      <w:szCs w:val="21"/>
                    </w:rPr>
                    <w:t>20</w:t>
                  </w:r>
                </w:p>
              </w:tc>
              <w:tc>
                <w:tcPr>
                  <w:tcW w:w="636" w:type="pct"/>
                  <w:vAlign w:val="center"/>
                </w:tcPr>
                <w:p>
                  <w:pPr>
                    <w:spacing w:line="360" w:lineRule="auto"/>
                    <w:jc w:val="center"/>
                    <w:rPr>
                      <w:color w:val="auto"/>
                      <w:szCs w:val="21"/>
                    </w:rPr>
                  </w:pPr>
                  <w:r>
                    <w:rPr>
                      <w:color w:val="auto"/>
                      <w:szCs w:val="21"/>
                    </w:rPr>
                    <w:t>0.0007</w:t>
                  </w:r>
                </w:p>
              </w:tc>
              <w:tc>
                <w:tcPr>
                  <w:tcW w:w="636" w:type="pct"/>
                  <w:vAlign w:val="center"/>
                </w:tcPr>
                <w:p>
                  <w:pPr>
                    <w:spacing w:line="360" w:lineRule="auto"/>
                    <w:jc w:val="center"/>
                    <w:rPr>
                      <w:color w:val="auto"/>
                      <w:szCs w:val="21"/>
                    </w:rPr>
                  </w:pPr>
                  <w:r>
                    <w:rPr>
                      <w:color w:val="auto"/>
                      <w:szCs w:val="21"/>
                    </w:rPr>
                    <w:t>0.0015</w:t>
                  </w:r>
                </w:p>
              </w:tc>
              <w:tc>
                <w:tcPr>
                  <w:tcW w:w="636" w:type="pct"/>
                  <w:vAlign w:val="center"/>
                </w:tcPr>
                <w:p>
                  <w:pPr>
                    <w:spacing w:line="360" w:lineRule="auto"/>
                    <w:jc w:val="center"/>
                    <w:rPr>
                      <w:color w:val="auto"/>
                      <w:szCs w:val="21"/>
                    </w:rPr>
                  </w:pPr>
                  <w:r>
                    <w:rPr>
                      <w:color w:val="auto"/>
                      <w:szCs w:val="21"/>
                    </w:rPr>
                    <w:t>0.0027</w:t>
                  </w:r>
                </w:p>
              </w:tc>
              <w:tc>
                <w:tcPr>
                  <w:tcW w:w="636" w:type="pct"/>
                  <w:vAlign w:val="center"/>
                </w:tcPr>
                <w:p>
                  <w:pPr>
                    <w:spacing w:line="360" w:lineRule="auto"/>
                    <w:jc w:val="center"/>
                    <w:rPr>
                      <w:color w:val="auto"/>
                      <w:szCs w:val="21"/>
                    </w:rPr>
                  </w:pPr>
                  <w:r>
                    <w:rPr>
                      <w:color w:val="auto"/>
                      <w:szCs w:val="21"/>
                    </w:rPr>
                    <w:t>0.0062</w:t>
                  </w:r>
                </w:p>
              </w:tc>
              <w:tc>
                <w:tcPr>
                  <w:tcW w:w="636" w:type="pct"/>
                  <w:vAlign w:val="center"/>
                </w:tcPr>
                <w:p>
                  <w:pPr>
                    <w:spacing w:line="360" w:lineRule="auto"/>
                    <w:jc w:val="center"/>
                    <w:rPr>
                      <w:color w:val="auto"/>
                      <w:szCs w:val="21"/>
                    </w:rPr>
                  </w:pPr>
                  <w:r>
                    <w:rPr>
                      <w:color w:val="auto"/>
                      <w:szCs w:val="21"/>
                    </w:rPr>
                    <w:t>0.019</w:t>
                  </w:r>
                </w:p>
              </w:tc>
              <w:tc>
                <w:tcPr>
                  <w:tcW w:w="638" w:type="pct"/>
                  <w:vAlign w:val="center"/>
                </w:tcPr>
                <w:p>
                  <w:pPr>
                    <w:spacing w:line="360" w:lineRule="auto"/>
                    <w:jc w:val="center"/>
                    <w:rPr>
                      <w:color w:val="auto"/>
                      <w:szCs w:val="21"/>
                    </w:rPr>
                  </w:pPr>
                  <w:r>
                    <w:rPr>
                      <w:color w:val="auto"/>
                      <w:szCs w:val="21"/>
                    </w:rPr>
                    <w:t>0.067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54" w:type="pct"/>
                  <w:vMerge w:val="continue"/>
                  <w:vAlign w:val="center"/>
                </w:tcPr>
                <w:p>
                  <w:pPr>
                    <w:spacing w:line="360" w:lineRule="auto"/>
                    <w:jc w:val="center"/>
                    <w:rPr>
                      <w:color w:val="auto"/>
                      <w:szCs w:val="21"/>
                    </w:rPr>
                  </w:pPr>
                </w:p>
              </w:tc>
              <w:tc>
                <w:tcPr>
                  <w:tcW w:w="629" w:type="pct"/>
                  <w:vAlign w:val="center"/>
                </w:tcPr>
                <w:p>
                  <w:pPr>
                    <w:spacing w:line="360" w:lineRule="auto"/>
                    <w:jc w:val="center"/>
                    <w:rPr>
                      <w:color w:val="auto"/>
                      <w:szCs w:val="21"/>
                    </w:rPr>
                  </w:pPr>
                  <w:r>
                    <w:rPr>
                      <w:color w:val="auto"/>
                      <w:szCs w:val="21"/>
                    </w:rPr>
                    <w:t>30</w:t>
                  </w:r>
                </w:p>
              </w:tc>
              <w:tc>
                <w:tcPr>
                  <w:tcW w:w="636" w:type="pct"/>
                  <w:vAlign w:val="center"/>
                </w:tcPr>
                <w:p>
                  <w:pPr>
                    <w:spacing w:line="360" w:lineRule="auto"/>
                    <w:jc w:val="center"/>
                    <w:rPr>
                      <w:color w:val="auto"/>
                      <w:szCs w:val="21"/>
                    </w:rPr>
                  </w:pPr>
                  <w:r>
                    <w:rPr>
                      <w:color w:val="auto"/>
                      <w:szCs w:val="21"/>
                    </w:rPr>
                    <w:t>0.0005</w:t>
                  </w:r>
                </w:p>
              </w:tc>
              <w:tc>
                <w:tcPr>
                  <w:tcW w:w="636" w:type="pct"/>
                  <w:vAlign w:val="center"/>
                </w:tcPr>
                <w:p>
                  <w:pPr>
                    <w:spacing w:line="360" w:lineRule="auto"/>
                    <w:jc w:val="center"/>
                    <w:rPr>
                      <w:color w:val="auto"/>
                      <w:szCs w:val="21"/>
                    </w:rPr>
                  </w:pPr>
                  <w:r>
                    <w:rPr>
                      <w:color w:val="auto"/>
                      <w:szCs w:val="21"/>
                    </w:rPr>
                    <w:t>0.0014</w:t>
                  </w:r>
                </w:p>
              </w:tc>
              <w:tc>
                <w:tcPr>
                  <w:tcW w:w="636" w:type="pct"/>
                  <w:vAlign w:val="center"/>
                </w:tcPr>
                <w:p>
                  <w:pPr>
                    <w:spacing w:line="360" w:lineRule="auto"/>
                    <w:jc w:val="center"/>
                    <w:rPr>
                      <w:color w:val="auto"/>
                      <w:szCs w:val="21"/>
                    </w:rPr>
                  </w:pPr>
                  <w:r>
                    <w:rPr>
                      <w:color w:val="auto"/>
                      <w:szCs w:val="21"/>
                    </w:rPr>
                    <w:t>0.0027</w:t>
                  </w:r>
                </w:p>
              </w:tc>
              <w:tc>
                <w:tcPr>
                  <w:tcW w:w="636" w:type="pct"/>
                  <w:vAlign w:val="center"/>
                </w:tcPr>
                <w:p>
                  <w:pPr>
                    <w:spacing w:line="360" w:lineRule="auto"/>
                    <w:jc w:val="center"/>
                    <w:rPr>
                      <w:color w:val="auto"/>
                      <w:szCs w:val="21"/>
                    </w:rPr>
                  </w:pPr>
                  <w:r>
                    <w:rPr>
                      <w:color w:val="auto"/>
                      <w:szCs w:val="21"/>
                    </w:rPr>
                    <w:t>0.0051</w:t>
                  </w:r>
                </w:p>
              </w:tc>
              <w:tc>
                <w:tcPr>
                  <w:tcW w:w="636" w:type="pct"/>
                  <w:vAlign w:val="center"/>
                </w:tcPr>
                <w:p>
                  <w:pPr>
                    <w:spacing w:line="360" w:lineRule="auto"/>
                    <w:jc w:val="center"/>
                    <w:rPr>
                      <w:color w:val="auto"/>
                      <w:szCs w:val="21"/>
                    </w:rPr>
                  </w:pPr>
                  <w:r>
                    <w:rPr>
                      <w:color w:val="auto"/>
                      <w:szCs w:val="21"/>
                    </w:rPr>
                    <w:t>0.013</w:t>
                  </w:r>
                </w:p>
              </w:tc>
              <w:tc>
                <w:tcPr>
                  <w:tcW w:w="638" w:type="pct"/>
                  <w:vAlign w:val="center"/>
                </w:tcPr>
                <w:p>
                  <w:pPr>
                    <w:spacing w:line="360" w:lineRule="auto"/>
                    <w:jc w:val="center"/>
                    <w:rPr>
                      <w:color w:val="auto"/>
                      <w:szCs w:val="21"/>
                    </w:rPr>
                  </w:pPr>
                  <w:r>
                    <w:rPr>
                      <w:color w:val="auto"/>
                      <w:szCs w:val="21"/>
                    </w:rPr>
                    <w:t>0.044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54" w:type="pct"/>
                  <w:vMerge w:val="continue"/>
                  <w:vAlign w:val="center"/>
                </w:tcPr>
                <w:p>
                  <w:pPr>
                    <w:spacing w:line="360" w:lineRule="auto"/>
                    <w:jc w:val="left"/>
                    <w:rPr>
                      <w:color w:val="auto"/>
                      <w:szCs w:val="21"/>
                    </w:rPr>
                  </w:pPr>
                </w:p>
              </w:tc>
              <w:tc>
                <w:tcPr>
                  <w:tcW w:w="629" w:type="pct"/>
                  <w:vAlign w:val="center"/>
                </w:tcPr>
                <w:p>
                  <w:pPr>
                    <w:spacing w:line="360" w:lineRule="auto"/>
                    <w:jc w:val="center"/>
                    <w:rPr>
                      <w:color w:val="auto"/>
                      <w:szCs w:val="21"/>
                    </w:rPr>
                  </w:pPr>
                  <w:r>
                    <w:rPr>
                      <w:color w:val="auto"/>
                      <w:szCs w:val="21"/>
                    </w:rPr>
                    <w:t>50</w:t>
                  </w:r>
                </w:p>
              </w:tc>
              <w:tc>
                <w:tcPr>
                  <w:tcW w:w="636" w:type="pct"/>
                  <w:vAlign w:val="center"/>
                </w:tcPr>
                <w:p>
                  <w:pPr>
                    <w:spacing w:line="360" w:lineRule="auto"/>
                    <w:jc w:val="center"/>
                    <w:rPr>
                      <w:color w:val="auto"/>
                      <w:szCs w:val="21"/>
                    </w:rPr>
                  </w:pPr>
                  <w:r>
                    <w:rPr>
                      <w:color w:val="auto"/>
                      <w:szCs w:val="21"/>
                    </w:rPr>
                    <w:t>0.0004</w:t>
                  </w:r>
                </w:p>
              </w:tc>
              <w:tc>
                <w:tcPr>
                  <w:tcW w:w="636" w:type="pct"/>
                  <w:vAlign w:val="center"/>
                </w:tcPr>
                <w:p>
                  <w:pPr>
                    <w:spacing w:line="360" w:lineRule="auto"/>
                    <w:jc w:val="center"/>
                    <w:rPr>
                      <w:color w:val="auto"/>
                      <w:szCs w:val="21"/>
                    </w:rPr>
                  </w:pPr>
                  <w:r>
                    <w:rPr>
                      <w:color w:val="auto"/>
                      <w:szCs w:val="21"/>
                    </w:rPr>
                    <w:t>0.0012</w:t>
                  </w:r>
                </w:p>
              </w:tc>
              <w:tc>
                <w:tcPr>
                  <w:tcW w:w="636" w:type="pct"/>
                  <w:vAlign w:val="center"/>
                </w:tcPr>
                <w:p>
                  <w:pPr>
                    <w:spacing w:line="360" w:lineRule="auto"/>
                    <w:jc w:val="center"/>
                    <w:rPr>
                      <w:color w:val="auto"/>
                      <w:szCs w:val="21"/>
                    </w:rPr>
                  </w:pPr>
                  <w:r>
                    <w:rPr>
                      <w:color w:val="auto"/>
                      <w:szCs w:val="21"/>
                    </w:rPr>
                    <w:t>0.0028</w:t>
                  </w:r>
                </w:p>
              </w:tc>
              <w:tc>
                <w:tcPr>
                  <w:tcW w:w="636" w:type="pct"/>
                  <w:vAlign w:val="center"/>
                </w:tcPr>
                <w:p>
                  <w:pPr>
                    <w:spacing w:line="360" w:lineRule="auto"/>
                    <w:jc w:val="center"/>
                    <w:rPr>
                      <w:color w:val="auto"/>
                      <w:szCs w:val="21"/>
                    </w:rPr>
                  </w:pPr>
                  <w:r>
                    <w:rPr>
                      <w:color w:val="auto"/>
                      <w:szCs w:val="21"/>
                    </w:rPr>
                    <w:t>0.0050</w:t>
                  </w:r>
                </w:p>
              </w:tc>
              <w:tc>
                <w:tcPr>
                  <w:tcW w:w="636" w:type="pct"/>
                  <w:vAlign w:val="center"/>
                </w:tcPr>
                <w:p>
                  <w:pPr>
                    <w:spacing w:line="360" w:lineRule="auto"/>
                    <w:jc w:val="center"/>
                    <w:rPr>
                      <w:color w:val="auto"/>
                      <w:szCs w:val="21"/>
                    </w:rPr>
                  </w:pPr>
                  <w:r>
                    <w:rPr>
                      <w:color w:val="auto"/>
                      <w:szCs w:val="21"/>
                    </w:rPr>
                    <w:t>0.010</w:t>
                  </w:r>
                </w:p>
              </w:tc>
              <w:tc>
                <w:tcPr>
                  <w:tcW w:w="638" w:type="pct"/>
                  <w:vAlign w:val="center"/>
                </w:tcPr>
                <w:p>
                  <w:pPr>
                    <w:spacing w:line="360" w:lineRule="auto"/>
                    <w:jc w:val="center"/>
                    <w:rPr>
                      <w:color w:val="auto"/>
                      <w:szCs w:val="21"/>
                    </w:rPr>
                  </w:pPr>
                  <w:r>
                    <w:rPr>
                      <w:color w:val="auto"/>
                      <w:szCs w:val="21"/>
                    </w:rPr>
                    <w:t>0.028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54" w:type="pct"/>
                  <w:vMerge w:val="continue"/>
                  <w:vAlign w:val="center"/>
                </w:tcPr>
                <w:p>
                  <w:pPr>
                    <w:spacing w:line="360" w:lineRule="auto"/>
                    <w:jc w:val="left"/>
                    <w:rPr>
                      <w:color w:val="auto"/>
                      <w:szCs w:val="21"/>
                    </w:rPr>
                  </w:pPr>
                </w:p>
              </w:tc>
              <w:tc>
                <w:tcPr>
                  <w:tcW w:w="629" w:type="pct"/>
                  <w:vAlign w:val="center"/>
                </w:tcPr>
                <w:p>
                  <w:pPr>
                    <w:spacing w:line="360" w:lineRule="auto"/>
                    <w:jc w:val="center"/>
                    <w:rPr>
                      <w:color w:val="auto"/>
                      <w:szCs w:val="21"/>
                    </w:rPr>
                  </w:pPr>
                  <w:r>
                    <w:rPr>
                      <w:color w:val="auto"/>
                      <w:szCs w:val="21"/>
                    </w:rPr>
                    <w:t>70</w:t>
                  </w:r>
                </w:p>
              </w:tc>
              <w:tc>
                <w:tcPr>
                  <w:tcW w:w="636" w:type="pct"/>
                  <w:vAlign w:val="center"/>
                </w:tcPr>
                <w:p>
                  <w:pPr>
                    <w:spacing w:line="360" w:lineRule="auto"/>
                    <w:jc w:val="center"/>
                    <w:rPr>
                      <w:color w:val="auto"/>
                      <w:szCs w:val="21"/>
                    </w:rPr>
                  </w:pPr>
                  <w:r>
                    <w:rPr>
                      <w:color w:val="auto"/>
                      <w:szCs w:val="21"/>
                    </w:rPr>
                    <w:t>0.0003</w:t>
                  </w:r>
                </w:p>
              </w:tc>
              <w:tc>
                <w:tcPr>
                  <w:tcW w:w="636" w:type="pct"/>
                  <w:vAlign w:val="center"/>
                </w:tcPr>
                <w:p>
                  <w:pPr>
                    <w:spacing w:line="360" w:lineRule="auto"/>
                    <w:jc w:val="center"/>
                    <w:rPr>
                      <w:color w:val="auto"/>
                      <w:szCs w:val="21"/>
                    </w:rPr>
                  </w:pPr>
                  <w:r>
                    <w:rPr>
                      <w:color w:val="auto"/>
                      <w:szCs w:val="21"/>
                    </w:rPr>
                    <w:t>0.0010</w:t>
                  </w:r>
                </w:p>
              </w:tc>
              <w:tc>
                <w:tcPr>
                  <w:tcW w:w="636" w:type="pct"/>
                  <w:vAlign w:val="center"/>
                </w:tcPr>
                <w:p>
                  <w:pPr>
                    <w:spacing w:line="360" w:lineRule="auto"/>
                    <w:jc w:val="center"/>
                    <w:rPr>
                      <w:color w:val="auto"/>
                      <w:szCs w:val="21"/>
                    </w:rPr>
                  </w:pPr>
                  <w:r>
                    <w:rPr>
                      <w:color w:val="auto"/>
                      <w:szCs w:val="21"/>
                    </w:rPr>
                    <w:t>0.0027</w:t>
                  </w:r>
                </w:p>
              </w:tc>
              <w:tc>
                <w:tcPr>
                  <w:tcW w:w="636" w:type="pct"/>
                  <w:vAlign w:val="center"/>
                </w:tcPr>
                <w:p>
                  <w:pPr>
                    <w:spacing w:line="360" w:lineRule="auto"/>
                    <w:jc w:val="center"/>
                    <w:rPr>
                      <w:color w:val="auto"/>
                      <w:szCs w:val="21"/>
                    </w:rPr>
                  </w:pPr>
                  <w:r>
                    <w:rPr>
                      <w:color w:val="auto"/>
                      <w:szCs w:val="21"/>
                    </w:rPr>
                    <w:t>0.0054</w:t>
                  </w:r>
                </w:p>
              </w:tc>
              <w:tc>
                <w:tcPr>
                  <w:tcW w:w="636" w:type="pct"/>
                  <w:vAlign w:val="center"/>
                </w:tcPr>
                <w:p>
                  <w:pPr>
                    <w:spacing w:line="360" w:lineRule="auto"/>
                    <w:jc w:val="center"/>
                    <w:rPr>
                      <w:color w:val="auto"/>
                      <w:szCs w:val="21"/>
                    </w:rPr>
                  </w:pPr>
                  <w:r>
                    <w:rPr>
                      <w:color w:val="auto"/>
                      <w:szCs w:val="21"/>
                    </w:rPr>
                    <w:t>0.010</w:t>
                  </w:r>
                </w:p>
              </w:tc>
              <w:tc>
                <w:tcPr>
                  <w:tcW w:w="638" w:type="pct"/>
                  <w:vAlign w:val="center"/>
                </w:tcPr>
                <w:p>
                  <w:pPr>
                    <w:spacing w:line="360" w:lineRule="auto"/>
                    <w:jc w:val="center"/>
                    <w:rPr>
                      <w:color w:val="auto"/>
                      <w:szCs w:val="21"/>
                    </w:rPr>
                  </w:pPr>
                  <w:r>
                    <w:rPr>
                      <w:color w:val="auto"/>
                      <w:szCs w:val="21"/>
                    </w:rPr>
                    <w:t>0.023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54" w:type="pct"/>
                  <w:vMerge w:val="restart"/>
                  <w:vAlign w:val="center"/>
                </w:tcPr>
                <w:p>
                  <w:pPr>
                    <w:spacing w:line="360" w:lineRule="auto"/>
                    <w:jc w:val="center"/>
                    <w:rPr>
                      <w:color w:val="auto"/>
                      <w:szCs w:val="21"/>
                    </w:rPr>
                  </w:pPr>
                  <w:r>
                    <w:rPr>
                      <w:color w:val="auto"/>
                      <w:szCs w:val="21"/>
                    </w:rPr>
                    <w:t>10</w:t>
                  </w:r>
                </w:p>
              </w:tc>
              <w:tc>
                <w:tcPr>
                  <w:tcW w:w="629" w:type="pct"/>
                  <w:vAlign w:val="center"/>
                </w:tcPr>
                <w:p>
                  <w:pPr>
                    <w:spacing w:line="360" w:lineRule="auto"/>
                    <w:jc w:val="center"/>
                    <w:rPr>
                      <w:color w:val="auto"/>
                      <w:szCs w:val="21"/>
                    </w:rPr>
                  </w:pPr>
                  <w:r>
                    <w:rPr>
                      <w:color w:val="auto"/>
                      <w:szCs w:val="21"/>
                    </w:rPr>
                    <w:t>90</w:t>
                  </w:r>
                </w:p>
              </w:tc>
              <w:tc>
                <w:tcPr>
                  <w:tcW w:w="636" w:type="pct"/>
                  <w:vAlign w:val="center"/>
                </w:tcPr>
                <w:p>
                  <w:pPr>
                    <w:spacing w:line="360" w:lineRule="auto"/>
                    <w:jc w:val="center"/>
                    <w:rPr>
                      <w:color w:val="auto"/>
                      <w:szCs w:val="21"/>
                    </w:rPr>
                  </w:pPr>
                  <w:r>
                    <w:rPr>
                      <w:color w:val="auto"/>
                      <w:szCs w:val="21"/>
                    </w:rPr>
                    <w:t>0.0002</w:t>
                  </w:r>
                </w:p>
              </w:tc>
              <w:tc>
                <w:tcPr>
                  <w:tcW w:w="636" w:type="pct"/>
                  <w:vAlign w:val="center"/>
                </w:tcPr>
                <w:p>
                  <w:pPr>
                    <w:spacing w:line="360" w:lineRule="auto"/>
                    <w:jc w:val="center"/>
                    <w:rPr>
                      <w:color w:val="auto"/>
                      <w:szCs w:val="21"/>
                    </w:rPr>
                  </w:pPr>
                  <w:r>
                    <w:rPr>
                      <w:color w:val="auto"/>
                      <w:szCs w:val="21"/>
                    </w:rPr>
                    <w:t>0.0008</w:t>
                  </w:r>
                </w:p>
              </w:tc>
              <w:tc>
                <w:tcPr>
                  <w:tcW w:w="636" w:type="pct"/>
                  <w:vAlign w:val="center"/>
                </w:tcPr>
                <w:p>
                  <w:pPr>
                    <w:spacing w:line="360" w:lineRule="auto"/>
                    <w:jc w:val="center"/>
                    <w:rPr>
                      <w:color w:val="auto"/>
                      <w:szCs w:val="21"/>
                    </w:rPr>
                  </w:pPr>
                  <w:r>
                    <w:rPr>
                      <w:color w:val="auto"/>
                      <w:szCs w:val="21"/>
                    </w:rPr>
                    <w:t>0.0026</w:t>
                  </w:r>
                </w:p>
              </w:tc>
              <w:tc>
                <w:tcPr>
                  <w:tcW w:w="636" w:type="pct"/>
                  <w:vAlign w:val="center"/>
                </w:tcPr>
                <w:p>
                  <w:pPr>
                    <w:spacing w:line="360" w:lineRule="auto"/>
                    <w:jc w:val="center"/>
                    <w:rPr>
                      <w:color w:val="auto"/>
                      <w:szCs w:val="21"/>
                    </w:rPr>
                  </w:pPr>
                  <w:r>
                    <w:rPr>
                      <w:color w:val="auto"/>
                      <w:szCs w:val="21"/>
                    </w:rPr>
                    <w:t>0.0056</w:t>
                  </w:r>
                </w:p>
              </w:tc>
              <w:tc>
                <w:tcPr>
                  <w:tcW w:w="636" w:type="pct"/>
                  <w:vAlign w:val="center"/>
                </w:tcPr>
                <w:p>
                  <w:pPr>
                    <w:spacing w:line="360" w:lineRule="auto"/>
                    <w:jc w:val="center"/>
                    <w:rPr>
                      <w:color w:val="auto"/>
                      <w:szCs w:val="21"/>
                    </w:rPr>
                  </w:pPr>
                  <w:r>
                    <w:rPr>
                      <w:color w:val="auto"/>
                      <w:szCs w:val="21"/>
                    </w:rPr>
                    <w:t>0.010</w:t>
                  </w:r>
                </w:p>
              </w:tc>
              <w:tc>
                <w:tcPr>
                  <w:tcW w:w="638" w:type="pct"/>
                  <w:vAlign w:val="center"/>
                </w:tcPr>
                <w:p>
                  <w:pPr>
                    <w:spacing w:line="360" w:lineRule="auto"/>
                    <w:jc w:val="center"/>
                    <w:rPr>
                      <w:color w:val="auto"/>
                      <w:szCs w:val="21"/>
                    </w:rPr>
                  </w:pPr>
                  <w:r>
                    <w:rPr>
                      <w:color w:val="auto"/>
                      <w:szCs w:val="21"/>
                    </w:rPr>
                    <w:t>0.021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54" w:type="pct"/>
                  <w:vMerge w:val="continue"/>
                  <w:vAlign w:val="center"/>
                </w:tcPr>
                <w:p>
                  <w:pPr>
                    <w:spacing w:line="360" w:lineRule="auto"/>
                    <w:jc w:val="center"/>
                    <w:rPr>
                      <w:color w:val="auto"/>
                      <w:szCs w:val="21"/>
                    </w:rPr>
                  </w:pPr>
                </w:p>
              </w:tc>
              <w:tc>
                <w:tcPr>
                  <w:tcW w:w="629" w:type="pct"/>
                  <w:vAlign w:val="center"/>
                </w:tcPr>
                <w:p>
                  <w:pPr>
                    <w:spacing w:line="360" w:lineRule="auto"/>
                    <w:jc w:val="center"/>
                    <w:rPr>
                      <w:color w:val="auto"/>
                      <w:szCs w:val="21"/>
                    </w:rPr>
                  </w:pPr>
                  <w:r>
                    <w:rPr>
                      <w:color w:val="auto"/>
                      <w:szCs w:val="21"/>
                    </w:rPr>
                    <w:t>10</w:t>
                  </w:r>
                </w:p>
              </w:tc>
              <w:tc>
                <w:tcPr>
                  <w:tcW w:w="636" w:type="pct"/>
                  <w:vAlign w:val="center"/>
                </w:tcPr>
                <w:p>
                  <w:pPr>
                    <w:spacing w:line="360" w:lineRule="auto"/>
                    <w:jc w:val="center"/>
                    <w:rPr>
                      <w:color w:val="auto"/>
                      <w:szCs w:val="21"/>
                    </w:rPr>
                  </w:pPr>
                  <w:r>
                    <w:rPr>
                      <w:color w:val="auto"/>
                      <w:szCs w:val="21"/>
                    </w:rPr>
                    <w:t>0.0007</w:t>
                  </w:r>
                </w:p>
              </w:tc>
              <w:tc>
                <w:tcPr>
                  <w:tcW w:w="636" w:type="pct"/>
                  <w:vAlign w:val="center"/>
                </w:tcPr>
                <w:p>
                  <w:pPr>
                    <w:spacing w:line="360" w:lineRule="auto"/>
                    <w:jc w:val="center"/>
                    <w:rPr>
                      <w:color w:val="auto"/>
                      <w:szCs w:val="21"/>
                    </w:rPr>
                  </w:pPr>
                  <w:r>
                    <w:rPr>
                      <w:color w:val="auto"/>
                      <w:szCs w:val="21"/>
                    </w:rPr>
                    <w:t>0.0019</w:t>
                  </w:r>
                </w:p>
              </w:tc>
              <w:tc>
                <w:tcPr>
                  <w:tcW w:w="636" w:type="pct"/>
                  <w:vAlign w:val="center"/>
                </w:tcPr>
                <w:p>
                  <w:pPr>
                    <w:spacing w:line="360" w:lineRule="auto"/>
                    <w:jc w:val="center"/>
                    <w:rPr>
                      <w:color w:val="auto"/>
                      <w:szCs w:val="21"/>
                    </w:rPr>
                  </w:pPr>
                  <w:r>
                    <w:rPr>
                      <w:color w:val="auto"/>
                      <w:szCs w:val="21"/>
                    </w:rPr>
                    <w:t>0.0061</w:t>
                  </w:r>
                </w:p>
              </w:tc>
              <w:tc>
                <w:tcPr>
                  <w:tcW w:w="636" w:type="pct"/>
                  <w:vAlign w:val="center"/>
                </w:tcPr>
                <w:p>
                  <w:pPr>
                    <w:spacing w:line="360" w:lineRule="auto"/>
                    <w:jc w:val="center"/>
                    <w:rPr>
                      <w:color w:val="auto"/>
                      <w:szCs w:val="21"/>
                    </w:rPr>
                  </w:pPr>
                  <w:r>
                    <w:rPr>
                      <w:color w:val="auto"/>
                      <w:szCs w:val="21"/>
                    </w:rPr>
                    <w:t>0.0190</w:t>
                  </w:r>
                </w:p>
              </w:tc>
              <w:tc>
                <w:tcPr>
                  <w:tcW w:w="636" w:type="pct"/>
                  <w:vAlign w:val="center"/>
                </w:tcPr>
                <w:p>
                  <w:pPr>
                    <w:spacing w:line="360" w:lineRule="auto"/>
                    <w:jc w:val="center"/>
                    <w:rPr>
                      <w:color w:val="auto"/>
                      <w:szCs w:val="21"/>
                    </w:rPr>
                  </w:pPr>
                  <w:r>
                    <w:rPr>
                      <w:color w:val="auto"/>
                      <w:szCs w:val="21"/>
                    </w:rPr>
                    <w:t>0.045</w:t>
                  </w:r>
                </w:p>
              </w:tc>
              <w:tc>
                <w:tcPr>
                  <w:tcW w:w="638" w:type="pct"/>
                  <w:vAlign w:val="center"/>
                </w:tcPr>
                <w:p>
                  <w:pPr>
                    <w:spacing w:line="360" w:lineRule="auto"/>
                    <w:jc w:val="center"/>
                    <w:rPr>
                      <w:color w:val="auto"/>
                      <w:szCs w:val="21"/>
                    </w:rPr>
                  </w:pPr>
                  <w:r>
                    <w:rPr>
                      <w:color w:val="auto"/>
                      <w:szCs w:val="21"/>
                    </w:rPr>
                    <w:t>0.070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54" w:type="pct"/>
                  <w:vMerge w:val="continue"/>
                  <w:vAlign w:val="center"/>
                </w:tcPr>
                <w:p>
                  <w:pPr>
                    <w:spacing w:line="360" w:lineRule="auto"/>
                    <w:jc w:val="center"/>
                    <w:rPr>
                      <w:color w:val="auto"/>
                      <w:szCs w:val="21"/>
                    </w:rPr>
                  </w:pPr>
                </w:p>
              </w:tc>
              <w:tc>
                <w:tcPr>
                  <w:tcW w:w="629" w:type="pct"/>
                  <w:vAlign w:val="center"/>
                </w:tcPr>
                <w:p>
                  <w:pPr>
                    <w:spacing w:line="360" w:lineRule="auto"/>
                    <w:jc w:val="center"/>
                    <w:rPr>
                      <w:color w:val="auto"/>
                      <w:szCs w:val="21"/>
                    </w:rPr>
                  </w:pPr>
                  <w:r>
                    <w:rPr>
                      <w:color w:val="auto"/>
                      <w:szCs w:val="21"/>
                    </w:rPr>
                    <w:t>20</w:t>
                  </w:r>
                </w:p>
              </w:tc>
              <w:tc>
                <w:tcPr>
                  <w:tcW w:w="636" w:type="pct"/>
                  <w:vAlign w:val="center"/>
                </w:tcPr>
                <w:p>
                  <w:pPr>
                    <w:spacing w:line="360" w:lineRule="auto"/>
                    <w:jc w:val="center"/>
                    <w:rPr>
                      <w:color w:val="auto"/>
                      <w:szCs w:val="21"/>
                    </w:rPr>
                  </w:pPr>
                  <w:r>
                    <w:rPr>
                      <w:color w:val="auto"/>
                      <w:szCs w:val="21"/>
                    </w:rPr>
                    <w:t>0.0006</w:t>
                  </w:r>
                </w:p>
              </w:tc>
              <w:tc>
                <w:tcPr>
                  <w:tcW w:w="636" w:type="pct"/>
                  <w:vAlign w:val="center"/>
                </w:tcPr>
                <w:p>
                  <w:pPr>
                    <w:spacing w:line="360" w:lineRule="auto"/>
                    <w:jc w:val="center"/>
                    <w:rPr>
                      <w:color w:val="auto"/>
                      <w:szCs w:val="21"/>
                    </w:rPr>
                  </w:pPr>
                  <w:r>
                    <w:rPr>
                      <w:color w:val="auto"/>
                      <w:szCs w:val="21"/>
                    </w:rPr>
                    <w:t>0.0011</w:t>
                  </w:r>
                </w:p>
              </w:tc>
              <w:tc>
                <w:tcPr>
                  <w:tcW w:w="636" w:type="pct"/>
                  <w:vAlign w:val="center"/>
                </w:tcPr>
                <w:p>
                  <w:pPr>
                    <w:spacing w:line="360" w:lineRule="auto"/>
                    <w:jc w:val="center"/>
                    <w:rPr>
                      <w:color w:val="auto"/>
                      <w:szCs w:val="21"/>
                    </w:rPr>
                  </w:pPr>
                  <w:r>
                    <w:rPr>
                      <w:color w:val="auto"/>
                      <w:szCs w:val="21"/>
                    </w:rPr>
                    <w:t>0.0029</w:t>
                  </w:r>
                </w:p>
              </w:tc>
              <w:tc>
                <w:tcPr>
                  <w:tcW w:w="636" w:type="pct"/>
                  <w:vAlign w:val="center"/>
                </w:tcPr>
                <w:p>
                  <w:pPr>
                    <w:spacing w:line="360" w:lineRule="auto"/>
                    <w:jc w:val="center"/>
                    <w:rPr>
                      <w:color w:val="auto"/>
                      <w:szCs w:val="21"/>
                    </w:rPr>
                  </w:pPr>
                  <w:r>
                    <w:rPr>
                      <w:color w:val="auto"/>
                      <w:szCs w:val="21"/>
                    </w:rPr>
                    <w:t>0.0094</w:t>
                  </w:r>
                </w:p>
              </w:tc>
              <w:tc>
                <w:tcPr>
                  <w:tcW w:w="636" w:type="pct"/>
                  <w:vAlign w:val="center"/>
                </w:tcPr>
                <w:p>
                  <w:pPr>
                    <w:spacing w:line="360" w:lineRule="auto"/>
                    <w:jc w:val="center"/>
                    <w:rPr>
                      <w:color w:val="auto"/>
                      <w:szCs w:val="21"/>
                    </w:rPr>
                  </w:pPr>
                  <w:r>
                    <w:rPr>
                      <w:color w:val="auto"/>
                      <w:szCs w:val="21"/>
                    </w:rPr>
                    <w:t>0.032</w:t>
                  </w:r>
                </w:p>
              </w:tc>
              <w:tc>
                <w:tcPr>
                  <w:tcW w:w="638" w:type="pct"/>
                  <w:vAlign w:val="center"/>
                </w:tcPr>
                <w:p>
                  <w:pPr>
                    <w:spacing w:line="360" w:lineRule="auto"/>
                    <w:jc w:val="center"/>
                    <w:rPr>
                      <w:color w:val="auto"/>
                      <w:szCs w:val="21"/>
                    </w:rPr>
                  </w:pPr>
                  <w:r>
                    <w:rPr>
                      <w:color w:val="auto"/>
                      <w:szCs w:val="21"/>
                    </w:rPr>
                    <w:t>0.090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54" w:type="pct"/>
                  <w:vMerge w:val="continue"/>
                  <w:vAlign w:val="center"/>
                </w:tcPr>
                <w:p>
                  <w:pPr>
                    <w:spacing w:line="360" w:lineRule="auto"/>
                    <w:jc w:val="center"/>
                    <w:rPr>
                      <w:color w:val="auto"/>
                      <w:szCs w:val="21"/>
                    </w:rPr>
                  </w:pPr>
                </w:p>
              </w:tc>
              <w:tc>
                <w:tcPr>
                  <w:tcW w:w="629" w:type="pct"/>
                  <w:vAlign w:val="center"/>
                </w:tcPr>
                <w:p>
                  <w:pPr>
                    <w:spacing w:line="360" w:lineRule="auto"/>
                    <w:jc w:val="center"/>
                    <w:rPr>
                      <w:color w:val="auto"/>
                      <w:szCs w:val="21"/>
                    </w:rPr>
                  </w:pPr>
                  <w:r>
                    <w:rPr>
                      <w:color w:val="auto"/>
                      <w:szCs w:val="21"/>
                    </w:rPr>
                    <w:t>30</w:t>
                  </w:r>
                </w:p>
              </w:tc>
              <w:tc>
                <w:tcPr>
                  <w:tcW w:w="636" w:type="pct"/>
                  <w:vAlign w:val="center"/>
                </w:tcPr>
                <w:p>
                  <w:pPr>
                    <w:spacing w:line="360" w:lineRule="auto"/>
                    <w:jc w:val="center"/>
                    <w:rPr>
                      <w:color w:val="auto"/>
                      <w:szCs w:val="21"/>
                    </w:rPr>
                  </w:pPr>
                  <w:r>
                    <w:rPr>
                      <w:color w:val="auto"/>
                      <w:szCs w:val="21"/>
                    </w:rPr>
                    <w:t>0.0005</w:t>
                  </w:r>
                </w:p>
              </w:tc>
              <w:tc>
                <w:tcPr>
                  <w:tcW w:w="636" w:type="pct"/>
                  <w:vAlign w:val="center"/>
                </w:tcPr>
                <w:p>
                  <w:pPr>
                    <w:spacing w:line="360" w:lineRule="auto"/>
                    <w:jc w:val="center"/>
                    <w:rPr>
                      <w:color w:val="auto"/>
                      <w:szCs w:val="21"/>
                    </w:rPr>
                  </w:pPr>
                  <w:r>
                    <w:rPr>
                      <w:color w:val="auto"/>
                      <w:szCs w:val="21"/>
                    </w:rPr>
                    <w:t>0.0011</w:t>
                  </w:r>
                </w:p>
              </w:tc>
              <w:tc>
                <w:tcPr>
                  <w:tcW w:w="636" w:type="pct"/>
                  <w:vAlign w:val="center"/>
                </w:tcPr>
                <w:p>
                  <w:pPr>
                    <w:spacing w:line="360" w:lineRule="auto"/>
                    <w:jc w:val="center"/>
                    <w:rPr>
                      <w:color w:val="auto"/>
                      <w:szCs w:val="21"/>
                    </w:rPr>
                  </w:pPr>
                  <w:r>
                    <w:rPr>
                      <w:color w:val="auto"/>
                      <w:szCs w:val="21"/>
                    </w:rPr>
                    <w:t>0.0022</w:t>
                  </w:r>
                </w:p>
              </w:tc>
              <w:tc>
                <w:tcPr>
                  <w:tcW w:w="636" w:type="pct"/>
                  <w:vAlign w:val="center"/>
                </w:tcPr>
                <w:p>
                  <w:pPr>
                    <w:spacing w:line="360" w:lineRule="auto"/>
                    <w:jc w:val="center"/>
                    <w:rPr>
                      <w:color w:val="auto"/>
                      <w:szCs w:val="21"/>
                    </w:rPr>
                  </w:pPr>
                  <w:r>
                    <w:rPr>
                      <w:color w:val="auto"/>
                      <w:szCs w:val="21"/>
                    </w:rPr>
                    <w:t>0.0061</w:t>
                  </w:r>
                </w:p>
              </w:tc>
              <w:tc>
                <w:tcPr>
                  <w:tcW w:w="636" w:type="pct"/>
                  <w:vAlign w:val="center"/>
                </w:tcPr>
                <w:p>
                  <w:pPr>
                    <w:spacing w:line="360" w:lineRule="auto"/>
                    <w:jc w:val="center"/>
                    <w:rPr>
                      <w:color w:val="auto"/>
                      <w:szCs w:val="21"/>
                    </w:rPr>
                  </w:pPr>
                  <w:r>
                    <w:rPr>
                      <w:color w:val="auto"/>
                      <w:szCs w:val="21"/>
                    </w:rPr>
                    <w:t>0.021</w:t>
                  </w:r>
                </w:p>
              </w:tc>
              <w:tc>
                <w:tcPr>
                  <w:tcW w:w="638" w:type="pct"/>
                  <w:vAlign w:val="center"/>
                </w:tcPr>
                <w:p>
                  <w:pPr>
                    <w:spacing w:line="360" w:lineRule="auto"/>
                    <w:jc w:val="center"/>
                    <w:rPr>
                      <w:color w:val="auto"/>
                      <w:szCs w:val="21"/>
                    </w:rPr>
                  </w:pPr>
                  <w:r>
                    <w:rPr>
                      <w:color w:val="auto"/>
                      <w:szCs w:val="21"/>
                    </w:rPr>
                    <w:t>0.070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54" w:type="pct"/>
                  <w:vMerge w:val="continue"/>
                  <w:vAlign w:val="center"/>
                </w:tcPr>
                <w:p>
                  <w:pPr>
                    <w:spacing w:line="360" w:lineRule="auto"/>
                    <w:jc w:val="center"/>
                    <w:rPr>
                      <w:color w:val="auto"/>
                      <w:szCs w:val="21"/>
                    </w:rPr>
                  </w:pPr>
                </w:p>
              </w:tc>
              <w:tc>
                <w:tcPr>
                  <w:tcW w:w="629" w:type="pct"/>
                  <w:vAlign w:val="center"/>
                </w:tcPr>
                <w:p>
                  <w:pPr>
                    <w:spacing w:line="360" w:lineRule="auto"/>
                    <w:jc w:val="center"/>
                    <w:rPr>
                      <w:color w:val="auto"/>
                      <w:szCs w:val="21"/>
                    </w:rPr>
                  </w:pPr>
                  <w:r>
                    <w:rPr>
                      <w:color w:val="auto"/>
                      <w:szCs w:val="21"/>
                    </w:rPr>
                    <w:t>50</w:t>
                  </w:r>
                </w:p>
              </w:tc>
              <w:tc>
                <w:tcPr>
                  <w:tcW w:w="636" w:type="pct"/>
                  <w:vAlign w:val="center"/>
                </w:tcPr>
                <w:p>
                  <w:pPr>
                    <w:spacing w:line="360" w:lineRule="auto"/>
                    <w:jc w:val="center"/>
                    <w:rPr>
                      <w:color w:val="auto"/>
                      <w:szCs w:val="21"/>
                    </w:rPr>
                  </w:pPr>
                  <w:r>
                    <w:rPr>
                      <w:color w:val="auto"/>
                      <w:szCs w:val="21"/>
                    </w:rPr>
                    <w:t>0.0005</w:t>
                  </w:r>
                </w:p>
              </w:tc>
              <w:tc>
                <w:tcPr>
                  <w:tcW w:w="636" w:type="pct"/>
                  <w:vAlign w:val="center"/>
                </w:tcPr>
                <w:p>
                  <w:pPr>
                    <w:spacing w:line="360" w:lineRule="auto"/>
                    <w:jc w:val="center"/>
                    <w:rPr>
                      <w:color w:val="auto"/>
                      <w:szCs w:val="21"/>
                    </w:rPr>
                  </w:pPr>
                  <w:r>
                    <w:rPr>
                      <w:color w:val="auto"/>
                      <w:szCs w:val="21"/>
                    </w:rPr>
                    <w:t>0.0011</w:t>
                  </w:r>
                </w:p>
              </w:tc>
              <w:tc>
                <w:tcPr>
                  <w:tcW w:w="636" w:type="pct"/>
                  <w:vAlign w:val="center"/>
                </w:tcPr>
                <w:p>
                  <w:pPr>
                    <w:spacing w:line="360" w:lineRule="auto"/>
                    <w:jc w:val="center"/>
                    <w:rPr>
                      <w:color w:val="auto"/>
                      <w:szCs w:val="21"/>
                    </w:rPr>
                  </w:pPr>
                  <w:r>
                    <w:rPr>
                      <w:color w:val="auto"/>
                      <w:szCs w:val="21"/>
                    </w:rPr>
                    <w:t>0.0020</w:t>
                  </w:r>
                </w:p>
              </w:tc>
              <w:tc>
                <w:tcPr>
                  <w:tcW w:w="636" w:type="pct"/>
                  <w:vAlign w:val="center"/>
                </w:tcPr>
                <w:p>
                  <w:pPr>
                    <w:spacing w:line="360" w:lineRule="auto"/>
                    <w:jc w:val="center"/>
                    <w:rPr>
                      <w:color w:val="auto"/>
                      <w:szCs w:val="21"/>
                    </w:rPr>
                  </w:pPr>
                  <w:r>
                    <w:rPr>
                      <w:color w:val="auto"/>
                      <w:szCs w:val="21"/>
                    </w:rPr>
                    <w:t>0.0041</w:t>
                  </w:r>
                </w:p>
              </w:tc>
              <w:tc>
                <w:tcPr>
                  <w:tcW w:w="636" w:type="pct"/>
                  <w:vAlign w:val="center"/>
                </w:tcPr>
                <w:p>
                  <w:pPr>
                    <w:spacing w:line="360" w:lineRule="auto"/>
                    <w:jc w:val="center"/>
                    <w:rPr>
                      <w:color w:val="auto"/>
                      <w:szCs w:val="21"/>
                    </w:rPr>
                  </w:pPr>
                  <w:r>
                    <w:rPr>
                      <w:color w:val="auto"/>
                      <w:szCs w:val="21"/>
                    </w:rPr>
                    <w:t>0.012</w:t>
                  </w:r>
                </w:p>
              </w:tc>
              <w:tc>
                <w:tcPr>
                  <w:tcW w:w="638" w:type="pct"/>
                  <w:vAlign w:val="center"/>
                </w:tcPr>
                <w:p>
                  <w:pPr>
                    <w:spacing w:line="360" w:lineRule="auto"/>
                    <w:jc w:val="center"/>
                    <w:rPr>
                      <w:color w:val="auto"/>
                      <w:szCs w:val="21"/>
                    </w:rPr>
                  </w:pPr>
                  <w:r>
                    <w:rPr>
                      <w:color w:val="auto"/>
                      <w:szCs w:val="21"/>
                    </w:rPr>
                    <w:t>0.042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54" w:type="pct"/>
                  <w:vMerge w:val="continue"/>
                  <w:vAlign w:val="center"/>
                </w:tcPr>
                <w:p>
                  <w:pPr>
                    <w:spacing w:line="360" w:lineRule="auto"/>
                    <w:jc w:val="center"/>
                    <w:rPr>
                      <w:color w:val="auto"/>
                      <w:szCs w:val="21"/>
                    </w:rPr>
                  </w:pPr>
                </w:p>
              </w:tc>
              <w:tc>
                <w:tcPr>
                  <w:tcW w:w="629" w:type="pct"/>
                  <w:vAlign w:val="center"/>
                </w:tcPr>
                <w:p>
                  <w:pPr>
                    <w:spacing w:line="360" w:lineRule="auto"/>
                    <w:jc w:val="center"/>
                    <w:rPr>
                      <w:color w:val="auto"/>
                      <w:szCs w:val="21"/>
                    </w:rPr>
                  </w:pPr>
                  <w:r>
                    <w:rPr>
                      <w:color w:val="auto"/>
                      <w:szCs w:val="21"/>
                    </w:rPr>
                    <w:t>70</w:t>
                  </w:r>
                </w:p>
              </w:tc>
              <w:tc>
                <w:tcPr>
                  <w:tcW w:w="636" w:type="pct"/>
                  <w:vAlign w:val="center"/>
                </w:tcPr>
                <w:p>
                  <w:pPr>
                    <w:spacing w:line="360" w:lineRule="auto"/>
                    <w:jc w:val="center"/>
                    <w:rPr>
                      <w:color w:val="auto"/>
                      <w:szCs w:val="21"/>
                    </w:rPr>
                  </w:pPr>
                  <w:r>
                    <w:rPr>
                      <w:color w:val="auto"/>
                      <w:szCs w:val="21"/>
                    </w:rPr>
                    <w:t>0.0004</w:t>
                  </w:r>
                </w:p>
              </w:tc>
              <w:tc>
                <w:tcPr>
                  <w:tcW w:w="636" w:type="pct"/>
                  <w:vAlign w:val="center"/>
                </w:tcPr>
                <w:p>
                  <w:pPr>
                    <w:spacing w:line="360" w:lineRule="auto"/>
                    <w:jc w:val="center"/>
                    <w:rPr>
                      <w:color w:val="auto"/>
                      <w:szCs w:val="21"/>
                    </w:rPr>
                  </w:pPr>
                  <w:r>
                    <w:rPr>
                      <w:color w:val="auto"/>
                      <w:szCs w:val="21"/>
                    </w:rPr>
                    <w:t>0.0010</w:t>
                  </w:r>
                </w:p>
              </w:tc>
              <w:tc>
                <w:tcPr>
                  <w:tcW w:w="636" w:type="pct"/>
                  <w:vAlign w:val="center"/>
                </w:tcPr>
                <w:p>
                  <w:pPr>
                    <w:spacing w:line="360" w:lineRule="auto"/>
                    <w:jc w:val="center"/>
                    <w:rPr>
                      <w:color w:val="auto"/>
                      <w:szCs w:val="21"/>
                    </w:rPr>
                  </w:pPr>
                  <w:r>
                    <w:rPr>
                      <w:color w:val="auto"/>
                      <w:szCs w:val="21"/>
                    </w:rPr>
                    <w:t>0.0020</w:t>
                  </w:r>
                </w:p>
              </w:tc>
              <w:tc>
                <w:tcPr>
                  <w:tcW w:w="636" w:type="pct"/>
                  <w:vAlign w:val="center"/>
                </w:tcPr>
                <w:p>
                  <w:pPr>
                    <w:spacing w:line="360" w:lineRule="auto"/>
                    <w:jc w:val="center"/>
                    <w:rPr>
                      <w:color w:val="auto"/>
                      <w:szCs w:val="21"/>
                    </w:rPr>
                  </w:pPr>
                  <w:r>
                    <w:rPr>
                      <w:color w:val="auto"/>
                      <w:szCs w:val="21"/>
                    </w:rPr>
                    <w:t>0.0038</w:t>
                  </w:r>
                </w:p>
              </w:tc>
              <w:tc>
                <w:tcPr>
                  <w:tcW w:w="636" w:type="pct"/>
                  <w:vAlign w:val="center"/>
                </w:tcPr>
                <w:p>
                  <w:pPr>
                    <w:spacing w:line="360" w:lineRule="auto"/>
                    <w:jc w:val="center"/>
                    <w:rPr>
                      <w:color w:val="auto"/>
                      <w:szCs w:val="21"/>
                    </w:rPr>
                  </w:pPr>
                  <w:r>
                    <w:rPr>
                      <w:color w:val="auto"/>
                      <w:szCs w:val="21"/>
                    </w:rPr>
                    <w:t>0.009</w:t>
                  </w:r>
                </w:p>
              </w:tc>
              <w:tc>
                <w:tcPr>
                  <w:tcW w:w="638" w:type="pct"/>
                  <w:vAlign w:val="center"/>
                </w:tcPr>
                <w:p>
                  <w:pPr>
                    <w:spacing w:line="360" w:lineRule="auto"/>
                    <w:jc w:val="center"/>
                    <w:rPr>
                      <w:color w:val="auto"/>
                      <w:szCs w:val="21"/>
                    </w:rPr>
                  </w:pPr>
                  <w:r>
                    <w:rPr>
                      <w:color w:val="auto"/>
                      <w:szCs w:val="21"/>
                    </w:rPr>
                    <w:t>0.030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54" w:type="pct"/>
                  <w:vMerge w:val="continue"/>
                  <w:vAlign w:val="center"/>
                </w:tcPr>
                <w:p>
                  <w:pPr>
                    <w:spacing w:line="360" w:lineRule="auto"/>
                    <w:jc w:val="center"/>
                    <w:rPr>
                      <w:color w:val="auto"/>
                      <w:szCs w:val="21"/>
                    </w:rPr>
                  </w:pPr>
                </w:p>
              </w:tc>
              <w:tc>
                <w:tcPr>
                  <w:tcW w:w="629" w:type="pct"/>
                  <w:vAlign w:val="center"/>
                </w:tcPr>
                <w:p>
                  <w:pPr>
                    <w:spacing w:line="360" w:lineRule="auto"/>
                    <w:jc w:val="center"/>
                    <w:rPr>
                      <w:color w:val="auto"/>
                      <w:szCs w:val="21"/>
                    </w:rPr>
                  </w:pPr>
                  <w:r>
                    <w:rPr>
                      <w:color w:val="auto"/>
                      <w:szCs w:val="21"/>
                    </w:rPr>
                    <w:t>90</w:t>
                  </w:r>
                </w:p>
              </w:tc>
              <w:tc>
                <w:tcPr>
                  <w:tcW w:w="636" w:type="pct"/>
                  <w:vAlign w:val="center"/>
                </w:tcPr>
                <w:p>
                  <w:pPr>
                    <w:spacing w:line="360" w:lineRule="auto"/>
                    <w:jc w:val="center"/>
                    <w:rPr>
                      <w:color w:val="auto"/>
                      <w:szCs w:val="21"/>
                    </w:rPr>
                  </w:pPr>
                  <w:r>
                    <w:rPr>
                      <w:color w:val="auto"/>
                      <w:szCs w:val="21"/>
                    </w:rPr>
                    <w:t>0.0003</w:t>
                  </w:r>
                </w:p>
              </w:tc>
              <w:tc>
                <w:tcPr>
                  <w:tcW w:w="636" w:type="pct"/>
                  <w:vAlign w:val="center"/>
                </w:tcPr>
                <w:p>
                  <w:pPr>
                    <w:spacing w:line="360" w:lineRule="auto"/>
                    <w:jc w:val="center"/>
                    <w:rPr>
                      <w:color w:val="auto"/>
                      <w:szCs w:val="21"/>
                    </w:rPr>
                  </w:pPr>
                  <w:r>
                    <w:rPr>
                      <w:color w:val="auto"/>
                      <w:szCs w:val="21"/>
                    </w:rPr>
                    <w:t>0.0010</w:t>
                  </w:r>
                </w:p>
              </w:tc>
              <w:tc>
                <w:tcPr>
                  <w:tcW w:w="636" w:type="pct"/>
                  <w:vAlign w:val="center"/>
                </w:tcPr>
                <w:p>
                  <w:pPr>
                    <w:spacing w:line="360" w:lineRule="auto"/>
                    <w:jc w:val="center"/>
                    <w:rPr>
                      <w:color w:val="auto"/>
                      <w:szCs w:val="21"/>
                    </w:rPr>
                  </w:pPr>
                  <w:r>
                    <w:rPr>
                      <w:color w:val="auto"/>
                      <w:szCs w:val="21"/>
                    </w:rPr>
                    <w:t>0.0021</w:t>
                  </w:r>
                </w:p>
              </w:tc>
              <w:tc>
                <w:tcPr>
                  <w:tcW w:w="636" w:type="pct"/>
                  <w:vAlign w:val="center"/>
                </w:tcPr>
                <w:p>
                  <w:pPr>
                    <w:spacing w:line="360" w:lineRule="auto"/>
                    <w:jc w:val="center"/>
                    <w:rPr>
                      <w:color w:val="auto"/>
                      <w:szCs w:val="21"/>
                    </w:rPr>
                  </w:pPr>
                  <w:r>
                    <w:rPr>
                      <w:color w:val="auto"/>
                      <w:szCs w:val="21"/>
                    </w:rPr>
                    <w:t>0.0038</w:t>
                  </w:r>
                </w:p>
              </w:tc>
              <w:tc>
                <w:tcPr>
                  <w:tcW w:w="636" w:type="pct"/>
                  <w:vAlign w:val="center"/>
                </w:tcPr>
                <w:p>
                  <w:pPr>
                    <w:spacing w:line="360" w:lineRule="auto"/>
                    <w:jc w:val="center"/>
                    <w:rPr>
                      <w:color w:val="auto"/>
                      <w:szCs w:val="21"/>
                    </w:rPr>
                  </w:pPr>
                  <w:r>
                    <w:rPr>
                      <w:color w:val="auto"/>
                      <w:szCs w:val="21"/>
                    </w:rPr>
                    <w:t>0.008</w:t>
                  </w:r>
                </w:p>
              </w:tc>
              <w:tc>
                <w:tcPr>
                  <w:tcW w:w="638" w:type="pct"/>
                  <w:vAlign w:val="center"/>
                </w:tcPr>
                <w:p>
                  <w:pPr>
                    <w:spacing w:line="360" w:lineRule="auto"/>
                    <w:jc w:val="center"/>
                    <w:rPr>
                      <w:color w:val="auto"/>
                      <w:szCs w:val="21"/>
                    </w:rPr>
                  </w:pPr>
                  <w:r>
                    <w:rPr>
                      <w:color w:val="auto"/>
                      <w:szCs w:val="21"/>
                    </w:rPr>
                    <w:t>0.025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54" w:type="pct"/>
                  <w:vMerge w:val="restart"/>
                  <w:vAlign w:val="center"/>
                </w:tcPr>
                <w:p>
                  <w:pPr>
                    <w:spacing w:line="360" w:lineRule="auto"/>
                    <w:jc w:val="center"/>
                    <w:rPr>
                      <w:color w:val="auto"/>
                      <w:szCs w:val="21"/>
                    </w:rPr>
                  </w:pPr>
                  <w:r>
                    <w:rPr>
                      <w:color w:val="auto"/>
                      <w:szCs w:val="21"/>
                    </w:rPr>
                    <w:t>0</w:t>
                  </w:r>
                </w:p>
              </w:tc>
              <w:tc>
                <w:tcPr>
                  <w:tcW w:w="629" w:type="pct"/>
                  <w:vAlign w:val="center"/>
                </w:tcPr>
                <w:p>
                  <w:pPr>
                    <w:spacing w:line="360" w:lineRule="auto"/>
                    <w:jc w:val="center"/>
                    <w:rPr>
                      <w:color w:val="auto"/>
                      <w:szCs w:val="21"/>
                    </w:rPr>
                  </w:pPr>
                  <w:r>
                    <w:rPr>
                      <w:color w:val="auto"/>
                      <w:szCs w:val="21"/>
                    </w:rPr>
                    <w:t>10</w:t>
                  </w:r>
                </w:p>
              </w:tc>
              <w:tc>
                <w:tcPr>
                  <w:tcW w:w="636" w:type="pct"/>
                  <w:vAlign w:val="center"/>
                </w:tcPr>
                <w:p>
                  <w:pPr>
                    <w:spacing w:line="360" w:lineRule="auto"/>
                    <w:jc w:val="center"/>
                    <w:rPr>
                      <w:color w:val="auto"/>
                      <w:szCs w:val="21"/>
                    </w:rPr>
                  </w:pPr>
                  <w:r>
                    <w:rPr>
                      <w:color w:val="auto"/>
                      <w:szCs w:val="21"/>
                    </w:rPr>
                    <w:t>0.0010</w:t>
                  </w:r>
                </w:p>
              </w:tc>
              <w:tc>
                <w:tcPr>
                  <w:tcW w:w="636" w:type="pct"/>
                  <w:vAlign w:val="center"/>
                </w:tcPr>
                <w:p>
                  <w:pPr>
                    <w:spacing w:line="360" w:lineRule="auto"/>
                    <w:jc w:val="center"/>
                    <w:rPr>
                      <w:color w:val="auto"/>
                      <w:szCs w:val="21"/>
                    </w:rPr>
                  </w:pPr>
                  <w:r>
                    <w:rPr>
                      <w:color w:val="auto"/>
                      <w:szCs w:val="21"/>
                    </w:rPr>
                    <w:t>0.0030</w:t>
                  </w:r>
                </w:p>
              </w:tc>
              <w:tc>
                <w:tcPr>
                  <w:tcW w:w="636" w:type="pct"/>
                  <w:vAlign w:val="center"/>
                </w:tcPr>
                <w:p>
                  <w:pPr>
                    <w:spacing w:line="360" w:lineRule="auto"/>
                    <w:jc w:val="center"/>
                    <w:rPr>
                      <w:color w:val="auto"/>
                      <w:szCs w:val="21"/>
                    </w:rPr>
                  </w:pPr>
                  <w:r>
                    <w:rPr>
                      <w:color w:val="auto"/>
                      <w:szCs w:val="21"/>
                    </w:rPr>
                    <w:t>0.0089</w:t>
                  </w:r>
                </w:p>
              </w:tc>
              <w:tc>
                <w:tcPr>
                  <w:tcW w:w="636" w:type="pct"/>
                  <w:vAlign w:val="center"/>
                </w:tcPr>
                <w:p>
                  <w:pPr>
                    <w:spacing w:line="360" w:lineRule="auto"/>
                    <w:jc w:val="center"/>
                    <w:rPr>
                      <w:color w:val="auto"/>
                      <w:szCs w:val="21"/>
                    </w:rPr>
                  </w:pPr>
                  <w:r>
                    <w:rPr>
                      <w:color w:val="auto"/>
                      <w:szCs w:val="21"/>
                    </w:rPr>
                    <w:t>0.0180</w:t>
                  </w:r>
                </w:p>
              </w:tc>
              <w:tc>
                <w:tcPr>
                  <w:tcW w:w="636" w:type="pct"/>
                  <w:vAlign w:val="center"/>
                </w:tcPr>
                <w:p>
                  <w:pPr>
                    <w:spacing w:line="360" w:lineRule="auto"/>
                    <w:jc w:val="center"/>
                    <w:rPr>
                      <w:color w:val="auto"/>
                      <w:szCs w:val="21"/>
                    </w:rPr>
                  </w:pPr>
                  <w:r>
                    <w:rPr>
                      <w:color w:val="auto"/>
                      <w:szCs w:val="21"/>
                    </w:rPr>
                    <w:t>0.032</w:t>
                  </w:r>
                </w:p>
              </w:tc>
              <w:tc>
                <w:tcPr>
                  <w:tcW w:w="638" w:type="pct"/>
                  <w:vAlign w:val="center"/>
                </w:tcPr>
                <w:p>
                  <w:pPr>
                    <w:spacing w:line="360" w:lineRule="auto"/>
                    <w:jc w:val="center"/>
                    <w:rPr>
                      <w:color w:val="auto"/>
                      <w:szCs w:val="21"/>
                    </w:rPr>
                  </w:pPr>
                  <w:r>
                    <w:rPr>
                      <w:color w:val="auto"/>
                      <w:szCs w:val="21"/>
                    </w:rPr>
                    <w:t>0.026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54" w:type="pct"/>
                  <w:vMerge w:val="continue"/>
                  <w:vAlign w:val="center"/>
                </w:tcPr>
                <w:p>
                  <w:pPr>
                    <w:spacing w:line="360" w:lineRule="auto"/>
                    <w:jc w:val="left"/>
                    <w:rPr>
                      <w:color w:val="auto"/>
                      <w:szCs w:val="21"/>
                    </w:rPr>
                  </w:pPr>
                </w:p>
              </w:tc>
              <w:tc>
                <w:tcPr>
                  <w:tcW w:w="629" w:type="pct"/>
                  <w:vAlign w:val="center"/>
                </w:tcPr>
                <w:p>
                  <w:pPr>
                    <w:spacing w:line="360" w:lineRule="auto"/>
                    <w:jc w:val="center"/>
                    <w:rPr>
                      <w:color w:val="auto"/>
                      <w:szCs w:val="21"/>
                    </w:rPr>
                  </w:pPr>
                  <w:r>
                    <w:rPr>
                      <w:color w:val="auto"/>
                      <w:szCs w:val="21"/>
                    </w:rPr>
                    <w:t>20</w:t>
                  </w:r>
                </w:p>
              </w:tc>
              <w:tc>
                <w:tcPr>
                  <w:tcW w:w="636" w:type="pct"/>
                  <w:vAlign w:val="center"/>
                </w:tcPr>
                <w:p>
                  <w:pPr>
                    <w:spacing w:line="360" w:lineRule="auto"/>
                    <w:jc w:val="center"/>
                    <w:rPr>
                      <w:color w:val="auto"/>
                      <w:szCs w:val="21"/>
                    </w:rPr>
                  </w:pPr>
                  <w:r>
                    <w:rPr>
                      <w:color w:val="auto"/>
                      <w:szCs w:val="21"/>
                    </w:rPr>
                    <w:t>0.0005</w:t>
                  </w:r>
                </w:p>
              </w:tc>
              <w:tc>
                <w:tcPr>
                  <w:tcW w:w="636" w:type="pct"/>
                  <w:vAlign w:val="center"/>
                </w:tcPr>
                <w:p>
                  <w:pPr>
                    <w:spacing w:line="360" w:lineRule="auto"/>
                    <w:jc w:val="center"/>
                    <w:rPr>
                      <w:color w:val="auto"/>
                      <w:szCs w:val="21"/>
                    </w:rPr>
                  </w:pPr>
                  <w:r>
                    <w:rPr>
                      <w:color w:val="auto"/>
                      <w:szCs w:val="21"/>
                    </w:rPr>
                    <w:t>0.0015</w:t>
                  </w:r>
                </w:p>
              </w:tc>
              <w:tc>
                <w:tcPr>
                  <w:tcW w:w="636" w:type="pct"/>
                  <w:vAlign w:val="center"/>
                </w:tcPr>
                <w:p>
                  <w:pPr>
                    <w:spacing w:line="360" w:lineRule="auto"/>
                    <w:jc w:val="center"/>
                    <w:rPr>
                      <w:color w:val="auto"/>
                      <w:szCs w:val="21"/>
                    </w:rPr>
                  </w:pPr>
                  <w:r>
                    <w:rPr>
                      <w:color w:val="auto"/>
                      <w:szCs w:val="21"/>
                    </w:rPr>
                    <w:t>0.0050</w:t>
                  </w:r>
                </w:p>
              </w:tc>
              <w:tc>
                <w:tcPr>
                  <w:tcW w:w="636" w:type="pct"/>
                  <w:vAlign w:val="center"/>
                </w:tcPr>
                <w:p>
                  <w:pPr>
                    <w:spacing w:line="360" w:lineRule="auto"/>
                    <w:jc w:val="center"/>
                    <w:rPr>
                      <w:color w:val="auto"/>
                      <w:szCs w:val="21"/>
                    </w:rPr>
                  </w:pPr>
                  <w:r>
                    <w:rPr>
                      <w:color w:val="auto"/>
                      <w:szCs w:val="21"/>
                    </w:rPr>
                    <w:t>0.0160</w:t>
                  </w:r>
                </w:p>
              </w:tc>
              <w:tc>
                <w:tcPr>
                  <w:tcW w:w="636" w:type="pct"/>
                  <w:vAlign w:val="center"/>
                </w:tcPr>
                <w:p>
                  <w:pPr>
                    <w:spacing w:line="360" w:lineRule="auto"/>
                    <w:jc w:val="center"/>
                    <w:rPr>
                      <w:color w:val="auto"/>
                      <w:szCs w:val="21"/>
                    </w:rPr>
                  </w:pPr>
                  <w:r>
                    <w:rPr>
                      <w:color w:val="auto"/>
                      <w:szCs w:val="21"/>
                    </w:rPr>
                    <w:t>0.037</w:t>
                  </w:r>
                </w:p>
              </w:tc>
              <w:tc>
                <w:tcPr>
                  <w:tcW w:w="638" w:type="pct"/>
                  <w:vAlign w:val="center"/>
                </w:tcPr>
                <w:p>
                  <w:pPr>
                    <w:spacing w:line="360" w:lineRule="auto"/>
                    <w:jc w:val="center"/>
                    <w:rPr>
                      <w:color w:val="auto"/>
                      <w:szCs w:val="21"/>
                    </w:rPr>
                  </w:pPr>
                  <w:r>
                    <w:rPr>
                      <w:color w:val="auto"/>
                      <w:szCs w:val="21"/>
                    </w:rPr>
                    <w:t>0.057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54" w:type="pct"/>
                  <w:vMerge w:val="continue"/>
                  <w:vAlign w:val="center"/>
                </w:tcPr>
                <w:p>
                  <w:pPr>
                    <w:spacing w:line="360" w:lineRule="auto"/>
                    <w:jc w:val="left"/>
                    <w:rPr>
                      <w:color w:val="auto"/>
                      <w:szCs w:val="21"/>
                    </w:rPr>
                  </w:pPr>
                </w:p>
              </w:tc>
              <w:tc>
                <w:tcPr>
                  <w:tcW w:w="629" w:type="pct"/>
                  <w:vAlign w:val="center"/>
                </w:tcPr>
                <w:p>
                  <w:pPr>
                    <w:spacing w:line="360" w:lineRule="auto"/>
                    <w:jc w:val="center"/>
                    <w:rPr>
                      <w:color w:val="auto"/>
                      <w:szCs w:val="21"/>
                    </w:rPr>
                  </w:pPr>
                  <w:r>
                    <w:rPr>
                      <w:color w:val="auto"/>
                      <w:szCs w:val="21"/>
                    </w:rPr>
                    <w:t>30</w:t>
                  </w:r>
                </w:p>
              </w:tc>
              <w:tc>
                <w:tcPr>
                  <w:tcW w:w="636" w:type="pct"/>
                  <w:vAlign w:val="center"/>
                </w:tcPr>
                <w:p>
                  <w:pPr>
                    <w:spacing w:line="360" w:lineRule="auto"/>
                    <w:jc w:val="center"/>
                    <w:rPr>
                      <w:color w:val="auto"/>
                      <w:szCs w:val="21"/>
                    </w:rPr>
                  </w:pPr>
                  <w:r>
                    <w:rPr>
                      <w:color w:val="auto"/>
                      <w:szCs w:val="21"/>
                    </w:rPr>
                    <w:t>0.0004</w:t>
                  </w:r>
                </w:p>
              </w:tc>
              <w:tc>
                <w:tcPr>
                  <w:tcW w:w="636" w:type="pct"/>
                  <w:vAlign w:val="center"/>
                </w:tcPr>
                <w:p>
                  <w:pPr>
                    <w:spacing w:line="360" w:lineRule="auto"/>
                    <w:jc w:val="center"/>
                    <w:rPr>
                      <w:color w:val="auto"/>
                      <w:szCs w:val="21"/>
                    </w:rPr>
                  </w:pPr>
                  <w:r>
                    <w:rPr>
                      <w:color w:val="auto"/>
                      <w:szCs w:val="21"/>
                    </w:rPr>
                    <w:t>0.0010</w:t>
                  </w:r>
                </w:p>
              </w:tc>
              <w:tc>
                <w:tcPr>
                  <w:tcW w:w="636" w:type="pct"/>
                  <w:vAlign w:val="center"/>
                </w:tcPr>
                <w:p>
                  <w:pPr>
                    <w:spacing w:line="360" w:lineRule="auto"/>
                    <w:jc w:val="center"/>
                    <w:rPr>
                      <w:color w:val="auto"/>
                      <w:szCs w:val="21"/>
                    </w:rPr>
                  </w:pPr>
                  <w:r>
                    <w:rPr>
                      <w:color w:val="auto"/>
                      <w:szCs w:val="21"/>
                    </w:rPr>
                    <w:t>0.0031</w:t>
                  </w:r>
                </w:p>
              </w:tc>
              <w:tc>
                <w:tcPr>
                  <w:tcW w:w="636" w:type="pct"/>
                  <w:vAlign w:val="center"/>
                </w:tcPr>
                <w:p>
                  <w:pPr>
                    <w:spacing w:line="360" w:lineRule="auto"/>
                    <w:jc w:val="center"/>
                    <w:rPr>
                      <w:color w:val="auto"/>
                      <w:szCs w:val="21"/>
                    </w:rPr>
                  </w:pPr>
                  <w:r>
                    <w:rPr>
                      <w:color w:val="auto"/>
                      <w:szCs w:val="21"/>
                    </w:rPr>
                    <w:t>0.0108</w:t>
                  </w:r>
                </w:p>
              </w:tc>
              <w:tc>
                <w:tcPr>
                  <w:tcW w:w="636" w:type="pct"/>
                  <w:vAlign w:val="center"/>
                </w:tcPr>
                <w:p>
                  <w:pPr>
                    <w:spacing w:line="360" w:lineRule="auto"/>
                    <w:jc w:val="center"/>
                    <w:rPr>
                      <w:color w:val="auto"/>
                      <w:szCs w:val="21"/>
                    </w:rPr>
                  </w:pPr>
                  <w:r>
                    <w:rPr>
                      <w:color w:val="auto"/>
                      <w:szCs w:val="21"/>
                    </w:rPr>
                    <w:t>0.033</w:t>
                  </w:r>
                </w:p>
              </w:tc>
              <w:tc>
                <w:tcPr>
                  <w:tcW w:w="638" w:type="pct"/>
                  <w:vAlign w:val="center"/>
                </w:tcPr>
                <w:p>
                  <w:pPr>
                    <w:spacing w:line="360" w:lineRule="auto"/>
                    <w:jc w:val="center"/>
                    <w:rPr>
                      <w:color w:val="auto"/>
                      <w:szCs w:val="21"/>
                    </w:rPr>
                  </w:pPr>
                  <w:r>
                    <w:rPr>
                      <w:color w:val="auto"/>
                      <w:szCs w:val="21"/>
                    </w:rPr>
                    <w:t>0.074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54" w:type="pct"/>
                  <w:vMerge w:val="continue"/>
                  <w:vAlign w:val="center"/>
                </w:tcPr>
                <w:p>
                  <w:pPr>
                    <w:spacing w:line="360" w:lineRule="auto"/>
                    <w:jc w:val="left"/>
                    <w:rPr>
                      <w:color w:val="auto"/>
                      <w:szCs w:val="21"/>
                    </w:rPr>
                  </w:pPr>
                </w:p>
              </w:tc>
              <w:tc>
                <w:tcPr>
                  <w:tcW w:w="629" w:type="pct"/>
                  <w:vAlign w:val="center"/>
                </w:tcPr>
                <w:p>
                  <w:pPr>
                    <w:spacing w:line="360" w:lineRule="auto"/>
                    <w:jc w:val="center"/>
                    <w:rPr>
                      <w:color w:val="auto"/>
                      <w:szCs w:val="21"/>
                    </w:rPr>
                  </w:pPr>
                  <w:r>
                    <w:rPr>
                      <w:color w:val="auto"/>
                      <w:szCs w:val="21"/>
                    </w:rPr>
                    <w:t>50</w:t>
                  </w:r>
                </w:p>
              </w:tc>
              <w:tc>
                <w:tcPr>
                  <w:tcW w:w="636" w:type="pct"/>
                  <w:vAlign w:val="center"/>
                </w:tcPr>
                <w:p>
                  <w:pPr>
                    <w:spacing w:line="360" w:lineRule="auto"/>
                    <w:jc w:val="center"/>
                    <w:rPr>
                      <w:color w:val="auto"/>
                      <w:szCs w:val="21"/>
                    </w:rPr>
                  </w:pPr>
                  <w:r>
                    <w:rPr>
                      <w:color w:val="auto"/>
                      <w:szCs w:val="21"/>
                    </w:rPr>
                    <w:t>0.0004</w:t>
                  </w:r>
                </w:p>
              </w:tc>
              <w:tc>
                <w:tcPr>
                  <w:tcW w:w="636" w:type="pct"/>
                  <w:vAlign w:val="center"/>
                </w:tcPr>
                <w:p>
                  <w:pPr>
                    <w:spacing w:line="360" w:lineRule="auto"/>
                    <w:jc w:val="center"/>
                    <w:rPr>
                      <w:color w:val="auto"/>
                      <w:szCs w:val="21"/>
                    </w:rPr>
                  </w:pPr>
                  <w:r>
                    <w:rPr>
                      <w:color w:val="auto"/>
                      <w:szCs w:val="21"/>
                    </w:rPr>
                    <w:t>0.0008</w:t>
                  </w:r>
                </w:p>
              </w:tc>
              <w:tc>
                <w:tcPr>
                  <w:tcW w:w="636" w:type="pct"/>
                  <w:vAlign w:val="center"/>
                </w:tcPr>
                <w:p>
                  <w:pPr>
                    <w:spacing w:line="360" w:lineRule="auto"/>
                    <w:jc w:val="center"/>
                    <w:rPr>
                      <w:color w:val="auto"/>
                      <w:szCs w:val="21"/>
                    </w:rPr>
                  </w:pPr>
                  <w:r>
                    <w:rPr>
                      <w:color w:val="auto"/>
                      <w:szCs w:val="21"/>
                    </w:rPr>
                    <w:t>0.0019</w:t>
                  </w:r>
                </w:p>
              </w:tc>
              <w:tc>
                <w:tcPr>
                  <w:tcW w:w="636" w:type="pct"/>
                  <w:vAlign w:val="center"/>
                </w:tcPr>
                <w:p>
                  <w:pPr>
                    <w:spacing w:line="360" w:lineRule="auto"/>
                    <w:jc w:val="center"/>
                    <w:rPr>
                      <w:color w:val="auto"/>
                      <w:szCs w:val="21"/>
                    </w:rPr>
                  </w:pPr>
                  <w:r>
                    <w:rPr>
                      <w:color w:val="auto"/>
                      <w:szCs w:val="21"/>
                    </w:rPr>
                    <w:t>0.0060</w:t>
                  </w:r>
                </w:p>
              </w:tc>
              <w:tc>
                <w:tcPr>
                  <w:tcW w:w="636" w:type="pct"/>
                  <w:vAlign w:val="center"/>
                </w:tcPr>
                <w:p>
                  <w:pPr>
                    <w:spacing w:line="360" w:lineRule="auto"/>
                    <w:jc w:val="center"/>
                    <w:rPr>
                      <w:color w:val="auto"/>
                      <w:szCs w:val="21"/>
                    </w:rPr>
                  </w:pPr>
                  <w:r>
                    <w:rPr>
                      <w:color w:val="auto"/>
                      <w:szCs w:val="21"/>
                    </w:rPr>
                    <w:t>0.021</w:t>
                  </w:r>
                </w:p>
              </w:tc>
              <w:tc>
                <w:tcPr>
                  <w:tcW w:w="638" w:type="pct"/>
                  <w:vAlign w:val="center"/>
                </w:tcPr>
                <w:p>
                  <w:pPr>
                    <w:spacing w:line="360" w:lineRule="auto"/>
                    <w:jc w:val="center"/>
                    <w:rPr>
                      <w:color w:val="auto"/>
                      <w:szCs w:val="21"/>
                    </w:rPr>
                  </w:pPr>
                  <w:r>
                    <w:rPr>
                      <w:color w:val="auto"/>
                      <w:szCs w:val="21"/>
                    </w:rPr>
                    <w:t>0.067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54" w:type="pct"/>
                  <w:vMerge w:val="continue"/>
                  <w:vAlign w:val="center"/>
                </w:tcPr>
                <w:p>
                  <w:pPr>
                    <w:spacing w:line="360" w:lineRule="auto"/>
                    <w:jc w:val="left"/>
                    <w:rPr>
                      <w:color w:val="auto"/>
                      <w:szCs w:val="21"/>
                    </w:rPr>
                  </w:pPr>
                </w:p>
              </w:tc>
              <w:tc>
                <w:tcPr>
                  <w:tcW w:w="629" w:type="pct"/>
                  <w:vAlign w:val="center"/>
                </w:tcPr>
                <w:p>
                  <w:pPr>
                    <w:spacing w:line="360" w:lineRule="auto"/>
                    <w:jc w:val="center"/>
                    <w:rPr>
                      <w:color w:val="auto"/>
                      <w:szCs w:val="21"/>
                    </w:rPr>
                  </w:pPr>
                  <w:r>
                    <w:rPr>
                      <w:color w:val="auto"/>
                      <w:szCs w:val="21"/>
                    </w:rPr>
                    <w:t>70</w:t>
                  </w:r>
                </w:p>
              </w:tc>
              <w:tc>
                <w:tcPr>
                  <w:tcW w:w="636" w:type="pct"/>
                  <w:vAlign w:val="center"/>
                </w:tcPr>
                <w:p>
                  <w:pPr>
                    <w:spacing w:line="360" w:lineRule="auto"/>
                    <w:jc w:val="center"/>
                    <w:rPr>
                      <w:color w:val="auto"/>
                      <w:szCs w:val="21"/>
                    </w:rPr>
                  </w:pPr>
                  <w:r>
                    <w:rPr>
                      <w:color w:val="auto"/>
                      <w:szCs w:val="21"/>
                    </w:rPr>
                    <w:t>0.0004</w:t>
                  </w:r>
                </w:p>
              </w:tc>
              <w:tc>
                <w:tcPr>
                  <w:tcW w:w="636" w:type="pct"/>
                  <w:vAlign w:val="center"/>
                </w:tcPr>
                <w:p>
                  <w:pPr>
                    <w:spacing w:line="360" w:lineRule="auto"/>
                    <w:jc w:val="center"/>
                    <w:rPr>
                      <w:color w:val="auto"/>
                      <w:szCs w:val="21"/>
                    </w:rPr>
                  </w:pPr>
                  <w:r>
                    <w:rPr>
                      <w:color w:val="auto"/>
                      <w:szCs w:val="21"/>
                    </w:rPr>
                    <w:t>0.0008</w:t>
                  </w:r>
                </w:p>
              </w:tc>
              <w:tc>
                <w:tcPr>
                  <w:tcW w:w="636" w:type="pct"/>
                  <w:vAlign w:val="center"/>
                </w:tcPr>
                <w:p>
                  <w:pPr>
                    <w:spacing w:line="360" w:lineRule="auto"/>
                    <w:jc w:val="center"/>
                    <w:rPr>
                      <w:color w:val="auto"/>
                      <w:szCs w:val="21"/>
                    </w:rPr>
                  </w:pPr>
                  <w:r>
                    <w:rPr>
                      <w:color w:val="auto"/>
                      <w:szCs w:val="21"/>
                    </w:rPr>
                    <w:t>0.0016</w:t>
                  </w:r>
                </w:p>
              </w:tc>
              <w:tc>
                <w:tcPr>
                  <w:tcW w:w="636" w:type="pct"/>
                  <w:vAlign w:val="center"/>
                </w:tcPr>
                <w:p>
                  <w:pPr>
                    <w:spacing w:line="360" w:lineRule="auto"/>
                    <w:jc w:val="center"/>
                    <w:rPr>
                      <w:color w:val="auto"/>
                      <w:szCs w:val="21"/>
                    </w:rPr>
                  </w:pPr>
                  <w:r>
                    <w:rPr>
                      <w:color w:val="auto"/>
                      <w:szCs w:val="21"/>
                    </w:rPr>
                    <w:t>0.0042</w:t>
                  </w:r>
                </w:p>
              </w:tc>
              <w:tc>
                <w:tcPr>
                  <w:tcW w:w="636" w:type="pct"/>
                  <w:vAlign w:val="center"/>
                </w:tcPr>
                <w:p>
                  <w:pPr>
                    <w:spacing w:line="360" w:lineRule="auto"/>
                    <w:jc w:val="center"/>
                    <w:rPr>
                      <w:color w:val="auto"/>
                      <w:szCs w:val="21"/>
                    </w:rPr>
                  </w:pPr>
                  <w:r>
                    <w:rPr>
                      <w:color w:val="auto"/>
                      <w:szCs w:val="21"/>
                    </w:rPr>
                    <w:t>0.014</w:t>
                  </w:r>
                </w:p>
              </w:tc>
              <w:tc>
                <w:tcPr>
                  <w:tcW w:w="638" w:type="pct"/>
                  <w:vAlign w:val="center"/>
                </w:tcPr>
                <w:p>
                  <w:pPr>
                    <w:spacing w:line="360" w:lineRule="auto"/>
                    <w:jc w:val="center"/>
                    <w:rPr>
                      <w:color w:val="auto"/>
                      <w:szCs w:val="21"/>
                    </w:rPr>
                  </w:pPr>
                  <w:r>
                    <w:rPr>
                      <w:color w:val="auto"/>
                      <w:szCs w:val="21"/>
                    </w:rPr>
                    <w:t>0.051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54" w:type="pct"/>
                  <w:vMerge w:val="continue"/>
                  <w:vAlign w:val="center"/>
                </w:tcPr>
                <w:p>
                  <w:pPr>
                    <w:spacing w:line="360" w:lineRule="auto"/>
                    <w:jc w:val="left"/>
                    <w:rPr>
                      <w:color w:val="auto"/>
                      <w:szCs w:val="21"/>
                    </w:rPr>
                  </w:pPr>
                </w:p>
              </w:tc>
              <w:tc>
                <w:tcPr>
                  <w:tcW w:w="629" w:type="pct"/>
                  <w:vAlign w:val="center"/>
                </w:tcPr>
                <w:p>
                  <w:pPr>
                    <w:spacing w:line="360" w:lineRule="auto"/>
                    <w:jc w:val="center"/>
                    <w:rPr>
                      <w:color w:val="auto"/>
                      <w:szCs w:val="21"/>
                    </w:rPr>
                  </w:pPr>
                  <w:r>
                    <w:rPr>
                      <w:color w:val="auto"/>
                      <w:szCs w:val="21"/>
                    </w:rPr>
                    <w:t>90</w:t>
                  </w:r>
                </w:p>
              </w:tc>
              <w:tc>
                <w:tcPr>
                  <w:tcW w:w="636" w:type="pct"/>
                  <w:vAlign w:val="center"/>
                </w:tcPr>
                <w:p>
                  <w:pPr>
                    <w:spacing w:line="360" w:lineRule="auto"/>
                    <w:jc w:val="center"/>
                    <w:rPr>
                      <w:color w:val="auto"/>
                      <w:szCs w:val="21"/>
                    </w:rPr>
                  </w:pPr>
                  <w:r>
                    <w:rPr>
                      <w:color w:val="auto"/>
                      <w:szCs w:val="21"/>
                    </w:rPr>
                    <w:t>0.0003</w:t>
                  </w:r>
                </w:p>
              </w:tc>
              <w:tc>
                <w:tcPr>
                  <w:tcW w:w="636" w:type="pct"/>
                  <w:vAlign w:val="center"/>
                </w:tcPr>
                <w:p>
                  <w:pPr>
                    <w:spacing w:line="360" w:lineRule="auto"/>
                    <w:jc w:val="center"/>
                    <w:rPr>
                      <w:color w:val="auto"/>
                      <w:szCs w:val="21"/>
                    </w:rPr>
                  </w:pPr>
                  <w:r>
                    <w:rPr>
                      <w:color w:val="auto"/>
                      <w:szCs w:val="21"/>
                    </w:rPr>
                    <w:t>0.0008</w:t>
                  </w:r>
                </w:p>
              </w:tc>
              <w:tc>
                <w:tcPr>
                  <w:tcW w:w="636" w:type="pct"/>
                  <w:vAlign w:val="center"/>
                </w:tcPr>
                <w:p>
                  <w:pPr>
                    <w:spacing w:line="360" w:lineRule="auto"/>
                    <w:jc w:val="center"/>
                    <w:rPr>
                      <w:color w:val="auto"/>
                      <w:szCs w:val="21"/>
                    </w:rPr>
                  </w:pPr>
                  <w:r>
                    <w:rPr>
                      <w:color w:val="auto"/>
                      <w:szCs w:val="21"/>
                    </w:rPr>
                    <w:t>0.0015</w:t>
                  </w:r>
                </w:p>
              </w:tc>
              <w:tc>
                <w:tcPr>
                  <w:tcW w:w="636" w:type="pct"/>
                  <w:vAlign w:val="center"/>
                </w:tcPr>
                <w:p>
                  <w:pPr>
                    <w:spacing w:line="360" w:lineRule="auto"/>
                    <w:jc w:val="center"/>
                    <w:rPr>
                      <w:color w:val="auto"/>
                      <w:szCs w:val="21"/>
                    </w:rPr>
                  </w:pPr>
                  <w:r>
                    <w:rPr>
                      <w:color w:val="auto"/>
                      <w:szCs w:val="21"/>
                    </w:rPr>
                    <w:t>0.0036</w:t>
                  </w:r>
                </w:p>
              </w:tc>
              <w:tc>
                <w:tcPr>
                  <w:tcW w:w="636" w:type="pct"/>
                  <w:vAlign w:val="center"/>
                </w:tcPr>
                <w:p>
                  <w:pPr>
                    <w:spacing w:line="360" w:lineRule="auto"/>
                    <w:jc w:val="center"/>
                    <w:rPr>
                      <w:color w:val="auto"/>
                      <w:szCs w:val="21"/>
                    </w:rPr>
                  </w:pPr>
                  <w:r>
                    <w:rPr>
                      <w:color w:val="auto"/>
                      <w:szCs w:val="21"/>
                    </w:rPr>
                    <w:t>0.011</w:t>
                  </w:r>
                </w:p>
              </w:tc>
              <w:tc>
                <w:tcPr>
                  <w:tcW w:w="638" w:type="pct"/>
                  <w:vAlign w:val="center"/>
                </w:tcPr>
                <w:p>
                  <w:pPr>
                    <w:spacing w:line="360" w:lineRule="auto"/>
                    <w:jc w:val="center"/>
                    <w:rPr>
                      <w:color w:val="auto"/>
                      <w:szCs w:val="21"/>
                    </w:rPr>
                  </w:pPr>
                  <w:r>
                    <w:rPr>
                      <w:color w:val="auto"/>
                      <w:szCs w:val="21"/>
                    </w:rPr>
                    <w:t>0.041</w:t>
                  </w:r>
                </w:p>
              </w:tc>
            </w:tr>
          </w:tbl>
          <w:p>
            <w:pPr>
              <w:spacing w:line="360" w:lineRule="auto"/>
              <w:ind w:firstLine="482"/>
              <w:rPr>
                <w:b/>
                <w:color w:val="auto"/>
                <w:sz w:val="24"/>
              </w:rPr>
            </w:pPr>
            <w:r>
              <w:rPr>
                <w:b/>
                <w:color w:val="auto"/>
                <w:sz w:val="24"/>
              </w:rPr>
              <w:t>（5）多个等效室外声源叠加后的总声压级</w:t>
            </w:r>
          </w:p>
          <w:p>
            <w:pPr>
              <w:spacing w:line="360" w:lineRule="auto"/>
              <w:ind w:firstLine="480"/>
              <w:rPr>
                <w:color w:val="auto"/>
                <w:sz w:val="24"/>
              </w:rPr>
            </w:pPr>
            <w:r>
              <w:rPr>
                <w:color w:val="auto"/>
                <w:sz w:val="24"/>
              </w:rPr>
              <w:t>多个噪声源叠加后的总声压级，按下式计算：</w:t>
            </w:r>
          </w:p>
          <w:p>
            <w:pPr>
              <w:spacing w:line="360" w:lineRule="auto"/>
              <w:ind w:firstLine="1200" w:firstLineChars="500"/>
              <w:jc w:val="center"/>
              <w:rPr>
                <w:color w:val="auto"/>
                <w:sz w:val="24"/>
              </w:rPr>
            </w:pPr>
            <w:r>
              <w:rPr>
                <w:color w:val="auto"/>
                <w:position w:val="-30"/>
                <w:sz w:val="24"/>
              </w:rPr>
              <w:object>
                <v:shape id="_x0000_i1032" o:spt="75" type="#_x0000_t75" style="height:35.65pt;width:115.65pt;" o:ole="t" filled="f" o:preferrelative="t" stroked="f" coordsize="21600,21600">
                  <v:path/>
                  <v:fill on="f" focussize="0,0"/>
                  <v:stroke on="f" joinstyle="miter"/>
                  <v:imagedata r:id="rId44" o:title=""/>
                  <o:lock v:ext="edit" aspectratio="t"/>
                  <w10:wrap type="none"/>
                  <w10:anchorlock/>
                </v:shape>
                <o:OLEObject Type="Embed" ProgID="Equations" ShapeID="_x0000_i1032" DrawAspect="Content" ObjectID="_1468075732" r:id="rId43">
                  <o:LockedField>false</o:LockedField>
                </o:OLEObject>
              </w:object>
            </w:r>
          </w:p>
          <w:p>
            <w:pPr>
              <w:spacing w:line="360" w:lineRule="auto"/>
              <w:ind w:firstLine="480" w:firstLineChars="200"/>
              <w:rPr>
                <w:color w:val="auto"/>
                <w:sz w:val="24"/>
              </w:rPr>
            </w:pPr>
            <w:r>
              <w:rPr>
                <w:color w:val="auto"/>
                <w:sz w:val="24"/>
              </w:rPr>
              <w:t>式中：n：声源总数；</w:t>
            </w:r>
          </w:p>
          <w:p>
            <w:pPr>
              <w:spacing w:line="360" w:lineRule="auto"/>
              <w:ind w:firstLine="1200" w:firstLineChars="500"/>
              <w:rPr>
                <w:color w:val="auto"/>
                <w:sz w:val="24"/>
              </w:rPr>
            </w:pPr>
            <w:r>
              <w:rPr>
                <w:i/>
                <w:iCs/>
                <w:color w:val="auto"/>
                <w:sz w:val="24"/>
              </w:rPr>
              <w:t>L</w:t>
            </w:r>
            <w:r>
              <w:rPr>
                <w:i/>
                <w:iCs/>
                <w:color w:val="auto"/>
                <w:sz w:val="24"/>
                <w:vertAlign w:val="subscript"/>
              </w:rPr>
              <w:t>pt</w:t>
            </w:r>
            <w:r>
              <w:rPr>
                <w:color w:val="auto"/>
                <w:sz w:val="24"/>
              </w:rPr>
              <w:t>：对于某点的总声压级。</w:t>
            </w:r>
          </w:p>
          <w:p>
            <w:pPr>
              <w:spacing w:line="360" w:lineRule="auto"/>
              <w:ind w:firstLine="482" w:firstLineChars="200"/>
              <w:rPr>
                <w:b/>
                <w:color w:val="auto"/>
                <w:sz w:val="24"/>
              </w:rPr>
            </w:pPr>
            <w:r>
              <w:rPr>
                <w:rFonts w:ascii="Calibri" w:hAnsi="Calibri" w:cs="Calibri"/>
                <w:b/>
                <w:color w:val="auto"/>
                <w:sz w:val="24"/>
              </w:rPr>
              <w:t>②</w:t>
            </w:r>
            <w:r>
              <w:rPr>
                <w:b/>
                <w:color w:val="auto"/>
                <w:sz w:val="24"/>
              </w:rPr>
              <w:t>、预测结果</w:t>
            </w:r>
          </w:p>
          <w:p>
            <w:pPr>
              <w:spacing w:line="360" w:lineRule="auto"/>
              <w:ind w:firstLine="480" w:firstLineChars="200"/>
              <w:rPr>
                <w:color w:val="auto"/>
                <w:sz w:val="24"/>
              </w:rPr>
            </w:pPr>
            <w:r>
              <w:rPr>
                <w:color w:val="auto"/>
                <w:sz w:val="24"/>
              </w:rPr>
              <w:t>根据上述计算模式，</w:t>
            </w:r>
            <w:r>
              <w:rPr>
                <w:rFonts w:hint="eastAsia"/>
                <w:color w:val="auto"/>
                <w:sz w:val="24"/>
              </w:rPr>
              <w:t>本环评使用EIAN</w:t>
            </w:r>
            <w:r>
              <w:rPr>
                <w:color w:val="auto"/>
                <w:sz w:val="24"/>
              </w:rPr>
              <w:t>2.0</w:t>
            </w:r>
            <w:r>
              <w:rPr>
                <w:rFonts w:hint="eastAsia"/>
                <w:color w:val="auto"/>
                <w:sz w:val="24"/>
              </w:rPr>
              <w:t>噪声预测软件对加压泵站的泵房噪声源在</w:t>
            </w:r>
            <w:r>
              <w:rPr>
                <w:color w:val="auto"/>
                <w:sz w:val="24"/>
              </w:rPr>
              <w:t>采取隔声降噪措施情况下</w:t>
            </w:r>
            <w:r>
              <w:rPr>
                <w:rFonts w:hint="eastAsia"/>
                <w:color w:val="auto"/>
                <w:sz w:val="24"/>
              </w:rPr>
              <w:t>的噪声叠加现状影响。由于距离加压泵站最近的居民敏感点为项目边界西面约</w:t>
            </w:r>
            <w:r>
              <w:rPr>
                <w:color w:val="auto"/>
                <w:sz w:val="24"/>
              </w:rPr>
              <w:t>7m</w:t>
            </w:r>
            <w:r>
              <w:rPr>
                <w:rFonts w:hint="eastAsia"/>
                <w:color w:val="auto"/>
                <w:sz w:val="24"/>
              </w:rPr>
              <w:t>（距离噪声源约2</w:t>
            </w:r>
            <w:r>
              <w:rPr>
                <w:color w:val="auto"/>
                <w:sz w:val="24"/>
              </w:rPr>
              <w:t>7m</w:t>
            </w:r>
            <w:r>
              <w:rPr>
                <w:rFonts w:hint="eastAsia"/>
                <w:color w:val="auto"/>
                <w:sz w:val="24"/>
              </w:rPr>
              <w:t>）的梅江碧桂园，因此预测时采用的噪声背景值取泵站西面（梅江碧桂园）现状监测值（日夜5</w:t>
            </w:r>
            <w:r>
              <w:rPr>
                <w:color w:val="auto"/>
                <w:sz w:val="24"/>
              </w:rPr>
              <w:t>8.1dB(A)</w:t>
            </w:r>
            <w:r>
              <w:rPr>
                <w:rFonts w:hint="eastAsia"/>
                <w:color w:val="auto"/>
                <w:sz w:val="24"/>
              </w:rPr>
              <w:t>，夜间</w:t>
            </w:r>
            <w:r>
              <w:rPr>
                <w:color w:val="auto"/>
                <w:sz w:val="24"/>
              </w:rPr>
              <w:t>46.8dB(A)</w:t>
            </w:r>
            <w:r>
              <w:rPr>
                <w:rFonts w:hint="eastAsia"/>
                <w:color w:val="auto"/>
                <w:sz w:val="24"/>
              </w:rPr>
              <w:t>）预测参数选取和预测结果以下。</w:t>
            </w:r>
          </w:p>
          <w:p>
            <w:pPr>
              <w:pStyle w:val="131"/>
              <w:spacing w:line="360" w:lineRule="auto"/>
              <w:rPr>
                <w:rFonts w:ascii="Times New Roman" w:hAnsi="Times New Roman" w:eastAsia="宋体"/>
                <w:b/>
                <w:color w:val="auto"/>
                <w:szCs w:val="21"/>
              </w:rPr>
            </w:pPr>
            <w:bookmarkStart w:id="15" w:name="_Ref290839961"/>
            <w:r>
              <w:rPr>
                <w:color w:val="auto"/>
              </w:rPr>
              <w:drawing>
                <wp:inline distT="0" distB="0" distL="0" distR="0">
                  <wp:extent cx="5052060" cy="3697605"/>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45"/>
                          <a:stretch>
                            <a:fillRect/>
                          </a:stretch>
                        </pic:blipFill>
                        <pic:spPr>
                          <a:xfrm>
                            <a:off x="0" y="0"/>
                            <a:ext cx="5055020" cy="3699929"/>
                          </a:xfrm>
                          <a:prstGeom prst="rect">
                            <a:avLst/>
                          </a:prstGeom>
                        </pic:spPr>
                      </pic:pic>
                    </a:graphicData>
                  </a:graphic>
                </wp:inline>
              </w:drawing>
            </w:r>
          </w:p>
          <w:p>
            <w:pPr>
              <w:pStyle w:val="131"/>
              <w:spacing w:line="360" w:lineRule="auto"/>
              <w:rPr>
                <w:rFonts w:ascii="Times New Roman" w:hAnsi="Times New Roman" w:eastAsia="宋体"/>
                <w:b/>
                <w:color w:val="auto"/>
                <w:szCs w:val="21"/>
              </w:rPr>
            </w:pPr>
            <w:r>
              <w:rPr>
                <w:rFonts w:hint="eastAsia" w:ascii="Times New Roman" w:hAnsi="Times New Roman" w:eastAsia="宋体"/>
                <w:b/>
                <w:color w:val="auto"/>
                <w:szCs w:val="21"/>
              </w:rPr>
              <w:t>图</w:t>
            </w:r>
            <w:r>
              <w:rPr>
                <w:rFonts w:ascii="Times New Roman" w:hAnsi="Times New Roman" w:eastAsia="宋体"/>
                <w:b/>
                <w:color w:val="auto"/>
                <w:szCs w:val="21"/>
              </w:rPr>
              <w:t xml:space="preserve">5 </w:t>
            </w:r>
            <w:r>
              <w:rPr>
                <w:rFonts w:hint="eastAsia" w:ascii="Times New Roman" w:hAnsi="Times New Roman" w:eastAsia="宋体"/>
                <w:b/>
                <w:color w:val="auto"/>
                <w:szCs w:val="21"/>
              </w:rPr>
              <w:t>噪声预测参数图</w:t>
            </w:r>
          </w:p>
          <w:p>
            <w:pPr>
              <w:pStyle w:val="131"/>
              <w:spacing w:line="360" w:lineRule="auto"/>
              <w:rPr>
                <w:rFonts w:ascii="Times New Roman" w:hAnsi="Times New Roman" w:eastAsia="宋体"/>
                <w:b/>
                <w:color w:val="auto"/>
                <w:szCs w:val="21"/>
              </w:rPr>
            </w:pPr>
            <w:r>
              <w:rPr>
                <w:color w:val="auto"/>
              </w:rPr>
              <w:drawing>
                <wp:inline distT="0" distB="0" distL="0" distR="0">
                  <wp:extent cx="5292090" cy="4006215"/>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46"/>
                          <a:stretch>
                            <a:fillRect/>
                          </a:stretch>
                        </pic:blipFill>
                        <pic:spPr>
                          <a:xfrm>
                            <a:off x="0" y="0"/>
                            <a:ext cx="5297121" cy="4009965"/>
                          </a:xfrm>
                          <a:prstGeom prst="rect">
                            <a:avLst/>
                          </a:prstGeom>
                        </pic:spPr>
                      </pic:pic>
                    </a:graphicData>
                  </a:graphic>
                </wp:inline>
              </w:drawing>
            </w:r>
          </w:p>
          <w:p>
            <w:pPr>
              <w:pStyle w:val="131"/>
              <w:spacing w:line="360" w:lineRule="auto"/>
              <w:rPr>
                <w:rFonts w:ascii="Times New Roman" w:hAnsi="Times New Roman" w:eastAsia="宋体"/>
                <w:b/>
                <w:color w:val="auto"/>
                <w:szCs w:val="21"/>
              </w:rPr>
            </w:pPr>
            <w:r>
              <w:rPr>
                <w:rFonts w:hint="eastAsia" w:ascii="Times New Roman" w:hAnsi="Times New Roman" w:eastAsia="宋体"/>
                <w:b/>
                <w:color w:val="auto"/>
                <w:szCs w:val="21"/>
              </w:rPr>
              <w:t>图</w:t>
            </w:r>
            <w:r>
              <w:rPr>
                <w:rFonts w:ascii="Times New Roman" w:hAnsi="Times New Roman" w:eastAsia="宋体"/>
                <w:b/>
                <w:color w:val="auto"/>
                <w:szCs w:val="21"/>
              </w:rPr>
              <w:t xml:space="preserve">6 </w:t>
            </w:r>
            <w:r>
              <w:rPr>
                <w:rFonts w:hint="eastAsia" w:ascii="Times New Roman" w:hAnsi="Times New Roman" w:eastAsia="宋体"/>
                <w:b/>
                <w:color w:val="auto"/>
                <w:szCs w:val="21"/>
              </w:rPr>
              <w:t>噪声预测结果图（日间）（叠加现状）</w:t>
            </w:r>
          </w:p>
          <w:p>
            <w:pPr>
              <w:pStyle w:val="131"/>
              <w:spacing w:line="360" w:lineRule="auto"/>
              <w:rPr>
                <w:rFonts w:ascii="Times New Roman" w:hAnsi="Times New Roman" w:eastAsia="宋体"/>
                <w:b/>
                <w:color w:val="auto"/>
                <w:szCs w:val="21"/>
              </w:rPr>
            </w:pPr>
          </w:p>
          <w:p>
            <w:pPr>
              <w:pStyle w:val="131"/>
              <w:spacing w:line="360" w:lineRule="auto"/>
              <w:rPr>
                <w:rFonts w:ascii="Times New Roman" w:hAnsi="Times New Roman" w:eastAsia="宋体"/>
                <w:b/>
                <w:color w:val="auto"/>
                <w:sz w:val="24"/>
                <w:szCs w:val="24"/>
              </w:rPr>
            </w:pPr>
            <w:r>
              <w:rPr>
                <w:rFonts w:ascii="Times New Roman" w:hAnsi="Times New Roman" w:eastAsia="宋体"/>
                <w:b/>
                <w:color w:val="auto"/>
                <w:sz w:val="24"/>
                <w:szCs w:val="24"/>
              </w:rPr>
              <w:t>表</w:t>
            </w:r>
            <w:bookmarkEnd w:id="15"/>
            <w:r>
              <w:rPr>
                <w:rFonts w:ascii="Times New Roman" w:hAnsi="Times New Roman" w:eastAsia="宋体"/>
                <w:b/>
                <w:color w:val="auto"/>
                <w:sz w:val="24"/>
                <w:szCs w:val="24"/>
              </w:rPr>
              <w:t xml:space="preserve">21  厂界噪声预测结果 </w:t>
            </w:r>
            <w:r>
              <w:rPr>
                <w:rFonts w:hint="eastAsia" w:ascii="Times New Roman" w:hAnsi="Times New Roman" w:eastAsia="宋体"/>
                <w:b/>
                <w:color w:val="auto"/>
                <w:sz w:val="24"/>
                <w:szCs w:val="24"/>
              </w:rPr>
              <w:t>（日间）（部分）</w:t>
            </w:r>
            <w:r>
              <w:rPr>
                <w:rFonts w:ascii="Times New Roman" w:hAnsi="Times New Roman" w:eastAsia="宋体"/>
                <w:b/>
                <w:color w:val="auto"/>
                <w:sz w:val="24"/>
                <w:szCs w:val="24"/>
              </w:rPr>
              <w:t>[ 单位：dB(A) ]</w:t>
            </w:r>
          </w:p>
          <w:tbl>
            <w:tblPr>
              <w:tblStyle w:val="33"/>
              <w:tblW w:w="913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1"/>
              <w:gridCol w:w="761"/>
              <w:gridCol w:w="761"/>
              <w:gridCol w:w="761"/>
              <w:gridCol w:w="761"/>
              <w:gridCol w:w="761"/>
              <w:gridCol w:w="761"/>
              <w:gridCol w:w="761"/>
              <w:gridCol w:w="761"/>
              <w:gridCol w:w="761"/>
              <w:gridCol w:w="761"/>
              <w:gridCol w:w="7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761" w:type="dxa"/>
                  <w:vAlign w:val="center"/>
                </w:tcPr>
                <w:p>
                  <w:pPr>
                    <w:widowControl/>
                    <w:jc w:val="center"/>
                    <w:rPr>
                      <w:rFonts w:eastAsia="等线"/>
                      <w:color w:val="auto"/>
                      <w:kern w:val="0"/>
                      <w:szCs w:val="21"/>
                    </w:rPr>
                  </w:pPr>
                  <w:r>
                    <w:rPr>
                      <w:rFonts w:hint="eastAsia" w:eastAsia="等线"/>
                      <w:color w:val="auto"/>
                      <w:kern w:val="0"/>
                      <w:szCs w:val="21"/>
                    </w:rPr>
                    <w:t>距离(m</w:t>
                  </w:r>
                  <w:r>
                    <w:rPr>
                      <w:rFonts w:eastAsia="等线"/>
                      <w:color w:val="auto"/>
                      <w:kern w:val="0"/>
                      <w:szCs w:val="21"/>
                    </w:rPr>
                    <w:t>)</w:t>
                  </w:r>
                </w:p>
              </w:tc>
              <w:tc>
                <w:tcPr>
                  <w:tcW w:w="761" w:type="dxa"/>
                  <w:shd w:val="clear" w:color="auto" w:fill="auto"/>
                  <w:noWrap/>
                  <w:vAlign w:val="center"/>
                </w:tcPr>
                <w:p>
                  <w:pPr>
                    <w:widowControl/>
                    <w:jc w:val="center"/>
                    <w:rPr>
                      <w:rFonts w:eastAsia="等线"/>
                      <w:color w:val="auto"/>
                      <w:kern w:val="0"/>
                      <w:szCs w:val="21"/>
                    </w:rPr>
                  </w:pPr>
                  <w:r>
                    <w:rPr>
                      <w:rFonts w:hint="eastAsia" w:eastAsia="等线"/>
                      <w:color w:val="auto"/>
                      <w:kern w:val="0"/>
                      <w:szCs w:val="21"/>
                    </w:rPr>
                    <w:t>-50</w:t>
                  </w:r>
                </w:p>
              </w:tc>
              <w:tc>
                <w:tcPr>
                  <w:tcW w:w="761" w:type="dxa"/>
                  <w:shd w:val="clear" w:color="auto" w:fill="auto"/>
                  <w:noWrap/>
                  <w:vAlign w:val="center"/>
                </w:tcPr>
                <w:p>
                  <w:pPr>
                    <w:widowControl/>
                    <w:jc w:val="center"/>
                    <w:rPr>
                      <w:rFonts w:eastAsia="等线"/>
                      <w:color w:val="auto"/>
                      <w:kern w:val="0"/>
                      <w:szCs w:val="21"/>
                    </w:rPr>
                  </w:pPr>
                  <w:r>
                    <w:rPr>
                      <w:rFonts w:hint="eastAsia" w:eastAsia="等线"/>
                      <w:color w:val="auto"/>
                      <w:kern w:val="0"/>
                      <w:szCs w:val="21"/>
                    </w:rPr>
                    <w:t>-40</w:t>
                  </w:r>
                </w:p>
              </w:tc>
              <w:tc>
                <w:tcPr>
                  <w:tcW w:w="761" w:type="dxa"/>
                  <w:shd w:val="clear" w:color="auto" w:fill="auto"/>
                  <w:noWrap/>
                  <w:vAlign w:val="center"/>
                </w:tcPr>
                <w:p>
                  <w:pPr>
                    <w:widowControl/>
                    <w:jc w:val="center"/>
                    <w:rPr>
                      <w:rFonts w:eastAsia="等线"/>
                      <w:color w:val="auto"/>
                      <w:kern w:val="0"/>
                      <w:szCs w:val="21"/>
                    </w:rPr>
                  </w:pPr>
                  <w:r>
                    <w:rPr>
                      <w:rFonts w:hint="eastAsia" w:eastAsia="等线"/>
                      <w:color w:val="auto"/>
                      <w:kern w:val="0"/>
                      <w:szCs w:val="21"/>
                    </w:rPr>
                    <w:t>-30</w:t>
                  </w:r>
                </w:p>
              </w:tc>
              <w:tc>
                <w:tcPr>
                  <w:tcW w:w="761" w:type="dxa"/>
                  <w:shd w:val="clear" w:color="auto" w:fill="auto"/>
                  <w:noWrap/>
                  <w:vAlign w:val="center"/>
                </w:tcPr>
                <w:p>
                  <w:pPr>
                    <w:widowControl/>
                    <w:jc w:val="center"/>
                    <w:rPr>
                      <w:rFonts w:eastAsia="等线"/>
                      <w:color w:val="auto"/>
                      <w:kern w:val="0"/>
                      <w:szCs w:val="21"/>
                    </w:rPr>
                  </w:pPr>
                  <w:r>
                    <w:rPr>
                      <w:rFonts w:hint="eastAsia" w:eastAsia="等线"/>
                      <w:color w:val="auto"/>
                      <w:kern w:val="0"/>
                      <w:szCs w:val="21"/>
                    </w:rPr>
                    <w:t>-20</w:t>
                  </w:r>
                </w:p>
              </w:tc>
              <w:tc>
                <w:tcPr>
                  <w:tcW w:w="761" w:type="dxa"/>
                  <w:shd w:val="clear" w:color="auto" w:fill="auto"/>
                  <w:noWrap/>
                  <w:vAlign w:val="center"/>
                </w:tcPr>
                <w:p>
                  <w:pPr>
                    <w:widowControl/>
                    <w:jc w:val="center"/>
                    <w:rPr>
                      <w:rFonts w:eastAsia="等线"/>
                      <w:color w:val="auto"/>
                      <w:kern w:val="0"/>
                      <w:szCs w:val="21"/>
                    </w:rPr>
                  </w:pPr>
                  <w:r>
                    <w:rPr>
                      <w:rFonts w:hint="eastAsia" w:eastAsia="等线"/>
                      <w:color w:val="auto"/>
                      <w:kern w:val="0"/>
                      <w:szCs w:val="21"/>
                    </w:rPr>
                    <w:t>-10</w:t>
                  </w:r>
                </w:p>
              </w:tc>
              <w:tc>
                <w:tcPr>
                  <w:tcW w:w="761" w:type="dxa"/>
                  <w:shd w:val="clear" w:color="auto" w:fill="auto"/>
                  <w:noWrap/>
                  <w:vAlign w:val="center"/>
                </w:tcPr>
                <w:p>
                  <w:pPr>
                    <w:widowControl/>
                    <w:jc w:val="center"/>
                    <w:rPr>
                      <w:rFonts w:eastAsia="等线"/>
                      <w:color w:val="auto"/>
                      <w:kern w:val="0"/>
                      <w:szCs w:val="21"/>
                    </w:rPr>
                  </w:pPr>
                  <w:r>
                    <w:rPr>
                      <w:rFonts w:hint="eastAsia" w:eastAsia="等线"/>
                      <w:color w:val="auto"/>
                      <w:kern w:val="0"/>
                      <w:szCs w:val="21"/>
                    </w:rPr>
                    <w:t>0</w:t>
                  </w:r>
                </w:p>
              </w:tc>
              <w:tc>
                <w:tcPr>
                  <w:tcW w:w="761" w:type="dxa"/>
                  <w:shd w:val="clear" w:color="auto" w:fill="auto"/>
                  <w:noWrap/>
                  <w:vAlign w:val="center"/>
                </w:tcPr>
                <w:p>
                  <w:pPr>
                    <w:widowControl/>
                    <w:jc w:val="center"/>
                    <w:rPr>
                      <w:rFonts w:eastAsia="等线"/>
                      <w:color w:val="auto"/>
                      <w:kern w:val="0"/>
                      <w:szCs w:val="21"/>
                    </w:rPr>
                  </w:pPr>
                  <w:r>
                    <w:rPr>
                      <w:rFonts w:hint="eastAsia" w:eastAsia="等线"/>
                      <w:color w:val="auto"/>
                      <w:kern w:val="0"/>
                      <w:szCs w:val="21"/>
                    </w:rPr>
                    <w:t>10</w:t>
                  </w:r>
                </w:p>
              </w:tc>
              <w:tc>
                <w:tcPr>
                  <w:tcW w:w="761" w:type="dxa"/>
                  <w:shd w:val="clear" w:color="auto" w:fill="auto"/>
                  <w:noWrap/>
                  <w:vAlign w:val="center"/>
                </w:tcPr>
                <w:p>
                  <w:pPr>
                    <w:widowControl/>
                    <w:jc w:val="center"/>
                    <w:rPr>
                      <w:rFonts w:eastAsia="等线"/>
                      <w:color w:val="auto"/>
                      <w:kern w:val="0"/>
                      <w:szCs w:val="21"/>
                    </w:rPr>
                  </w:pPr>
                  <w:r>
                    <w:rPr>
                      <w:rFonts w:hint="eastAsia" w:eastAsia="等线"/>
                      <w:color w:val="auto"/>
                      <w:kern w:val="0"/>
                      <w:szCs w:val="21"/>
                    </w:rPr>
                    <w:t>20</w:t>
                  </w:r>
                </w:p>
              </w:tc>
              <w:tc>
                <w:tcPr>
                  <w:tcW w:w="761" w:type="dxa"/>
                  <w:shd w:val="clear" w:color="auto" w:fill="auto"/>
                  <w:noWrap/>
                  <w:vAlign w:val="center"/>
                </w:tcPr>
                <w:p>
                  <w:pPr>
                    <w:widowControl/>
                    <w:jc w:val="center"/>
                    <w:rPr>
                      <w:rFonts w:eastAsia="等线"/>
                      <w:color w:val="auto"/>
                      <w:kern w:val="0"/>
                      <w:szCs w:val="21"/>
                    </w:rPr>
                  </w:pPr>
                  <w:r>
                    <w:rPr>
                      <w:rFonts w:hint="eastAsia" w:eastAsia="等线"/>
                      <w:color w:val="auto"/>
                      <w:kern w:val="0"/>
                      <w:szCs w:val="21"/>
                    </w:rPr>
                    <w:t>30</w:t>
                  </w:r>
                </w:p>
              </w:tc>
              <w:tc>
                <w:tcPr>
                  <w:tcW w:w="761" w:type="dxa"/>
                  <w:shd w:val="clear" w:color="auto" w:fill="auto"/>
                  <w:noWrap/>
                  <w:vAlign w:val="center"/>
                </w:tcPr>
                <w:p>
                  <w:pPr>
                    <w:widowControl/>
                    <w:jc w:val="center"/>
                    <w:rPr>
                      <w:rFonts w:eastAsia="等线"/>
                      <w:color w:val="auto"/>
                      <w:kern w:val="0"/>
                      <w:szCs w:val="21"/>
                    </w:rPr>
                  </w:pPr>
                  <w:r>
                    <w:rPr>
                      <w:rFonts w:hint="eastAsia" w:eastAsia="等线"/>
                      <w:color w:val="auto"/>
                      <w:kern w:val="0"/>
                      <w:szCs w:val="21"/>
                    </w:rPr>
                    <w:t>40</w:t>
                  </w:r>
                </w:p>
              </w:tc>
              <w:tc>
                <w:tcPr>
                  <w:tcW w:w="761" w:type="dxa"/>
                  <w:shd w:val="clear" w:color="auto" w:fill="auto"/>
                  <w:noWrap/>
                  <w:vAlign w:val="center"/>
                </w:tcPr>
                <w:p>
                  <w:pPr>
                    <w:widowControl/>
                    <w:jc w:val="center"/>
                    <w:rPr>
                      <w:rFonts w:eastAsia="等线"/>
                      <w:color w:val="auto"/>
                      <w:kern w:val="0"/>
                      <w:szCs w:val="21"/>
                    </w:rPr>
                  </w:pPr>
                  <w:r>
                    <w:rPr>
                      <w:rFonts w:hint="eastAsia" w:eastAsia="等线"/>
                      <w:color w:val="auto"/>
                      <w:kern w:val="0"/>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761" w:type="dxa"/>
                  <w:vAlign w:val="bottom"/>
                </w:tcPr>
                <w:p>
                  <w:pPr>
                    <w:widowControl/>
                    <w:jc w:val="center"/>
                    <w:rPr>
                      <w:rFonts w:eastAsia="等线"/>
                      <w:color w:val="auto"/>
                      <w:kern w:val="0"/>
                      <w:szCs w:val="21"/>
                    </w:rPr>
                  </w:pPr>
                  <w:r>
                    <w:rPr>
                      <w:rFonts w:hint="eastAsia" w:eastAsia="等线"/>
                      <w:color w:val="auto"/>
                      <w:kern w:val="0"/>
                      <w:szCs w:val="21"/>
                    </w:rPr>
                    <w:t>-40</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58.24</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58.28</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58.33</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58.38</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58.44</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58.47</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58.46</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58.41</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58.36</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58.3</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761" w:type="dxa"/>
                  <w:vAlign w:val="bottom"/>
                </w:tcPr>
                <w:p>
                  <w:pPr>
                    <w:widowControl/>
                    <w:jc w:val="center"/>
                    <w:rPr>
                      <w:rFonts w:eastAsia="等线"/>
                      <w:color w:val="auto"/>
                      <w:kern w:val="0"/>
                      <w:szCs w:val="21"/>
                    </w:rPr>
                  </w:pPr>
                  <w:r>
                    <w:rPr>
                      <w:rFonts w:hint="eastAsia" w:eastAsia="等线"/>
                      <w:color w:val="auto"/>
                      <w:kern w:val="0"/>
                      <w:szCs w:val="21"/>
                    </w:rPr>
                    <w:t>-30</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58.27</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58.33</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58.41</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58.52</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58.64</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58.72</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58.7</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58.58</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58.46</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58.36</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761" w:type="dxa"/>
                  <w:vAlign w:val="bottom"/>
                </w:tcPr>
                <w:p>
                  <w:pPr>
                    <w:widowControl/>
                    <w:jc w:val="center"/>
                    <w:rPr>
                      <w:rFonts w:eastAsia="等线"/>
                      <w:color w:val="auto"/>
                      <w:kern w:val="0"/>
                      <w:szCs w:val="21"/>
                    </w:rPr>
                  </w:pPr>
                  <w:r>
                    <w:rPr>
                      <w:rFonts w:hint="eastAsia" w:eastAsia="等线"/>
                      <w:color w:val="auto"/>
                      <w:kern w:val="0"/>
                      <w:szCs w:val="21"/>
                    </w:rPr>
                    <w:t>-20</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58.3</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58.38</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58.51</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58.74</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59.07</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59.35</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59.25</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58.9</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58.61</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58.44</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761" w:type="dxa"/>
                  <w:vAlign w:val="bottom"/>
                </w:tcPr>
                <w:p>
                  <w:pPr>
                    <w:widowControl/>
                    <w:jc w:val="center"/>
                    <w:rPr>
                      <w:rFonts w:eastAsia="等线"/>
                      <w:color w:val="auto"/>
                      <w:kern w:val="0"/>
                      <w:szCs w:val="21"/>
                    </w:rPr>
                  </w:pPr>
                  <w:r>
                    <w:rPr>
                      <w:rFonts w:hint="eastAsia" w:eastAsia="等线"/>
                      <w:color w:val="auto"/>
                      <w:kern w:val="0"/>
                      <w:szCs w:val="21"/>
                    </w:rPr>
                    <w:t>-10</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58.32</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58.42</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58.62</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59.04</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60.01</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61.44</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60.82</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59.43</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58.79</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58.5</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761" w:type="dxa"/>
                  <w:vAlign w:val="bottom"/>
                </w:tcPr>
                <w:p>
                  <w:pPr>
                    <w:widowControl/>
                    <w:jc w:val="center"/>
                    <w:rPr>
                      <w:rFonts w:eastAsia="等线"/>
                      <w:color w:val="auto"/>
                      <w:kern w:val="0"/>
                      <w:szCs w:val="21"/>
                    </w:rPr>
                  </w:pPr>
                  <w:r>
                    <w:rPr>
                      <w:rFonts w:hint="eastAsia" w:eastAsia="等线"/>
                      <w:color w:val="auto"/>
                      <w:kern w:val="0"/>
                      <w:szCs w:val="21"/>
                    </w:rPr>
                    <w:t>0</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58.33</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58.44</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58.68</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59.24</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61.21</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71.5</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64.28</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59.87</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58.89</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58.54</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761" w:type="dxa"/>
                  <w:vAlign w:val="bottom"/>
                </w:tcPr>
                <w:p>
                  <w:pPr>
                    <w:widowControl/>
                    <w:jc w:val="center"/>
                    <w:rPr>
                      <w:rFonts w:eastAsia="等线"/>
                      <w:color w:val="auto"/>
                      <w:kern w:val="0"/>
                      <w:szCs w:val="21"/>
                    </w:rPr>
                  </w:pPr>
                  <w:r>
                    <w:rPr>
                      <w:rFonts w:hint="eastAsia" w:eastAsia="等线"/>
                      <w:color w:val="auto"/>
                      <w:kern w:val="0"/>
                      <w:szCs w:val="21"/>
                    </w:rPr>
                    <w:t>10</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58.32</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58.43</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58.63</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59.09</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60.24</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62.13</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61.21</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59.52</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58.81</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58.51</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761" w:type="dxa"/>
                  <w:vAlign w:val="bottom"/>
                </w:tcPr>
                <w:p>
                  <w:pPr>
                    <w:widowControl/>
                    <w:jc w:val="center"/>
                    <w:rPr>
                      <w:rFonts w:eastAsia="等线"/>
                      <w:color w:val="auto"/>
                      <w:kern w:val="0"/>
                      <w:szCs w:val="21"/>
                    </w:rPr>
                  </w:pPr>
                  <w:r>
                    <w:rPr>
                      <w:rFonts w:hint="eastAsia" w:eastAsia="等线"/>
                      <w:color w:val="auto"/>
                      <w:kern w:val="0"/>
                      <w:szCs w:val="21"/>
                    </w:rPr>
                    <w:t>20</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58.3</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58.39</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58.53</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58.78</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59.18</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59.52</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59.38</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58.96</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58.64</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58.45</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761" w:type="dxa"/>
                  <w:vAlign w:val="bottom"/>
                </w:tcPr>
                <w:p>
                  <w:pPr>
                    <w:widowControl/>
                    <w:jc w:val="center"/>
                    <w:rPr>
                      <w:rFonts w:eastAsia="等线"/>
                      <w:color w:val="auto"/>
                      <w:kern w:val="0"/>
                      <w:szCs w:val="21"/>
                    </w:rPr>
                  </w:pPr>
                  <w:r>
                    <w:rPr>
                      <w:rFonts w:hint="eastAsia" w:eastAsia="等线"/>
                      <w:color w:val="auto"/>
                      <w:kern w:val="0"/>
                      <w:szCs w:val="21"/>
                    </w:rPr>
                    <w:t>30</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58.27</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58.33</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58.42</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58.55</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58.69</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58.78</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58.75</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58.62</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58.48</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58.37</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761" w:type="dxa"/>
                  <w:vAlign w:val="bottom"/>
                </w:tcPr>
                <w:p>
                  <w:pPr>
                    <w:widowControl/>
                    <w:jc w:val="center"/>
                    <w:rPr>
                      <w:rFonts w:eastAsia="等线"/>
                      <w:color w:val="auto"/>
                      <w:kern w:val="0"/>
                      <w:szCs w:val="21"/>
                    </w:rPr>
                  </w:pPr>
                  <w:r>
                    <w:rPr>
                      <w:rFonts w:hint="eastAsia" w:eastAsia="等线"/>
                      <w:color w:val="auto"/>
                      <w:kern w:val="0"/>
                      <w:szCs w:val="21"/>
                    </w:rPr>
                    <w:t>40</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58.25</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58.29</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58.34</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58.4</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58.46</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58.49</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58.48</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58.43</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58.37</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58.31</w:t>
                  </w:r>
                </w:p>
              </w:tc>
              <w:tc>
                <w:tcPr>
                  <w:tcW w:w="761" w:type="dxa"/>
                  <w:shd w:val="clear" w:color="auto" w:fill="auto"/>
                  <w:noWrap/>
                  <w:vAlign w:val="bottom"/>
                </w:tcPr>
                <w:p>
                  <w:pPr>
                    <w:widowControl/>
                    <w:jc w:val="center"/>
                    <w:rPr>
                      <w:rFonts w:eastAsia="等线"/>
                      <w:color w:val="auto"/>
                      <w:kern w:val="0"/>
                      <w:szCs w:val="21"/>
                    </w:rPr>
                  </w:pPr>
                  <w:r>
                    <w:rPr>
                      <w:rFonts w:eastAsia="等线"/>
                      <w:color w:val="auto"/>
                      <w:kern w:val="0"/>
                      <w:szCs w:val="21"/>
                    </w:rPr>
                    <w:t>58.26</w:t>
                  </w:r>
                </w:p>
              </w:tc>
            </w:tr>
          </w:tbl>
          <w:p>
            <w:pPr>
              <w:spacing w:line="360" w:lineRule="auto"/>
              <w:ind w:firstLine="420" w:firstLineChars="200"/>
              <w:rPr>
                <w:color w:val="auto"/>
                <w:szCs w:val="21"/>
              </w:rPr>
            </w:pPr>
            <w:r>
              <w:rPr>
                <w:rFonts w:hint="eastAsia"/>
                <w:color w:val="auto"/>
                <w:szCs w:val="21"/>
              </w:rPr>
              <w:t>注：中心点（0，0）为水泵房所在位置，距离西面的最近居民敏感点约</w:t>
            </w:r>
            <w:r>
              <w:rPr>
                <w:color w:val="auto"/>
                <w:szCs w:val="21"/>
              </w:rPr>
              <w:t>32m</w:t>
            </w:r>
            <w:r>
              <w:rPr>
                <w:rFonts w:hint="eastAsia"/>
                <w:color w:val="auto"/>
                <w:szCs w:val="21"/>
              </w:rPr>
              <w:t>。</w:t>
            </w:r>
          </w:p>
          <w:p>
            <w:pPr>
              <w:spacing w:line="360" w:lineRule="auto"/>
              <w:ind w:firstLine="480" w:firstLineChars="200"/>
              <w:rPr>
                <w:color w:val="auto"/>
                <w:sz w:val="24"/>
                <w:highlight w:val="yellow"/>
              </w:rPr>
            </w:pPr>
          </w:p>
          <w:p>
            <w:pPr>
              <w:spacing w:line="360" w:lineRule="auto"/>
              <w:jc w:val="center"/>
              <w:rPr>
                <w:color w:val="auto"/>
                <w:sz w:val="24"/>
                <w:highlight w:val="yellow"/>
              </w:rPr>
            </w:pPr>
            <w:r>
              <w:rPr>
                <w:color w:val="auto"/>
              </w:rPr>
              <w:drawing>
                <wp:inline distT="0" distB="0" distL="0" distR="0">
                  <wp:extent cx="5641975" cy="4331335"/>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47"/>
                          <a:stretch>
                            <a:fillRect/>
                          </a:stretch>
                        </pic:blipFill>
                        <pic:spPr>
                          <a:xfrm>
                            <a:off x="0" y="0"/>
                            <a:ext cx="5645355" cy="4334164"/>
                          </a:xfrm>
                          <a:prstGeom prst="rect">
                            <a:avLst/>
                          </a:prstGeom>
                        </pic:spPr>
                      </pic:pic>
                    </a:graphicData>
                  </a:graphic>
                </wp:inline>
              </w:drawing>
            </w:r>
          </w:p>
          <w:p>
            <w:pPr>
              <w:pStyle w:val="131"/>
              <w:spacing w:line="360" w:lineRule="auto"/>
              <w:rPr>
                <w:rFonts w:ascii="Times New Roman" w:hAnsi="Times New Roman" w:eastAsia="宋体"/>
                <w:b/>
                <w:color w:val="auto"/>
                <w:szCs w:val="21"/>
              </w:rPr>
            </w:pPr>
            <w:r>
              <w:rPr>
                <w:rFonts w:hint="eastAsia" w:ascii="Times New Roman" w:hAnsi="Times New Roman" w:eastAsia="宋体"/>
                <w:b/>
                <w:color w:val="auto"/>
                <w:szCs w:val="21"/>
              </w:rPr>
              <w:t>图</w:t>
            </w:r>
            <w:r>
              <w:rPr>
                <w:rFonts w:ascii="Times New Roman" w:hAnsi="Times New Roman" w:eastAsia="宋体"/>
                <w:b/>
                <w:color w:val="auto"/>
                <w:szCs w:val="21"/>
              </w:rPr>
              <w:t xml:space="preserve">7 </w:t>
            </w:r>
            <w:r>
              <w:rPr>
                <w:rFonts w:hint="eastAsia" w:ascii="Times New Roman" w:hAnsi="Times New Roman" w:eastAsia="宋体"/>
                <w:b/>
                <w:color w:val="auto"/>
                <w:szCs w:val="21"/>
              </w:rPr>
              <w:t>噪声预测结果图（夜间）（叠加现状）</w:t>
            </w:r>
          </w:p>
          <w:p>
            <w:pPr>
              <w:pStyle w:val="131"/>
              <w:spacing w:line="360" w:lineRule="auto"/>
              <w:rPr>
                <w:rFonts w:ascii="Times New Roman" w:hAnsi="Times New Roman" w:eastAsia="宋体"/>
                <w:b/>
                <w:color w:val="auto"/>
                <w:szCs w:val="21"/>
              </w:rPr>
            </w:pPr>
          </w:p>
          <w:p>
            <w:pPr>
              <w:pStyle w:val="131"/>
              <w:spacing w:line="360" w:lineRule="auto"/>
              <w:rPr>
                <w:rFonts w:ascii="Times New Roman" w:hAnsi="Times New Roman" w:eastAsia="宋体"/>
                <w:b/>
                <w:color w:val="auto"/>
                <w:sz w:val="24"/>
                <w:szCs w:val="24"/>
              </w:rPr>
            </w:pPr>
            <w:r>
              <w:rPr>
                <w:rFonts w:ascii="Times New Roman" w:hAnsi="Times New Roman" w:eastAsia="宋体"/>
                <w:b/>
                <w:color w:val="auto"/>
                <w:sz w:val="24"/>
                <w:szCs w:val="24"/>
              </w:rPr>
              <w:t xml:space="preserve">表22 厂界噪声预测结果 </w:t>
            </w:r>
            <w:r>
              <w:rPr>
                <w:rFonts w:hint="eastAsia" w:ascii="Times New Roman" w:hAnsi="Times New Roman" w:eastAsia="宋体"/>
                <w:b/>
                <w:color w:val="auto"/>
                <w:sz w:val="24"/>
                <w:szCs w:val="24"/>
              </w:rPr>
              <w:t>（夜间）（部分）</w:t>
            </w:r>
            <w:r>
              <w:rPr>
                <w:rFonts w:ascii="Times New Roman" w:hAnsi="Times New Roman" w:eastAsia="宋体"/>
                <w:b/>
                <w:color w:val="auto"/>
                <w:sz w:val="24"/>
                <w:szCs w:val="24"/>
              </w:rPr>
              <w:t>[ 单位：dB(A) ]</w:t>
            </w:r>
          </w:p>
          <w:tbl>
            <w:tblPr>
              <w:tblStyle w:val="33"/>
              <w:tblW w:w="913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1"/>
              <w:gridCol w:w="761"/>
              <w:gridCol w:w="761"/>
              <w:gridCol w:w="761"/>
              <w:gridCol w:w="761"/>
              <w:gridCol w:w="761"/>
              <w:gridCol w:w="761"/>
              <w:gridCol w:w="761"/>
              <w:gridCol w:w="761"/>
              <w:gridCol w:w="761"/>
              <w:gridCol w:w="761"/>
              <w:gridCol w:w="7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761" w:type="dxa"/>
                  <w:vAlign w:val="center"/>
                </w:tcPr>
                <w:p>
                  <w:pPr>
                    <w:widowControl/>
                    <w:jc w:val="center"/>
                    <w:rPr>
                      <w:rFonts w:eastAsia="等线"/>
                      <w:color w:val="auto"/>
                      <w:kern w:val="0"/>
                      <w:szCs w:val="21"/>
                    </w:rPr>
                  </w:pPr>
                  <w:r>
                    <w:rPr>
                      <w:rFonts w:hint="eastAsia" w:eastAsia="等线"/>
                      <w:color w:val="auto"/>
                      <w:kern w:val="0"/>
                      <w:szCs w:val="21"/>
                    </w:rPr>
                    <w:t>距离(m</w:t>
                  </w:r>
                  <w:r>
                    <w:rPr>
                      <w:rFonts w:eastAsia="等线"/>
                      <w:color w:val="auto"/>
                      <w:kern w:val="0"/>
                      <w:szCs w:val="21"/>
                    </w:rPr>
                    <w:t>)</w:t>
                  </w:r>
                </w:p>
              </w:tc>
              <w:tc>
                <w:tcPr>
                  <w:tcW w:w="761" w:type="dxa"/>
                  <w:shd w:val="clear" w:color="auto" w:fill="auto"/>
                  <w:noWrap/>
                  <w:vAlign w:val="center"/>
                </w:tcPr>
                <w:p>
                  <w:pPr>
                    <w:widowControl/>
                    <w:jc w:val="center"/>
                    <w:rPr>
                      <w:rFonts w:eastAsia="等线"/>
                      <w:color w:val="auto"/>
                      <w:kern w:val="0"/>
                      <w:szCs w:val="21"/>
                    </w:rPr>
                  </w:pPr>
                  <w:r>
                    <w:rPr>
                      <w:rFonts w:hint="eastAsia" w:eastAsia="等线"/>
                      <w:color w:val="auto"/>
                      <w:kern w:val="0"/>
                      <w:szCs w:val="21"/>
                    </w:rPr>
                    <w:t>-50</w:t>
                  </w:r>
                </w:p>
              </w:tc>
              <w:tc>
                <w:tcPr>
                  <w:tcW w:w="761" w:type="dxa"/>
                  <w:shd w:val="clear" w:color="auto" w:fill="auto"/>
                  <w:noWrap/>
                  <w:vAlign w:val="center"/>
                </w:tcPr>
                <w:p>
                  <w:pPr>
                    <w:widowControl/>
                    <w:jc w:val="center"/>
                    <w:rPr>
                      <w:rFonts w:eastAsia="等线"/>
                      <w:color w:val="auto"/>
                      <w:kern w:val="0"/>
                      <w:szCs w:val="21"/>
                    </w:rPr>
                  </w:pPr>
                  <w:r>
                    <w:rPr>
                      <w:rFonts w:hint="eastAsia" w:eastAsia="等线"/>
                      <w:color w:val="auto"/>
                      <w:kern w:val="0"/>
                      <w:szCs w:val="21"/>
                    </w:rPr>
                    <w:t>-40</w:t>
                  </w:r>
                </w:p>
              </w:tc>
              <w:tc>
                <w:tcPr>
                  <w:tcW w:w="761" w:type="dxa"/>
                  <w:shd w:val="clear" w:color="auto" w:fill="auto"/>
                  <w:noWrap/>
                  <w:vAlign w:val="center"/>
                </w:tcPr>
                <w:p>
                  <w:pPr>
                    <w:widowControl/>
                    <w:jc w:val="center"/>
                    <w:rPr>
                      <w:rFonts w:eastAsia="等线"/>
                      <w:color w:val="auto"/>
                      <w:kern w:val="0"/>
                      <w:szCs w:val="21"/>
                    </w:rPr>
                  </w:pPr>
                  <w:r>
                    <w:rPr>
                      <w:rFonts w:hint="eastAsia" w:eastAsia="等线"/>
                      <w:color w:val="auto"/>
                      <w:kern w:val="0"/>
                      <w:szCs w:val="21"/>
                    </w:rPr>
                    <w:t>-30</w:t>
                  </w:r>
                </w:p>
              </w:tc>
              <w:tc>
                <w:tcPr>
                  <w:tcW w:w="761" w:type="dxa"/>
                  <w:shd w:val="clear" w:color="auto" w:fill="auto"/>
                  <w:noWrap/>
                  <w:vAlign w:val="center"/>
                </w:tcPr>
                <w:p>
                  <w:pPr>
                    <w:widowControl/>
                    <w:jc w:val="center"/>
                    <w:rPr>
                      <w:rFonts w:eastAsia="等线"/>
                      <w:color w:val="auto"/>
                      <w:kern w:val="0"/>
                      <w:szCs w:val="21"/>
                    </w:rPr>
                  </w:pPr>
                  <w:r>
                    <w:rPr>
                      <w:rFonts w:hint="eastAsia" w:eastAsia="等线"/>
                      <w:color w:val="auto"/>
                      <w:kern w:val="0"/>
                      <w:szCs w:val="21"/>
                    </w:rPr>
                    <w:t>-20</w:t>
                  </w:r>
                </w:p>
              </w:tc>
              <w:tc>
                <w:tcPr>
                  <w:tcW w:w="761" w:type="dxa"/>
                  <w:shd w:val="clear" w:color="auto" w:fill="auto"/>
                  <w:noWrap/>
                  <w:vAlign w:val="center"/>
                </w:tcPr>
                <w:p>
                  <w:pPr>
                    <w:widowControl/>
                    <w:jc w:val="center"/>
                    <w:rPr>
                      <w:rFonts w:eastAsia="等线"/>
                      <w:color w:val="auto"/>
                      <w:kern w:val="0"/>
                      <w:szCs w:val="21"/>
                    </w:rPr>
                  </w:pPr>
                  <w:r>
                    <w:rPr>
                      <w:rFonts w:hint="eastAsia" w:eastAsia="等线"/>
                      <w:color w:val="auto"/>
                      <w:kern w:val="0"/>
                      <w:szCs w:val="21"/>
                    </w:rPr>
                    <w:t>-10</w:t>
                  </w:r>
                </w:p>
              </w:tc>
              <w:tc>
                <w:tcPr>
                  <w:tcW w:w="761" w:type="dxa"/>
                  <w:shd w:val="clear" w:color="auto" w:fill="auto"/>
                  <w:noWrap/>
                  <w:vAlign w:val="center"/>
                </w:tcPr>
                <w:p>
                  <w:pPr>
                    <w:widowControl/>
                    <w:jc w:val="center"/>
                    <w:rPr>
                      <w:rFonts w:eastAsia="等线"/>
                      <w:color w:val="auto"/>
                      <w:kern w:val="0"/>
                      <w:szCs w:val="21"/>
                    </w:rPr>
                  </w:pPr>
                  <w:r>
                    <w:rPr>
                      <w:rFonts w:hint="eastAsia" w:eastAsia="等线"/>
                      <w:color w:val="auto"/>
                      <w:kern w:val="0"/>
                      <w:szCs w:val="21"/>
                    </w:rPr>
                    <w:t>0</w:t>
                  </w:r>
                </w:p>
              </w:tc>
              <w:tc>
                <w:tcPr>
                  <w:tcW w:w="761" w:type="dxa"/>
                  <w:shd w:val="clear" w:color="auto" w:fill="auto"/>
                  <w:noWrap/>
                  <w:vAlign w:val="center"/>
                </w:tcPr>
                <w:p>
                  <w:pPr>
                    <w:widowControl/>
                    <w:jc w:val="center"/>
                    <w:rPr>
                      <w:rFonts w:eastAsia="等线"/>
                      <w:color w:val="auto"/>
                      <w:kern w:val="0"/>
                      <w:szCs w:val="21"/>
                    </w:rPr>
                  </w:pPr>
                  <w:r>
                    <w:rPr>
                      <w:rFonts w:hint="eastAsia" w:eastAsia="等线"/>
                      <w:color w:val="auto"/>
                      <w:kern w:val="0"/>
                      <w:szCs w:val="21"/>
                    </w:rPr>
                    <w:t>10</w:t>
                  </w:r>
                </w:p>
              </w:tc>
              <w:tc>
                <w:tcPr>
                  <w:tcW w:w="761" w:type="dxa"/>
                  <w:shd w:val="clear" w:color="auto" w:fill="auto"/>
                  <w:noWrap/>
                  <w:vAlign w:val="center"/>
                </w:tcPr>
                <w:p>
                  <w:pPr>
                    <w:widowControl/>
                    <w:jc w:val="center"/>
                    <w:rPr>
                      <w:rFonts w:eastAsia="等线"/>
                      <w:color w:val="auto"/>
                      <w:kern w:val="0"/>
                      <w:szCs w:val="21"/>
                    </w:rPr>
                  </w:pPr>
                  <w:r>
                    <w:rPr>
                      <w:rFonts w:hint="eastAsia" w:eastAsia="等线"/>
                      <w:color w:val="auto"/>
                      <w:kern w:val="0"/>
                      <w:szCs w:val="21"/>
                    </w:rPr>
                    <w:t>20</w:t>
                  </w:r>
                </w:p>
              </w:tc>
              <w:tc>
                <w:tcPr>
                  <w:tcW w:w="761" w:type="dxa"/>
                  <w:shd w:val="clear" w:color="auto" w:fill="auto"/>
                  <w:noWrap/>
                  <w:vAlign w:val="center"/>
                </w:tcPr>
                <w:p>
                  <w:pPr>
                    <w:widowControl/>
                    <w:jc w:val="center"/>
                    <w:rPr>
                      <w:rFonts w:eastAsia="等线"/>
                      <w:color w:val="auto"/>
                      <w:kern w:val="0"/>
                      <w:szCs w:val="21"/>
                    </w:rPr>
                  </w:pPr>
                  <w:r>
                    <w:rPr>
                      <w:rFonts w:hint="eastAsia" w:eastAsia="等线"/>
                      <w:color w:val="auto"/>
                      <w:kern w:val="0"/>
                      <w:szCs w:val="21"/>
                    </w:rPr>
                    <w:t>30</w:t>
                  </w:r>
                </w:p>
              </w:tc>
              <w:tc>
                <w:tcPr>
                  <w:tcW w:w="761" w:type="dxa"/>
                  <w:shd w:val="clear" w:color="auto" w:fill="auto"/>
                  <w:noWrap/>
                  <w:vAlign w:val="center"/>
                </w:tcPr>
                <w:p>
                  <w:pPr>
                    <w:widowControl/>
                    <w:jc w:val="center"/>
                    <w:rPr>
                      <w:rFonts w:eastAsia="等线"/>
                      <w:color w:val="auto"/>
                      <w:kern w:val="0"/>
                      <w:szCs w:val="21"/>
                    </w:rPr>
                  </w:pPr>
                  <w:r>
                    <w:rPr>
                      <w:rFonts w:hint="eastAsia" w:eastAsia="等线"/>
                      <w:color w:val="auto"/>
                      <w:kern w:val="0"/>
                      <w:szCs w:val="21"/>
                    </w:rPr>
                    <w:t>40</w:t>
                  </w:r>
                </w:p>
              </w:tc>
              <w:tc>
                <w:tcPr>
                  <w:tcW w:w="761" w:type="dxa"/>
                  <w:shd w:val="clear" w:color="auto" w:fill="auto"/>
                  <w:noWrap/>
                  <w:vAlign w:val="center"/>
                </w:tcPr>
                <w:p>
                  <w:pPr>
                    <w:widowControl/>
                    <w:jc w:val="center"/>
                    <w:rPr>
                      <w:rFonts w:eastAsia="等线"/>
                      <w:color w:val="auto"/>
                      <w:kern w:val="0"/>
                      <w:szCs w:val="21"/>
                    </w:rPr>
                  </w:pPr>
                  <w:r>
                    <w:rPr>
                      <w:rFonts w:hint="eastAsia" w:eastAsia="等线"/>
                      <w:color w:val="auto"/>
                      <w:kern w:val="0"/>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761" w:type="dxa"/>
                  <w:vAlign w:val="bottom"/>
                </w:tcPr>
                <w:p>
                  <w:pPr>
                    <w:widowControl/>
                    <w:jc w:val="center"/>
                    <w:rPr>
                      <w:rFonts w:eastAsia="等线"/>
                      <w:color w:val="auto"/>
                      <w:kern w:val="0"/>
                      <w:szCs w:val="21"/>
                    </w:rPr>
                  </w:pPr>
                  <w:r>
                    <w:rPr>
                      <w:rFonts w:hint="eastAsia" w:eastAsia="等线"/>
                      <w:color w:val="auto"/>
                      <w:kern w:val="0"/>
                      <w:szCs w:val="21"/>
                    </w:rPr>
                    <w:t>-40</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48.4</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48.76</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49.18</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49.62</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50</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50.2</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50.13</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49.83</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49.4</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48.96</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48.57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761" w:type="dxa"/>
                  <w:vAlign w:val="bottom"/>
                </w:tcPr>
                <w:p>
                  <w:pPr>
                    <w:widowControl/>
                    <w:jc w:val="center"/>
                    <w:rPr>
                      <w:rFonts w:eastAsia="等线"/>
                      <w:color w:val="auto"/>
                      <w:kern w:val="0"/>
                      <w:szCs w:val="21"/>
                    </w:rPr>
                  </w:pPr>
                  <w:r>
                    <w:rPr>
                      <w:rFonts w:hint="eastAsia" w:eastAsia="等线"/>
                      <w:color w:val="auto"/>
                      <w:kern w:val="0"/>
                      <w:szCs w:val="21"/>
                    </w:rPr>
                    <w:t>-30</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48.66</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49.16</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49.79</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50.55</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51.27</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51.69</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51.54</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50.93</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50.17</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49.46</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48.89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761" w:type="dxa"/>
                  <w:vAlign w:val="bottom"/>
                </w:tcPr>
                <w:p>
                  <w:pPr>
                    <w:widowControl/>
                    <w:jc w:val="center"/>
                    <w:rPr>
                      <w:rFonts w:eastAsia="等线"/>
                      <w:color w:val="auto"/>
                      <w:kern w:val="0"/>
                      <w:szCs w:val="21"/>
                    </w:rPr>
                  </w:pPr>
                  <w:r>
                    <w:rPr>
                      <w:rFonts w:hint="eastAsia" w:eastAsia="等线"/>
                      <w:color w:val="auto"/>
                      <w:kern w:val="0"/>
                      <w:szCs w:val="21"/>
                    </w:rPr>
                    <w:t>-20</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48.9</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49.56</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50.5</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51.76</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53.22</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54.21</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53.86</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52.51</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51.1</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50</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49.21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761" w:type="dxa"/>
                  <w:vAlign w:val="bottom"/>
                </w:tcPr>
                <w:p>
                  <w:pPr>
                    <w:widowControl/>
                    <w:jc w:val="center"/>
                    <w:rPr>
                      <w:rFonts w:eastAsia="等线"/>
                      <w:color w:val="auto"/>
                      <w:kern w:val="0"/>
                      <w:szCs w:val="21"/>
                    </w:rPr>
                  </w:pPr>
                  <w:r>
                    <w:rPr>
                      <w:rFonts w:hint="eastAsia" w:eastAsia="等线"/>
                      <w:color w:val="auto"/>
                      <w:kern w:val="0"/>
                      <w:szCs w:val="21"/>
                    </w:rPr>
                    <w:t>-10</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49.08</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49.9</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51.14</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53.1</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56.07</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59.01</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57.86</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54.47</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52.01</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50.45</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49.45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761" w:type="dxa"/>
                  <w:vAlign w:val="bottom"/>
                </w:tcPr>
                <w:p>
                  <w:pPr>
                    <w:widowControl/>
                    <w:jc w:val="center"/>
                    <w:rPr>
                      <w:rFonts w:eastAsia="等线"/>
                      <w:color w:val="auto"/>
                      <w:kern w:val="0"/>
                      <w:szCs w:val="21"/>
                    </w:rPr>
                  </w:pPr>
                  <w:r>
                    <w:rPr>
                      <w:rFonts w:hint="eastAsia" w:eastAsia="等线"/>
                      <w:color w:val="auto"/>
                      <w:kern w:val="0"/>
                      <w:szCs w:val="21"/>
                    </w:rPr>
                    <w:t>0</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49.16</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50.04</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51.44</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53.84</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58.59</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71.32</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63.19</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55.72</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52.46</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50.65</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49.55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761" w:type="dxa"/>
                  <w:vAlign w:val="bottom"/>
                </w:tcPr>
                <w:p>
                  <w:pPr>
                    <w:widowControl/>
                    <w:jc w:val="center"/>
                    <w:rPr>
                      <w:rFonts w:eastAsia="等线"/>
                      <w:color w:val="auto"/>
                      <w:kern w:val="0"/>
                      <w:szCs w:val="21"/>
                    </w:rPr>
                  </w:pPr>
                  <w:r>
                    <w:rPr>
                      <w:rFonts w:hint="eastAsia" w:eastAsia="等线"/>
                      <w:color w:val="auto"/>
                      <w:kern w:val="0"/>
                      <w:szCs w:val="21"/>
                    </w:rPr>
                    <w:t>10</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49.1</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49.93</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51.22</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53.28</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56.61</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60.15</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58.6</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54.73</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52.11</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50.5</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49.47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761" w:type="dxa"/>
                  <w:vAlign w:val="bottom"/>
                </w:tcPr>
                <w:p>
                  <w:pPr>
                    <w:widowControl/>
                    <w:jc w:val="center"/>
                    <w:rPr>
                      <w:rFonts w:eastAsia="等线"/>
                      <w:color w:val="auto"/>
                      <w:kern w:val="0"/>
                      <w:szCs w:val="21"/>
                    </w:rPr>
                  </w:pPr>
                  <w:r>
                    <w:rPr>
                      <w:rFonts w:hint="eastAsia" w:eastAsia="等线"/>
                      <w:color w:val="auto"/>
                      <w:kern w:val="0"/>
                      <w:szCs w:val="21"/>
                    </w:rPr>
                    <w:t>20</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48.93</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49.62</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50.61</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51.98</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53.61</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54.74</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54.31</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52.77</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51.24</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50.07</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49.25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761" w:type="dxa"/>
                  <w:vAlign w:val="bottom"/>
                </w:tcPr>
                <w:p>
                  <w:pPr>
                    <w:widowControl/>
                    <w:jc w:val="center"/>
                    <w:rPr>
                      <w:rFonts w:eastAsia="等线"/>
                      <w:color w:val="auto"/>
                      <w:kern w:val="0"/>
                      <w:szCs w:val="21"/>
                    </w:rPr>
                  </w:pPr>
                  <w:r>
                    <w:rPr>
                      <w:rFonts w:hint="eastAsia" w:eastAsia="等线"/>
                      <w:color w:val="auto"/>
                      <w:kern w:val="0"/>
                      <w:szCs w:val="21"/>
                    </w:rPr>
                    <w:t>30</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48.7</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49.22</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49.9</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50.72</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51.52</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51.98</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51.82</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51.13</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50.29</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49.54</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48.94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761" w:type="dxa"/>
                  <w:vAlign w:val="bottom"/>
                </w:tcPr>
                <w:p>
                  <w:pPr>
                    <w:widowControl/>
                    <w:jc w:val="center"/>
                    <w:rPr>
                      <w:rFonts w:eastAsia="等线"/>
                      <w:color w:val="auto"/>
                      <w:kern w:val="0"/>
                      <w:szCs w:val="21"/>
                    </w:rPr>
                  </w:pPr>
                  <w:r>
                    <w:rPr>
                      <w:rFonts w:hint="eastAsia" w:eastAsia="等线"/>
                      <w:color w:val="auto"/>
                      <w:kern w:val="0"/>
                      <w:szCs w:val="21"/>
                    </w:rPr>
                    <w:t>40</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48.44</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48.82</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49.26</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49.74</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50.16</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50.38</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50.3</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49.97</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49.5</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49.03</w:t>
                  </w:r>
                </w:p>
              </w:tc>
              <w:tc>
                <w:tcPr>
                  <w:tcW w:w="761" w:type="dxa"/>
                  <w:shd w:val="clear" w:color="auto" w:fill="auto"/>
                  <w:noWrap/>
                  <w:vAlign w:val="bottom"/>
                </w:tcPr>
                <w:p>
                  <w:pPr>
                    <w:widowControl/>
                    <w:jc w:val="center"/>
                    <w:rPr>
                      <w:rFonts w:eastAsia="等线"/>
                      <w:color w:val="auto"/>
                      <w:kern w:val="0"/>
                      <w:szCs w:val="21"/>
                    </w:rPr>
                  </w:pPr>
                  <w:r>
                    <w:rPr>
                      <w:rFonts w:eastAsia="等线"/>
                      <w:color w:val="auto"/>
                      <w:sz w:val="22"/>
                      <w:szCs w:val="22"/>
                    </w:rPr>
                    <w:t>48.62</w:t>
                  </w:r>
                </w:p>
              </w:tc>
            </w:tr>
          </w:tbl>
          <w:p>
            <w:pPr>
              <w:spacing w:line="360" w:lineRule="auto"/>
              <w:ind w:firstLine="420" w:firstLineChars="200"/>
              <w:rPr>
                <w:color w:val="auto"/>
                <w:szCs w:val="21"/>
              </w:rPr>
            </w:pPr>
            <w:r>
              <w:rPr>
                <w:rFonts w:hint="eastAsia"/>
                <w:color w:val="auto"/>
                <w:szCs w:val="21"/>
              </w:rPr>
              <w:t>注：中心点（0，0）为水泵房所在位置，距离西面的最近居民敏感点约</w:t>
            </w:r>
            <w:r>
              <w:rPr>
                <w:color w:val="auto"/>
                <w:szCs w:val="21"/>
              </w:rPr>
              <w:t>32m</w:t>
            </w:r>
            <w:r>
              <w:rPr>
                <w:rFonts w:hint="eastAsia"/>
                <w:color w:val="auto"/>
                <w:szCs w:val="21"/>
              </w:rPr>
              <w:t>。</w:t>
            </w:r>
          </w:p>
          <w:p>
            <w:pPr>
              <w:spacing w:line="360" w:lineRule="auto"/>
              <w:jc w:val="center"/>
              <w:rPr>
                <w:color w:val="auto"/>
                <w:sz w:val="24"/>
              </w:rPr>
            </w:pPr>
          </w:p>
          <w:p>
            <w:pPr>
              <w:spacing w:line="360" w:lineRule="auto"/>
              <w:ind w:firstLine="480" w:firstLineChars="200"/>
              <w:rPr>
                <w:color w:val="auto"/>
                <w:sz w:val="24"/>
              </w:rPr>
            </w:pPr>
            <w:r>
              <w:rPr>
                <w:rFonts w:hint="eastAsia"/>
                <w:color w:val="auto"/>
                <w:sz w:val="24"/>
              </w:rPr>
              <w:t>由图</w:t>
            </w:r>
            <w:r>
              <w:rPr>
                <w:color w:val="auto"/>
                <w:sz w:val="24"/>
              </w:rPr>
              <w:t>6</w:t>
            </w:r>
            <w:r>
              <w:rPr>
                <w:rFonts w:hint="eastAsia"/>
                <w:color w:val="auto"/>
                <w:sz w:val="24"/>
              </w:rPr>
              <w:t>和图7可看出，本项目加压泵站对西面居民点的日间和夜间噪声贡献叠加现状值后，居民点噪声值分别在5</w:t>
            </w:r>
            <w:r>
              <w:rPr>
                <w:color w:val="auto"/>
                <w:sz w:val="24"/>
              </w:rPr>
              <w:t>8.5dB(A)</w:t>
            </w:r>
            <w:r>
              <w:rPr>
                <w:rFonts w:hint="eastAsia"/>
                <w:color w:val="auto"/>
                <w:sz w:val="24"/>
              </w:rPr>
              <w:t>和</w:t>
            </w:r>
            <w:r>
              <w:rPr>
                <w:color w:val="auto"/>
                <w:sz w:val="24"/>
              </w:rPr>
              <w:t>50dB(A)</w:t>
            </w:r>
            <w:r>
              <w:rPr>
                <w:rFonts w:hint="eastAsia"/>
                <w:color w:val="auto"/>
                <w:sz w:val="24"/>
              </w:rPr>
              <w:t>以下，至7</w:t>
            </w:r>
            <w:r>
              <w:rPr>
                <w:color w:val="auto"/>
                <w:sz w:val="24"/>
              </w:rPr>
              <w:t>0m</w:t>
            </w:r>
            <w:r>
              <w:rPr>
                <w:rFonts w:hint="eastAsia"/>
                <w:color w:val="auto"/>
                <w:sz w:val="24"/>
              </w:rPr>
              <w:t>以外，泵站的噪声贡献值几乎为0（即敏感点的噪声值在泵站运行时仍基本维持在现状值）。因此，泵站的居民敏感点的声环境影响能够满足《声环境质量标准》（GB3096-2008）</w:t>
            </w:r>
            <w:r>
              <w:rPr>
                <w:color w:val="auto"/>
                <w:sz w:val="24"/>
              </w:rPr>
              <w:t>2</w:t>
            </w:r>
            <w:r>
              <w:rPr>
                <w:rFonts w:hint="eastAsia"/>
                <w:color w:val="auto"/>
                <w:sz w:val="24"/>
              </w:rPr>
              <w:t>类标准（昼间&lt;</w:t>
            </w:r>
            <w:r>
              <w:rPr>
                <w:color w:val="auto"/>
                <w:sz w:val="24"/>
              </w:rPr>
              <w:t>60dB(A)</w:t>
            </w:r>
            <w:r>
              <w:rPr>
                <w:rFonts w:hint="eastAsia"/>
                <w:color w:val="auto"/>
                <w:sz w:val="24"/>
              </w:rPr>
              <w:t>，夜间&lt;</w:t>
            </w:r>
            <w:r>
              <w:rPr>
                <w:color w:val="auto"/>
                <w:sz w:val="24"/>
              </w:rPr>
              <w:t>50dB(A)</w:t>
            </w:r>
            <w:r>
              <w:rPr>
                <w:rFonts w:hint="eastAsia"/>
                <w:color w:val="auto"/>
                <w:sz w:val="24"/>
              </w:rPr>
              <w:t>）要求。</w:t>
            </w:r>
          </w:p>
          <w:p>
            <w:pPr>
              <w:spacing w:line="360" w:lineRule="auto"/>
              <w:ind w:firstLine="480" w:firstLineChars="200"/>
              <w:rPr>
                <w:color w:val="auto"/>
                <w:sz w:val="24"/>
              </w:rPr>
            </w:pPr>
            <w:r>
              <w:rPr>
                <w:color w:val="auto"/>
                <w:sz w:val="24"/>
              </w:rPr>
              <w:t>由表21</w:t>
            </w:r>
            <w:r>
              <w:rPr>
                <w:rFonts w:hint="eastAsia"/>
                <w:color w:val="auto"/>
                <w:sz w:val="24"/>
              </w:rPr>
              <w:t>和表</w:t>
            </w:r>
            <w:r>
              <w:rPr>
                <w:color w:val="auto"/>
                <w:sz w:val="24"/>
              </w:rPr>
              <w:t>22可知，项目厂界噪声预测结果均可满足《工业企业厂界环境噪声排放标准》(GB12348－2008)2类标准的要求。</w:t>
            </w:r>
          </w:p>
          <w:p>
            <w:pPr>
              <w:spacing w:line="360" w:lineRule="auto"/>
              <w:ind w:firstLine="480" w:firstLineChars="200"/>
              <w:rPr>
                <w:color w:val="auto"/>
              </w:rPr>
            </w:pPr>
            <w:r>
              <w:rPr>
                <w:bCs/>
                <w:color w:val="auto"/>
                <w:sz w:val="24"/>
              </w:rPr>
              <w:t>为确保</w:t>
            </w:r>
            <w:r>
              <w:rPr>
                <w:rFonts w:hint="eastAsia"/>
                <w:bCs/>
                <w:color w:val="auto"/>
                <w:sz w:val="24"/>
              </w:rPr>
              <w:t>泵站边</w:t>
            </w:r>
            <w:r>
              <w:rPr>
                <w:bCs/>
                <w:color w:val="auto"/>
                <w:sz w:val="24"/>
              </w:rPr>
              <w:t>界的噪声达标排放，</w:t>
            </w:r>
            <w:r>
              <w:rPr>
                <w:rFonts w:hint="eastAsia"/>
                <w:bCs/>
                <w:color w:val="auto"/>
                <w:sz w:val="24"/>
              </w:rPr>
              <w:t>建设单位拟采取</w:t>
            </w:r>
            <w:r>
              <w:rPr>
                <w:bCs/>
                <w:color w:val="auto"/>
                <w:sz w:val="24"/>
              </w:rPr>
              <w:t>以下措施：</w:t>
            </w:r>
          </w:p>
          <w:p>
            <w:pPr>
              <w:spacing w:line="360" w:lineRule="auto"/>
              <w:ind w:firstLine="480" w:firstLineChars="200"/>
              <w:rPr>
                <w:color w:val="auto"/>
                <w:lang w:val="zh-CN"/>
              </w:rPr>
            </w:pPr>
            <w:r>
              <w:rPr>
                <w:rFonts w:hint="eastAsia" w:cs="宋体"/>
                <w:bCs/>
                <w:color w:val="auto"/>
                <w:sz w:val="24"/>
              </w:rPr>
              <w:t>①</w:t>
            </w:r>
            <w:r>
              <w:rPr>
                <w:bCs/>
                <w:color w:val="auto"/>
                <w:sz w:val="24"/>
              </w:rPr>
              <w:t>选用先进的低噪声设备，对高噪声设备</w:t>
            </w:r>
            <w:r>
              <w:rPr>
                <w:bCs/>
                <w:color w:val="auto"/>
                <w:sz w:val="24"/>
                <w:lang w:val="zh-CN"/>
              </w:rPr>
              <w:t>安装消声器，底部设防振垫</w:t>
            </w:r>
            <w:r>
              <w:rPr>
                <w:color w:val="auto"/>
                <w:kern w:val="0"/>
                <w:sz w:val="24"/>
              </w:rPr>
              <w:t>；</w:t>
            </w:r>
            <w:r>
              <w:rPr>
                <w:bCs/>
                <w:color w:val="auto"/>
                <w:sz w:val="24"/>
              </w:rPr>
              <w:t>建立设备定期维护、保养的管理制度，</w:t>
            </w:r>
            <w:r>
              <w:rPr>
                <w:color w:val="auto"/>
                <w:kern w:val="0"/>
                <w:sz w:val="24"/>
              </w:rPr>
              <w:t>加强设备维护保养，及时淘汰破旧设备，减少设备非正常运行噪声。员工佩戴耳罩等防护用品，减少噪声对员工身体健康的影响</w:t>
            </w:r>
            <w:r>
              <w:rPr>
                <w:bCs/>
                <w:color w:val="auto"/>
                <w:sz w:val="24"/>
                <w:lang w:val="zh-CN"/>
              </w:rPr>
              <w:t>。</w:t>
            </w:r>
          </w:p>
          <w:p>
            <w:pPr>
              <w:spacing w:line="360" w:lineRule="auto"/>
              <w:ind w:firstLine="480" w:firstLineChars="200"/>
              <w:rPr>
                <w:color w:val="auto"/>
                <w:lang w:val="zh-CN"/>
              </w:rPr>
            </w:pPr>
            <w:r>
              <w:rPr>
                <w:rFonts w:hint="eastAsia" w:cs="宋体"/>
                <w:bCs/>
                <w:color w:val="auto"/>
                <w:sz w:val="24"/>
              </w:rPr>
              <w:t>②</w:t>
            </w:r>
            <w:r>
              <w:rPr>
                <w:color w:val="auto"/>
                <w:kern w:val="0"/>
                <w:sz w:val="24"/>
              </w:rPr>
              <w:t>合理布局生产设备，同时项目位置四周建设围墙，并于内部加强绿化，墙体、植被具有一定的隔声作用。</w:t>
            </w:r>
          </w:p>
          <w:p>
            <w:pPr>
              <w:adjustRightInd w:val="0"/>
              <w:snapToGrid w:val="0"/>
              <w:spacing w:line="360" w:lineRule="auto"/>
              <w:ind w:firstLine="480" w:firstLineChars="200"/>
              <w:rPr>
                <w:color w:val="auto"/>
              </w:rPr>
            </w:pPr>
            <w:r>
              <w:rPr>
                <w:rFonts w:hint="eastAsia" w:cs="宋体"/>
                <w:bCs/>
                <w:color w:val="auto"/>
                <w:sz w:val="24"/>
              </w:rPr>
              <w:t>③</w:t>
            </w:r>
            <w:r>
              <w:rPr>
                <w:bCs/>
                <w:color w:val="auto"/>
                <w:sz w:val="24"/>
              </w:rPr>
              <w:t>加强职工环</w:t>
            </w:r>
            <w:r>
              <w:rPr>
                <w:rFonts w:hint="eastAsia" w:cs="宋体"/>
                <w:bCs/>
                <w:color w:val="auto"/>
                <w:sz w:val="24"/>
              </w:rPr>
              <w:t>保意识教育，提倡文明生产，防止人为噪声；强化行车管理制度，设置降噪标准，严禁鸣号，进入场区低速行驶，最大限度减少流动噪声源。</w:t>
            </w:r>
          </w:p>
          <w:p>
            <w:pPr>
              <w:spacing w:line="360" w:lineRule="auto"/>
              <w:ind w:firstLine="480" w:firstLineChars="200"/>
              <w:rPr>
                <w:color w:val="auto"/>
                <w:sz w:val="24"/>
              </w:rPr>
            </w:pPr>
            <w:r>
              <w:rPr>
                <w:rFonts w:hint="eastAsia" w:cs="宋体"/>
                <w:bCs/>
                <w:color w:val="auto"/>
                <w:sz w:val="24"/>
              </w:rPr>
              <w:t>通过以上降噪措施处理后，使噪声对厂区环境和厂界外环境的污染影响减至最小并控制在《工业企业厂界环境噪声排放标准》（</w:t>
            </w:r>
            <w:r>
              <w:rPr>
                <w:bCs/>
                <w:color w:val="auto"/>
                <w:sz w:val="24"/>
              </w:rPr>
              <w:t>GB12348-2008</w:t>
            </w:r>
            <w:r>
              <w:rPr>
                <w:rFonts w:hint="eastAsia" w:cs="宋体"/>
                <w:bCs/>
                <w:color w:val="auto"/>
                <w:sz w:val="24"/>
              </w:rPr>
              <w:t>）</w:t>
            </w:r>
            <w:r>
              <w:rPr>
                <w:rFonts w:hint="eastAsia"/>
                <w:bCs/>
                <w:color w:val="auto"/>
                <w:sz w:val="24"/>
              </w:rPr>
              <w:t>2，4类</w:t>
            </w:r>
            <w:r>
              <w:rPr>
                <w:rFonts w:hint="eastAsia" w:cs="宋体"/>
                <w:bCs/>
                <w:color w:val="auto"/>
                <w:sz w:val="24"/>
              </w:rPr>
              <w:t>标准限值。</w:t>
            </w:r>
          </w:p>
          <w:p>
            <w:pPr>
              <w:pStyle w:val="3"/>
              <w:snapToGrid w:val="0"/>
              <w:spacing w:before="0" w:after="0" w:line="360" w:lineRule="auto"/>
              <w:ind w:firstLine="482" w:firstLineChars="200"/>
              <w:rPr>
                <w:rFonts w:ascii="Times New Roman" w:hAnsi="Times New Roman" w:eastAsia="宋体"/>
                <w:color w:val="auto"/>
                <w:szCs w:val="24"/>
              </w:rPr>
            </w:pPr>
            <w:r>
              <w:rPr>
                <w:rFonts w:ascii="Times New Roman" w:hAnsi="Times New Roman" w:eastAsia="宋体"/>
                <w:color w:val="auto"/>
                <w:szCs w:val="24"/>
              </w:rPr>
              <w:t>3、地下水影响分析</w:t>
            </w:r>
            <w:r>
              <w:rPr>
                <w:rFonts w:hint="eastAsia" w:ascii="Times New Roman" w:hAnsi="Times New Roman" w:eastAsia="宋体"/>
                <w:color w:val="auto"/>
                <w:szCs w:val="24"/>
              </w:rPr>
              <w:t xml:space="preserve"> </w:t>
            </w:r>
          </w:p>
          <w:p>
            <w:pPr>
              <w:spacing w:line="360" w:lineRule="auto"/>
              <w:ind w:firstLine="510"/>
              <w:rPr>
                <w:color w:val="auto"/>
                <w:sz w:val="24"/>
              </w:rPr>
            </w:pPr>
            <w:r>
              <w:rPr>
                <w:rFonts w:hint="eastAsia"/>
                <w:color w:val="auto"/>
                <w:sz w:val="24"/>
              </w:rPr>
              <w:t>本项目为自来水加压泵站和供水管网铺设项目，属于“自来水生产和供应”行业类别，对照</w:t>
            </w:r>
            <w:r>
              <w:rPr>
                <w:rFonts w:hint="eastAsia"/>
                <w:color w:val="auto"/>
                <w:sz w:val="24"/>
                <w:szCs w:val="20"/>
              </w:rPr>
              <w:t>《环境影响评价技术导则-地下水环境》（HJ</w:t>
            </w:r>
            <w:r>
              <w:rPr>
                <w:color w:val="auto"/>
                <w:sz w:val="24"/>
                <w:szCs w:val="20"/>
              </w:rPr>
              <w:t>610</w:t>
            </w:r>
            <w:r>
              <w:rPr>
                <w:rFonts w:hint="eastAsia"/>
                <w:color w:val="auto"/>
                <w:sz w:val="24"/>
                <w:szCs w:val="20"/>
              </w:rPr>
              <w:t>-20</w:t>
            </w:r>
            <w:r>
              <w:rPr>
                <w:color w:val="auto"/>
                <w:sz w:val="24"/>
                <w:szCs w:val="20"/>
              </w:rPr>
              <w:t>16</w:t>
            </w:r>
            <w:r>
              <w:rPr>
                <w:rFonts w:hint="eastAsia"/>
                <w:color w:val="auto"/>
                <w:sz w:val="24"/>
                <w:szCs w:val="20"/>
              </w:rPr>
              <w:t>）附录A，本项目属于附录A中的“U</w:t>
            </w:r>
            <w:r>
              <w:rPr>
                <w:color w:val="auto"/>
                <w:sz w:val="24"/>
                <w:szCs w:val="20"/>
              </w:rPr>
              <w:t xml:space="preserve"> </w:t>
            </w:r>
            <w:r>
              <w:rPr>
                <w:rFonts w:hint="eastAsia"/>
                <w:color w:val="auto"/>
                <w:sz w:val="24"/>
                <w:szCs w:val="20"/>
              </w:rPr>
              <w:t xml:space="preserve">城镇基础设施及房地产 </w:t>
            </w:r>
            <w:r>
              <w:rPr>
                <w:color w:val="auto"/>
                <w:sz w:val="24"/>
                <w:szCs w:val="20"/>
              </w:rPr>
              <w:t xml:space="preserve">143 </w:t>
            </w:r>
            <w:r>
              <w:rPr>
                <w:rFonts w:hint="eastAsia"/>
                <w:color w:val="auto"/>
                <w:sz w:val="24"/>
                <w:szCs w:val="20"/>
              </w:rPr>
              <w:t>自来水生产和供应工程”行业类别，属于Ⅳ类项目，不开展地下水环境影响评价。</w:t>
            </w:r>
          </w:p>
          <w:p>
            <w:pPr>
              <w:pStyle w:val="3"/>
              <w:snapToGrid w:val="0"/>
              <w:spacing w:before="0" w:after="0" w:line="360" w:lineRule="auto"/>
              <w:ind w:firstLine="482" w:firstLineChars="200"/>
              <w:rPr>
                <w:rFonts w:ascii="Times New Roman" w:hAnsi="Times New Roman" w:eastAsia="宋体"/>
                <w:color w:val="auto"/>
                <w:szCs w:val="24"/>
              </w:rPr>
            </w:pPr>
            <w:r>
              <w:rPr>
                <w:rFonts w:hint="eastAsia" w:ascii="Times New Roman" w:hAnsi="Times New Roman" w:eastAsia="宋体"/>
                <w:color w:val="auto"/>
                <w:szCs w:val="24"/>
              </w:rPr>
              <w:t>4</w:t>
            </w:r>
            <w:r>
              <w:rPr>
                <w:rFonts w:ascii="Times New Roman" w:hAnsi="Times New Roman" w:eastAsia="宋体"/>
                <w:color w:val="auto"/>
                <w:szCs w:val="24"/>
              </w:rPr>
              <w:t>、固体废物影响分析</w:t>
            </w:r>
          </w:p>
          <w:p>
            <w:pPr>
              <w:widowControl/>
              <w:spacing w:line="360" w:lineRule="auto"/>
              <w:ind w:firstLine="480"/>
              <w:rPr>
                <w:rFonts w:eastAsia="新宋体"/>
                <w:color w:val="auto"/>
                <w:sz w:val="24"/>
              </w:rPr>
            </w:pPr>
            <w:r>
              <w:rPr>
                <w:rFonts w:hint="eastAsia" w:hAnsi="宋体"/>
                <w:color w:val="auto"/>
                <w:sz w:val="24"/>
              </w:rPr>
              <w:t>本项目加压泵站设置工作人员1</w:t>
            </w:r>
            <w:r>
              <w:rPr>
                <w:color w:val="auto"/>
                <w:sz w:val="24"/>
              </w:rPr>
              <w:t>人，</w:t>
            </w:r>
            <w:r>
              <w:rPr>
                <w:rFonts w:hint="eastAsia"/>
                <w:color w:val="auto"/>
                <w:sz w:val="24"/>
              </w:rPr>
              <w:t>不在厂内食宿，</w:t>
            </w:r>
            <w:r>
              <w:rPr>
                <w:color w:val="auto"/>
                <w:sz w:val="24"/>
              </w:rPr>
              <w:t>生活垃圾产生量为0.18t/a</w:t>
            </w:r>
            <w:r>
              <w:rPr>
                <w:rFonts w:hint="eastAsia"/>
                <w:color w:val="auto"/>
                <w:sz w:val="24"/>
              </w:rPr>
              <w:t>，收集后交由环卫部门统一处置</w:t>
            </w:r>
            <w:r>
              <w:rPr>
                <w:rFonts w:hint="eastAsia" w:eastAsia="新宋体"/>
                <w:color w:val="auto"/>
                <w:sz w:val="24"/>
              </w:rPr>
              <w:t>，对周围环境影响不大。</w:t>
            </w:r>
          </w:p>
          <w:p>
            <w:pPr>
              <w:pStyle w:val="126"/>
              <w:spacing w:line="360" w:lineRule="auto"/>
              <w:ind w:firstLine="482" w:firstLineChars="200"/>
              <w:jc w:val="both"/>
              <w:textAlignment w:val="baseline"/>
              <w:rPr>
                <w:b w:val="0"/>
                <w:color w:val="auto"/>
                <w:sz w:val="24"/>
              </w:rPr>
            </w:pPr>
            <w:r>
              <w:rPr>
                <w:rFonts w:ascii="Times New Roman" w:hAnsi="Times New Roman" w:cs="Times New Roman"/>
                <w:bCs/>
                <w:color w:val="auto"/>
                <w:sz w:val="24"/>
              </w:rPr>
              <w:t>5、</w:t>
            </w:r>
            <w:r>
              <w:rPr>
                <w:rFonts w:hint="eastAsia"/>
                <w:bCs/>
                <w:color w:val="auto"/>
                <w:sz w:val="24"/>
              </w:rPr>
              <w:t>土壤环境影响分析</w:t>
            </w:r>
          </w:p>
          <w:p>
            <w:pPr>
              <w:pStyle w:val="120"/>
              <w:spacing w:before="120" w:after="120"/>
              <w:rPr>
                <w:color w:val="auto"/>
              </w:rPr>
            </w:pPr>
            <w:r>
              <w:rPr>
                <w:rFonts w:hint="eastAsia"/>
                <w:color w:val="auto"/>
              </w:rPr>
              <w:t>对照《</w:t>
            </w:r>
            <w:r>
              <w:rPr>
                <w:color w:val="auto"/>
              </w:rPr>
              <w:t>环境影响评价技术导则 土壤环境（试行）</w:t>
            </w:r>
            <w:r>
              <w:rPr>
                <w:rFonts w:hint="eastAsia"/>
                <w:color w:val="auto"/>
              </w:rPr>
              <w:t>》（</w:t>
            </w:r>
            <w:r>
              <w:rPr>
                <w:color w:val="auto"/>
              </w:rPr>
              <w:fldChar w:fldCharType="begin"/>
            </w:r>
            <w:r>
              <w:rPr>
                <w:color w:val="auto"/>
              </w:rPr>
              <w:instrText xml:space="preserve"> HYPERLINK "http://kjs.mee.gov.cn/hjbhbz/bzwb/other/pjjsdz/201809/W020180921558586433773.pdf" \t "_blank" </w:instrText>
            </w:r>
            <w:r>
              <w:rPr>
                <w:color w:val="auto"/>
              </w:rPr>
              <w:fldChar w:fldCharType="separate"/>
            </w:r>
            <w:r>
              <w:rPr>
                <w:color w:val="auto"/>
              </w:rPr>
              <w:t>HJ 964—2018</w:t>
            </w:r>
            <w:r>
              <w:rPr>
                <w:color w:val="auto"/>
              </w:rPr>
              <w:fldChar w:fldCharType="end"/>
            </w:r>
            <w:r>
              <w:rPr>
                <w:rFonts w:hint="eastAsia"/>
                <w:color w:val="auto"/>
              </w:rPr>
              <w:t>）附录A，项</w:t>
            </w:r>
            <w:r>
              <w:rPr>
                <w:color w:val="auto"/>
              </w:rPr>
              <w:t>目为</w:t>
            </w:r>
            <w:r>
              <w:rPr>
                <w:rFonts w:hint="eastAsia"/>
                <w:color w:val="auto"/>
              </w:rPr>
              <w:t>水生产和供应业</w:t>
            </w:r>
            <w:r>
              <w:rPr>
                <w:color w:val="auto"/>
              </w:rPr>
              <w:t>，为</w:t>
            </w:r>
            <w:r>
              <w:rPr>
                <w:rFonts w:hint="eastAsia"/>
                <w:color w:val="auto"/>
              </w:rPr>
              <w:t>Ⅳ</w:t>
            </w:r>
            <w:r>
              <w:rPr>
                <w:color w:val="auto"/>
              </w:rPr>
              <w:t>类项目</w:t>
            </w:r>
            <w:r>
              <w:rPr>
                <w:rFonts w:hint="eastAsia"/>
                <w:color w:val="auto"/>
              </w:rPr>
              <w:t>，可不开展土壤环境影响评价工作</w:t>
            </w:r>
            <w:r>
              <w:rPr>
                <w:color w:val="auto"/>
              </w:rPr>
              <w:t>。</w:t>
            </w:r>
          </w:p>
          <w:p>
            <w:pPr>
              <w:snapToGrid w:val="0"/>
              <w:spacing w:line="360" w:lineRule="auto"/>
              <w:ind w:firstLine="482" w:firstLineChars="200"/>
              <w:rPr>
                <w:b/>
                <w:color w:val="auto"/>
                <w:kern w:val="0"/>
                <w:sz w:val="24"/>
              </w:rPr>
            </w:pPr>
            <w:r>
              <w:rPr>
                <w:b/>
                <w:color w:val="auto"/>
                <w:kern w:val="0"/>
                <w:sz w:val="24"/>
              </w:rPr>
              <w:t>6、环境风险分析</w:t>
            </w:r>
          </w:p>
          <w:p>
            <w:pPr>
              <w:adjustRightInd w:val="0"/>
              <w:snapToGrid w:val="0"/>
              <w:spacing w:line="360" w:lineRule="auto"/>
              <w:ind w:firstLine="496" w:firstLineChars="200"/>
              <w:rPr>
                <w:color w:val="auto"/>
                <w:spacing w:val="4"/>
                <w:sz w:val="24"/>
              </w:rPr>
            </w:pPr>
            <w:bookmarkStart w:id="16" w:name="_Toc21281"/>
            <w:bookmarkStart w:id="17" w:name="_Toc27141"/>
            <w:r>
              <w:rPr>
                <w:rFonts w:hint="eastAsia"/>
                <w:color w:val="auto"/>
                <w:spacing w:val="4"/>
                <w:sz w:val="24"/>
              </w:rPr>
              <w:t>（1）风险调查</w:t>
            </w:r>
          </w:p>
          <w:p>
            <w:pPr>
              <w:adjustRightInd w:val="0"/>
              <w:snapToGrid w:val="0"/>
              <w:spacing w:line="360" w:lineRule="auto"/>
              <w:ind w:firstLine="496" w:firstLineChars="200"/>
              <w:rPr>
                <w:color w:val="auto"/>
                <w:spacing w:val="4"/>
                <w:sz w:val="24"/>
              </w:rPr>
            </w:pPr>
            <w:r>
              <w:rPr>
                <w:rFonts w:hint="eastAsia"/>
                <w:color w:val="auto"/>
                <w:spacing w:val="4"/>
                <w:sz w:val="24"/>
              </w:rPr>
              <w:t>①环境敏感目标调查</w:t>
            </w:r>
          </w:p>
          <w:p>
            <w:pPr>
              <w:adjustRightInd w:val="0"/>
              <w:snapToGrid w:val="0"/>
              <w:spacing w:line="360" w:lineRule="auto"/>
              <w:ind w:firstLine="480" w:firstLineChars="200"/>
              <w:rPr>
                <w:color w:val="auto"/>
                <w:spacing w:val="4"/>
                <w:sz w:val="24"/>
              </w:rPr>
            </w:pPr>
            <w:r>
              <w:rPr>
                <w:rFonts w:hint="eastAsia" w:ascii="宋体" w:hAnsi="宋体"/>
                <w:color w:val="auto"/>
                <w:kern w:val="0"/>
                <w:sz w:val="24"/>
              </w:rPr>
              <w:t>本项目加压泵站位于</w:t>
            </w:r>
            <w:r>
              <w:rPr>
                <w:rFonts w:hint="eastAsia"/>
                <w:color w:val="auto"/>
                <w:sz w:val="24"/>
              </w:rPr>
              <w:t>梅江区金山街道碧桂路旁，管道铺设由泵站沿G</w:t>
            </w:r>
            <w:r>
              <w:rPr>
                <w:color w:val="auto"/>
                <w:sz w:val="24"/>
              </w:rPr>
              <w:t>205</w:t>
            </w:r>
            <w:r>
              <w:rPr>
                <w:rFonts w:hint="eastAsia"/>
                <w:color w:val="auto"/>
                <w:sz w:val="24"/>
              </w:rPr>
              <w:t>国道自南向北至梅州监狱</w:t>
            </w:r>
            <w:r>
              <w:rPr>
                <w:rFonts w:hint="eastAsia"/>
                <w:color w:val="auto"/>
                <w:spacing w:val="4"/>
                <w:sz w:val="24"/>
              </w:rPr>
              <w:t>，周边环境敏感点情况详见表</w:t>
            </w:r>
            <w:r>
              <w:rPr>
                <w:color w:val="auto"/>
                <w:spacing w:val="4"/>
                <w:sz w:val="24"/>
              </w:rPr>
              <w:t>6</w:t>
            </w:r>
            <w:r>
              <w:rPr>
                <w:rFonts w:hint="eastAsia"/>
                <w:color w:val="auto"/>
                <w:spacing w:val="4"/>
                <w:sz w:val="24"/>
              </w:rPr>
              <w:t>及附图</w:t>
            </w:r>
            <w:r>
              <w:rPr>
                <w:color w:val="auto"/>
                <w:spacing w:val="4"/>
                <w:sz w:val="24"/>
              </w:rPr>
              <w:t>1</w:t>
            </w:r>
            <w:r>
              <w:rPr>
                <w:rFonts w:hint="eastAsia"/>
                <w:color w:val="auto"/>
                <w:spacing w:val="4"/>
                <w:sz w:val="24"/>
              </w:rPr>
              <w:t>。</w:t>
            </w:r>
          </w:p>
          <w:p>
            <w:pPr>
              <w:adjustRightInd w:val="0"/>
              <w:snapToGrid w:val="0"/>
              <w:spacing w:line="360" w:lineRule="auto"/>
              <w:ind w:firstLine="496" w:firstLineChars="200"/>
              <w:rPr>
                <w:color w:val="auto"/>
                <w:spacing w:val="4"/>
                <w:sz w:val="24"/>
              </w:rPr>
            </w:pPr>
            <w:r>
              <w:rPr>
                <w:rFonts w:hint="eastAsia"/>
                <w:color w:val="auto"/>
                <w:spacing w:val="4"/>
                <w:sz w:val="24"/>
              </w:rPr>
              <w:t>②风险源调查</w:t>
            </w:r>
          </w:p>
          <w:p>
            <w:pPr>
              <w:adjustRightInd w:val="0"/>
              <w:snapToGrid w:val="0"/>
              <w:spacing w:line="360" w:lineRule="auto"/>
              <w:ind w:firstLine="496" w:firstLineChars="200"/>
              <w:rPr>
                <w:color w:val="auto"/>
                <w:spacing w:val="4"/>
                <w:sz w:val="24"/>
              </w:rPr>
            </w:pPr>
            <w:r>
              <w:rPr>
                <w:color w:val="auto"/>
                <w:spacing w:val="4"/>
                <w:sz w:val="24"/>
              </w:rPr>
              <w:t>对照《建设项目环境风险评价技术导则》（HJ/T169-2018）附录B，本项目不涉及风险物质。</w:t>
            </w:r>
          </w:p>
          <w:p>
            <w:pPr>
              <w:adjustRightInd w:val="0"/>
              <w:snapToGrid w:val="0"/>
              <w:spacing w:line="360" w:lineRule="auto"/>
              <w:ind w:left="496"/>
              <w:rPr>
                <w:color w:val="auto"/>
                <w:spacing w:val="4"/>
                <w:sz w:val="24"/>
              </w:rPr>
            </w:pPr>
            <w:r>
              <w:rPr>
                <w:rFonts w:hint="eastAsia"/>
                <w:color w:val="auto"/>
                <w:spacing w:val="4"/>
                <w:sz w:val="24"/>
              </w:rPr>
              <w:t>（2）</w:t>
            </w:r>
            <w:r>
              <w:rPr>
                <w:color w:val="auto"/>
                <w:spacing w:val="4"/>
                <w:sz w:val="24"/>
              </w:rPr>
              <w:t>环境风险潜势初判及评价等级</w:t>
            </w:r>
          </w:p>
          <w:p>
            <w:pPr>
              <w:adjustRightInd w:val="0"/>
              <w:snapToGrid w:val="0"/>
              <w:spacing w:line="360" w:lineRule="auto"/>
              <w:ind w:firstLine="496" w:firstLineChars="200"/>
              <w:rPr>
                <w:color w:val="auto"/>
                <w:spacing w:val="4"/>
                <w:sz w:val="24"/>
              </w:rPr>
            </w:pPr>
            <w:r>
              <w:rPr>
                <w:color w:val="auto"/>
                <w:spacing w:val="4"/>
                <w:sz w:val="24"/>
              </w:rPr>
              <w:t>根据项目物料使用情况及业主危险物质安全技术说明书，对照《建设项目环境风险评价技术导则》（HJ/T169-2018）附录B，本项目不涉及风险物质。</w:t>
            </w:r>
          </w:p>
          <w:p>
            <w:pPr>
              <w:adjustRightInd w:val="0"/>
              <w:snapToGrid w:val="0"/>
              <w:spacing w:line="360" w:lineRule="auto"/>
              <w:ind w:firstLine="496" w:firstLineChars="200"/>
              <w:rPr>
                <w:color w:val="auto"/>
                <w:spacing w:val="4"/>
                <w:sz w:val="24"/>
              </w:rPr>
            </w:pPr>
            <w:r>
              <w:rPr>
                <w:color w:val="auto"/>
                <w:spacing w:val="4"/>
                <w:sz w:val="24"/>
              </w:rPr>
              <w:t>当企业只涉及一种危险物质时，计算该物质的总量与其临界量的比值，即为Q；</w:t>
            </w:r>
          </w:p>
          <w:p>
            <w:pPr>
              <w:adjustRightInd w:val="0"/>
              <w:snapToGrid w:val="0"/>
              <w:spacing w:line="360" w:lineRule="auto"/>
              <w:ind w:firstLine="496" w:firstLineChars="200"/>
              <w:rPr>
                <w:color w:val="auto"/>
                <w:spacing w:val="4"/>
                <w:sz w:val="24"/>
              </w:rPr>
            </w:pPr>
            <w:r>
              <w:rPr>
                <w:color w:val="auto"/>
                <w:spacing w:val="4"/>
                <w:sz w:val="24"/>
              </w:rPr>
              <w:t>当存在多种危险物质时，按公式（1）计算物质总量与其临界量的比值，即为（Q）；</w:t>
            </w:r>
          </w:p>
          <w:p>
            <w:pPr>
              <w:spacing w:line="360" w:lineRule="auto"/>
              <w:jc w:val="center"/>
              <w:rPr>
                <w:color w:val="auto"/>
                <w:spacing w:val="-6"/>
                <w:sz w:val="24"/>
              </w:rPr>
            </w:pPr>
            <w:r>
              <w:rPr>
                <w:color w:val="auto"/>
                <w:spacing w:val="-6"/>
                <w:position w:val="-30"/>
                <w:sz w:val="24"/>
              </w:rPr>
              <w:object>
                <v:shape id="_x0000_i1033" o:spt="75" type="#_x0000_t75" style="height:34.9pt;width:108.35pt;" o:ole="t" filled="f" o:preferrelative="t" stroked="f" coordsize="21600,21600">
                  <v:path/>
                  <v:fill on="f" focussize="0,0"/>
                  <v:stroke on="f" joinstyle="miter"/>
                  <v:imagedata r:id="rId49" o:title=""/>
                  <o:lock v:ext="edit" aspectratio="t"/>
                  <w10:wrap type="none"/>
                  <w10:anchorlock/>
                </v:shape>
                <o:OLEObject Type="Embed" ProgID="Equation.KSEE3" ShapeID="_x0000_i1033" DrawAspect="Content" ObjectID="_1468075733" r:id="rId48">
                  <o:LockedField>false</o:LockedField>
                </o:OLEObject>
              </w:object>
            </w:r>
            <w:r>
              <w:rPr>
                <w:color w:val="auto"/>
                <w:spacing w:val="-6"/>
                <w:sz w:val="24"/>
              </w:rPr>
              <w:t xml:space="preserve">                       公式（1）</w:t>
            </w:r>
          </w:p>
          <w:p>
            <w:pPr>
              <w:spacing w:line="360" w:lineRule="auto"/>
              <w:ind w:firstLine="480" w:firstLineChars="200"/>
              <w:rPr>
                <w:color w:val="auto"/>
                <w:sz w:val="24"/>
              </w:rPr>
            </w:pPr>
            <w:r>
              <w:rPr>
                <w:color w:val="auto"/>
                <w:sz w:val="24"/>
              </w:rPr>
              <w:t>公式（1）中：</w:t>
            </w:r>
            <w:r>
              <w:rPr>
                <w:i/>
                <w:color w:val="auto"/>
                <w:sz w:val="24"/>
              </w:rPr>
              <w:t>q</w:t>
            </w:r>
            <w:r>
              <w:rPr>
                <w:color w:val="auto"/>
                <w:sz w:val="24"/>
                <w:vertAlign w:val="subscript"/>
              </w:rPr>
              <w:t>1</w:t>
            </w:r>
            <w:r>
              <w:rPr>
                <w:color w:val="auto"/>
                <w:sz w:val="24"/>
              </w:rPr>
              <w:t>，</w:t>
            </w:r>
            <w:r>
              <w:rPr>
                <w:i/>
                <w:iCs/>
                <w:color w:val="auto"/>
                <w:sz w:val="24"/>
              </w:rPr>
              <w:t>q</w:t>
            </w:r>
            <w:r>
              <w:rPr>
                <w:color w:val="auto"/>
                <w:sz w:val="24"/>
                <w:vertAlign w:val="subscript"/>
              </w:rPr>
              <w:t>2</w:t>
            </w:r>
            <w:r>
              <w:rPr>
                <w:color w:val="auto"/>
                <w:sz w:val="24"/>
              </w:rPr>
              <w:t xml:space="preserve">，...， </w:t>
            </w:r>
            <w:r>
              <w:rPr>
                <w:i/>
                <w:color w:val="auto"/>
                <w:sz w:val="24"/>
              </w:rPr>
              <w:t>q</w:t>
            </w:r>
            <w:r>
              <w:rPr>
                <w:color w:val="auto"/>
                <w:sz w:val="24"/>
                <w:vertAlign w:val="subscript"/>
              </w:rPr>
              <w:t>n</w:t>
            </w:r>
            <w:r>
              <w:rPr>
                <w:color w:val="auto"/>
                <w:sz w:val="24"/>
              </w:rPr>
              <w:t>——每种环境风险物质的最大存在总量，t；</w:t>
            </w:r>
          </w:p>
          <w:p>
            <w:pPr>
              <w:spacing w:line="360" w:lineRule="auto"/>
              <w:ind w:firstLine="480" w:firstLineChars="200"/>
              <w:rPr>
                <w:color w:val="auto"/>
                <w:sz w:val="24"/>
              </w:rPr>
            </w:pPr>
            <w:r>
              <w:rPr>
                <w:i/>
                <w:color w:val="auto"/>
                <w:sz w:val="24"/>
              </w:rPr>
              <w:t>Q</w:t>
            </w:r>
            <w:r>
              <w:rPr>
                <w:color w:val="auto"/>
                <w:sz w:val="24"/>
                <w:vertAlign w:val="subscript"/>
              </w:rPr>
              <w:t>1</w:t>
            </w:r>
            <w:r>
              <w:rPr>
                <w:color w:val="auto"/>
                <w:sz w:val="24"/>
              </w:rPr>
              <w:t>，</w:t>
            </w:r>
            <w:r>
              <w:rPr>
                <w:i/>
                <w:iCs/>
                <w:color w:val="auto"/>
                <w:sz w:val="24"/>
              </w:rPr>
              <w:t>Q</w:t>
            </w:r>
            <w:r>
              <w:rPr>
                <w:color w:val="auto"/>
                <w:sz w:val="24"/>
                <w:vertAlign w:val="subscript"/>
              </w:rPr>
              <w:t>2</w:t>
            </w:r>
            <w:r>
              <w:rPr>
                <w:color w:val="auto"/>
                <w:sz w:val="24"/>
              </w:rPr>
              <w:t xml:space="preserve">，...， </w:t>
            </w:r>
            <w:r>
              <w:rPr>
                <w:i/>
                <w:color w:val="auto"/>
                <w:sz w:val="24"/>
              </w:rPr>
              <w:t>Q</w:t>
            </w:r>
            <w:r>
              <w:rPr>
                <w:color w:val="auto"/>
                <w:sz w:val="24"/>
                <w:vertAlign w:val="subscript"/>
              </w:rPr>
              <w:t>n</w:t>
            </w:r>
            <w:r>
              <w:rPr>
                <w:color w:val="auto"/>
                <w:sz w:val="24"/>
              </w:rPr>
              <w:t>——每种环境风险物质的临界量，t。</w:t>
            </w:r>
          </w:p>
          <w:p>
            <w:pPr>
              <w:spacing w:line="360" w:lineRule="auto"/>
              <w:ind w:firstLine="480" w:firstLineChars="200"/>
              <w:rPr>
                <w:color w:val="auto"/>
                <w:sz w:val="24"/>
              </w:rPr>
            </w:pPr>
            <w:r>
              <w:rPr>
                <w:color w:val="auto"/>
                <w:sz w:val="24"/>
              </w:rPr>
              <w:t>当Q＜1 时，该项目环境风险潜势为Ⅰ。</w:t>
            </w:r>
          </w:p>
          <w:p>
            <w:pPr>
              <w:spacing w:line="360" w:lineRule="auto"/>
              <w:ind w:firstLine="480" w:firstLineChars="200"/>
              <w:rPr>
                <w:color w:val="auto"/>
                <w:sz w:val="24"/>
              </w:rPr>
            </w:pPr>
            <w:r>
              <w:rPr>
                <w:color w:val="auto"/>
                <w:sz w:val="24"/>
              </w:rPr>
              <w:t>当</w:t>
            </w:r>
            <w:r>
              <w:rPr>
                <w:i/>
                <w:color w:val="auto"/>
                <w:sz w:val="24"/>
              </w:rPr>
              <w:t>Q</w:t>
            </w:r>
            <w:r>
              <w:rPr>
                <w:color w:val="auto"/>
                <w:sz w:val="24"/>
              </w:rPr>
              <w:t>≥1，将Q值分为：（1）1≤</w:t>
            </w:r>
            <w:r>
              <w:rPr>
                <w:i/>
                <w:color w:val="auto"/>
                <w:sz w:val="24"/>
              </w:rPr>
              <w:t>Q</w:t>
            </w:r>
            <w:r>
              <w:rPr>
                <w:color w:val="auto"/>
                <w:sz w:val="24"/>
              </w:rPr>
              <w:t>＜10；（2）10≤</w:t>
            </w:r>
            <w:r>
              <w:rPr>
                <w:i/>
                <w:color w:val="auto"/>
                <w:sz w:val="24"/>
              </w:rPr>
              <w:t>Q</w:t>
            </w:r>
            <w:r>
              <w:rPr>
                <w:color w:val="auto"/>
                <w:sz w:val="24"/>
              </w:rPr>
              <w:t>＜100；（3）</w:t>
            </w:r>
            <w:r>
              <w:rPr>
                <w:i/>
                <w:color w:val="auto"/>
                <w:sz w:val="24"/>
              </w:rPr>
              <w:t>Q</w:t>
            </w:r>
            <w:r>
              <w:rPr>
                <w:color w:val="auto"/>
                <w:sz w:val="24"/>
              </w:rPr>
              <w:t>≥100。</w:t>
            </w:r>
          </w:p>
          <w:p>
            <w:pPr>
              <w:spacing w:line="360" w:lineRule="auto"/>
              <w:ind w:firstLine="480" w:firstLineChars="200"/>
              <w:rPr>
                <w:color w:val="auto"/>
                <w:sz w:val="24"/>
              </w:rPr>
            </w:pPr>
            <w:r>
              <w:rPr>
                <w:color w:val="auto"/>
                <w:sz w:val="24"/>
              </w:rPr>
              <w:t>本项目不涉及风险物质，项目Q=0＜1，</w:t>
            </w:r>
            <w:r>
              <w:rPr>
                <w:b/>
                <w:color w:val="auto"/>
                <w:sz w:val="24"/>
              </w:rPr>
              <w:t>本项目项目环境风险潜势为Ⅰ</w:t>
            </w:r>
            <w:r>
              <w:rPr>
                <w:color w:val="auto"/>
                <w:sz w:val="24"/>
              </w:rPr>
              <w:t>。</w:t>
            </w:r>
          </w:p>
          <w:p>
            <w:pPr>
              <w:spacing w:line="360" w:lineRule="auto"/>
              <w:ind w:firstLine="480" w:firstLineChars="200"/>
              <w:rPr>
                <w:color w:val="auto"/>
                <w:sz w:val="24"/>
              </w:rPr>
            </w:pPr>
            <w:r>
              <w:rPr>
                <w:color w:val="auto"/>
                <w:sz w:val="24"/>
              </w:rPr>
              <w:t>根据《建设项目环境风险评价技术导则》（HJ/T169-2018），依据建设项目涉及的物质及工艺系统危险性和所在的环境敏感性确定环境风险潜势，按照表23确定风险评价等级。</w:t>
            </w:r>
          </w:p>
          <w:p>
            <w:pPr>
              <w:spacing w:line="360" w:lineRule="auto"/>
              <w:jc w:val="center"/>
              <w:rPr>
                <w:b/>
                <w:bCs/>
                <w:color w:val="auto"/>
                <w:sz w:val="24"/>
              </w:rPr>
            </w:pPr>
            <w:r>
              <w:rPr>
                <w:b/>
                <w:bCs/>
                <w:color w:val="auto"/>
                <w:sz w:val="24"/>
              </w:rPr>
              <w:t>表23  评价工作等级划分</w:t>
            </w:r>
          </w:p>
          <w:tbl>
            <w:tblPr>
              <w:tblStyle w:val="3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21"/>
              <w:gridCol w:w="1822"/>
              <w:gridCol w:w="1824"/>
              <w:gridCol w:w="1824"/>
              <w:gridCol w:w="18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9" w:type="pc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360" w:lineRule="auto"/>
                    <w:jc w:val="center"/>
                    <w:rPr>
                      <w:b/>
                      <w:bCs/>
                      <w:color w:val="auto"/>
                      <w:kern w:val="0"/>
                      <w:szCs w:val="21"/>
                    </w:rPr>
                  </w:pPr>
                  <w:r>
                    <w:rPr>
                      <w:b/>
                      <w:bCs/>
                      <w:color w:val="auto"/>
                      <w:szCs w:val="21"/>
                    </w:rPr>
                    <w:t>环境风险潜势</w:t>
                  </w:r>
                </w:p>
              </w:tc>
              <w:tc>
                <w:tcPr>
                  <w:tcW w:w="999" w:type="pc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360" w:lineRule="auto"/>
                    <w:jc w:val="center"/>
                    <w:rPr>
                      <w:b/>
                      <w:bCs/>
                      <w:color w:val="auto"/>
                      <w:kern w:val="0"/>
                      <w:szCs w:val="21"/>
                      <w:vertAlign w:val="superscript"/>
                    </w:rPr>
                  </w:pPr>
                  <w:r>
                    <w:rPr>
                      <w:b/>
                      <w:bCs/>
                      <w:color w:val="auto"/>
                      <w:szCs w:val="21"/>
                    </w:rPr>
                    <w:t>Ⅳ、Ⅳ</w:t>
                  </w:r>
                  <w:r>
                    <w:rPr>
                      <w:b/>
                      <w:bCs/>
                      <w:color w:val="auto"/>
                      <w:szCs w:val="21"/>
                      <w:vertAlign w:val="superscript"/>
                    </w:rPr>
                    <w:t>+</w:t>
                  </w:r>
                </w:p>
              </w:tc>
              <w:tc>
                <w:tcPr>
                  <w:tcW w:w="1000" w:type="pc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360" w:lineRule="auto"/>
                    <w:jc w:val="center"/>
                    <w:rPr>
                      <w:b/>
                      <w:bCs/>
                      <w:color w:val="auto"/>
                      <w:kern w:val="0"/>
                      <w:szCs w:val="21"/>
                    </w:rPr>
                  </w:pPr>
                  <w:r>
                    <w:rPr>
                      <w:b/>
                      <w:bCs/>
                      <w:color w:val="auto"/>
                      <w:szCs w:val="21"/>
                    </w:rPr>
                    <w:t>Ⅲ</w:t>
                  </w:r>
                </w:p>
              </w:tc>
              <w:tc>
                <w:tcPr>
                  <w:tcW w:w="1000" w:type="pc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360" w:lineRule="auto"/>
                    <w:jc w:val="center"/>
                    <w:rPr>
                      <w:b/>
                      <w:bCs/>
                      <w:color w:val="auto"/>
                      <w:kern w:val="0"/>
                      <w:szCs w:val="21"/>
                    </w:rPr>
                  </w:pPr>
                  <w:r>
                    <w:rPr>
                      <w:b/>
                      <w:bCs/>
                      <w:color w:val="auto"/>
                      <w:szCs w:val="21"/>
                    </w:rPr>
                    <w:t>Ⅱ</w:t>
                  </w:r>
                </w:p>
              </w:tc>
              <w:tc>
                <w:tcPr>
                  <w:tcW w:w="1000" w:type="pc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360" w:lineRule="auto"/>
                    <w:jc w:val="center"/>
                    <w:rPr>
                      <w:b/>
                      <w:bCs/>
                      <w:color w:val="auto"/>
                      <w:kern w:val="0"/>
                      <w:szCs w:val="21"/>
                    </w:rPr>
                  </w:pPr>
                  <w:r>
                    <w:rPr>
                      <w:b/>
                      <w:bCs/>
                      <w:color w:val="auto"/>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9" w:type="pc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360" w:lineRule="auto"/>
                    <w:jc w:val="center"/>
                    <w:rPr>
                      <w:color w:val="auto"/>
                      <w:kern w:val="0"/>
                      <w:szCs w:val="21"/>
                    </w:rPr>
                  </w:pPr>
                  <w:r>
                    <w:rPr>
                      <w:color w:val="auto"/>
                      <w:szCs w:val="21"/>
                    </w:rPr>
                    <w:t>评价工作等级</w:t>
                  </w:r>
                </w:p>
              </w:tc>
              <w:tc>
                <w:tcPr>
                  <w:tcW w:w="999" w:type="pc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360" w:lineRule="auto"/>
                    <w:jc w:val="center"/>
                    <w:rPr>
                      <w:color w:val="auto"/>
                      <w:kern w:val="0"/>
                      <w:szCs w:val="21"/>
                    </w:rPr>
                  </w:pPr>
                  <w:r>
                    <w:rPr>
                      <w:color w:val="auto"/>
                      <w:szCs w:val="21"/>
                    </w:rPr>
                    <w:t>一</w:t>
                  </w:r>
                </w:p>
              </w:tc>
              <w:tc>
                <w:tcPr>
                  <w:tcW w:w="1000" w:type="pc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360" w:lineRule="auto"/>
                    <w:jc w:val="center"/>
                    <w:rPr>
                      <w:color w:val="auto"/>
                      <w:kern w:val="0"/>
                      <w:szCs w:val="21"/>
                    </w:rPr>
                  </w:pPr>
                  <w:r>
                    <w:rPr>
                      <w:color w:val="auto"/>
                      <w:szCs w:val="21"/>
                    </w:rPr>
                    <w:t>二</w:t>
                  </w:r>
                </w:p>
              </w:tc>
              <w:tc>
                <w:tcPr>
                  <w:tcW w:w="1000" w:type="pc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360" w:lineRule="auto"/>
                    <w:jc w:val="center"/>
                    <w:rPr>
                      <w:color w:val="auto"/>
                      <w:kern w:val="0"/>
                      <w:szCs w:val="21"/>
                    </w:rPr>
                  </w:pPr>
                  <w:r>
                    <w:rPr>
                      <w:color w:val="auto"/>
                      <w:szCs w:val="21"/>
                    </w:rPr>
                    <w:t>三</w:t>
                  </w:r>
                </w:p>
              </w:tc>
              <w:tc>
                <w:tcPr>
                  <w:tcW w:w="1000" w:type="pc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360" w:lineRule="auto"/>
                    <w:jc w:val="center"/>
                    <w:rPr>
                      <w:color w:val="auto"/>
                      <w:kern w:val="0"/>
                      <w:szCs w:val="21"/>
                      <w:vertAlign w:val="superscript"/>
                    </w:rPr>
                  </w:pPr>
                  <w:r>
                    <w:rPr>
                      <w:color w:val="auto"/>
                      <w:szCs w:val="21"/>
                    </w:rPr>
                    <w:t>简单分析</w:t>
                  </w:r>
                  <w:r>
                    <w:rPr>
                      <w:color w:val="auto"/>
                      <w:szCs w:val="21"/>
                      <w:vertAlign w:val="superscript"/>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000" w:type="pct"/>
                  <w:gridSpan w:val="5"/>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360" w:lineRule="auto"/>
                    <w:jc w:val="left"/>
                    <w:rPr>
                      <w:color w:val="auto"/>
                      <w:kern w:val="0"/>
                      <w:szCs w:val="21"/>
                    </w:rPr>
                  </w:pPr>
                  <w:r>
                    <w:rPr>
                      <w:color w:val="auto"/>
                      <w:szCs w:val="21"/>
                    </w:rPr>
                    <w:t>a是相对于详细评价工作内容而言，在描述危险物质、环境影响途径、环境危害后果、风险防范措施等方面给出定性的说明。</w:t>
                  </w:r>
                </w:p>
              </w:tc>
            </w:tr>
          </w:tbl>
          <w:p>
            <w:pPr>
              <w:spacing w:line="360" w:lineRule="auto"/>
              <w:ind w:firstLine="480" w:firstLineChars="200"/>
              <w:rPr>
                <w:color w:val="auto"/>
                <w:sz w:val="24"/>
              </w:rPr>
            </w:pPr>
            <w:r>
              <w:rPr>
                <w:color w:val="auto"/>
                <w:sz w:val="24"/>
              </w:rPr>
              <w:t>因此，</w:t>
            </w:r>
            <w:r>
              <w:rPr>
                <w:b/>
                <w:color w:val="auto"/>
                <w:sz w:val="24"/>
              </w:rPr>
              <w:t>本项目环境风险评价工作等级为简单分析</w:t>
            </w:r>
            <w:r>
              <w:rPr>
                <w:color w:val="auto"/>
                <w:sz w:val="24"/>
              </w:rPr>
              <w:t>。</w:t>
            </w:r>
          </w:p>
          <w:p>
            <w:pPr>
              <w:adjustRightInd w:val="0"/>
              <w:snapToGrid w:val="0"/>
              <w:spacing w:line="360" w:lineRule="auto"/>
              <w:ind w:left="496"/>
              <w:rPr>
                <w:color w:val="auto"/>
                <w:spacing w:val="4"/>
                <w:sz w:val="24"/>
              </w:rPr>
            </w:pPr>
            <w:r>
              <w:rPr>
                <w:rFonts w:hint="eastAsia"/>
                <w:color w:val="auto"/>
                <w:spacing w:val="4"/>
                <w:sz w:val="24"/>
              </w:rPr>
              <w:t>（3）</w:t>
            </w:r>
            <w:r>
              <w:rPr>
                <w:color w:val="auto"/>
                <w:spacing w:val="4"/>
                <w:sz w:val="24"/>
              </w:rPr>
              <w:t>环境风险分析</w:t>
            </w:r>
          </w:p>
          <w:p>
            <w:pPr>
              <w:spacing w:line="360" w:lineRule="auto"/>
              <w:ind w:firstLine="480"/>
              <w:rPr>
                <w:color w:val="auto"/>
                <w:sz w:val="24"/>
              </w:rPr>
            </w:pPr>
            <w:r>
              <w:rPr>
                <w:rFonts w:hint="eastAsia" w:ascii="宋体" w:hAnsi="宋体" w:cs="宋体"/>
                <w:color w:val="auto"/>
                <w:sz w:val="24"/>
              </w:rPr>
              <w:t>本项目为自来水供水的加压和输送工程，不使用原辅材料，也不对自来水进行处理，因此，存在的环境风险主要包括：一是供水管道、池体破裂泄漏，使泄漏的自来水对地面冲刷形成废水并流向周边；二是水泵故障，导致异响而使噪声增大，对周围居民敏感点造成噪声污染影响。</w:t>
            </w:r>
          </w:p>
          <w:p>
            <w:pPr>
              <w:adjustRightInd w:val="0"/>
              <w:snapToGrid w:val="0"/>
              <w:spacing w:before="120" w:beforeLines="50" w:line="360" w:lineRule="auto"/>
              <w:ind w:firstLine="496" w:firstLineChars="200"/>
              <w:rPr>
                <w:color w:val="auto"/>
                <w:spacing w:val="4"/>
                <w:sz w:val="24"/>
              </w:rPr>
            </w:pPr>
            <w:r>
              <w:rPr>
                <w:color w:val="auto"/>
                <w:spacing w:val="4"/>
                <w:sz w:val="24"/>
              </w:rPr>
              <w:t>（3） 环境风险管理及减缓风险措施</w:t>
            </w:r>
          </w:p>
          <w:p>
            <w:pPr>
              <w:spacing w:line="360" w:lineRule="auto"/>
              <w:ind w:firstLine="480"/>
              <w:rPr>
                <w:snapToGrid w:val="0"/>
                <w:color w:val="auto"/>
                <w:sz w:val="24"/>
              </w:rPr>
            </w:pPr>
            <w:r>
              <w:rPr>
                <w:rFonts w:hint="eastAsia"/>
                <w:snapToGrid w:val="0"/>
                <w:color w:val="auto"/>
                <w:sz w:val="24"/>
              </w:rPr>
              <w:t>建设单位</w:t>
            </w:r>
            <w:r>
              <w:rPr>
                <w:snapToGrid w:val="0"/>
                <w:color w:val="auto"/>
                <w:sz w:val="24"/>
              </w:rPr>
              <w:t>高度重视对突发性事故的警觉和认识</w:t>
            </w:r>
            <w:r>
              <w:rPr>
                <w:rFonts w:hint="eastAsia"/>
                <w:snapToGrid w:val="0"/>
                <w:color w:val="auto"/>
                <w:sz w:val="24"/>
              </w:rPr>
              <w:t>，做好设备的定期</w:t>
            </w:r>
            <w:r>
              <w:rPr>
                <w:snapToGrid w:val="0"/>
                <w:color w:val="auto"/>
                <w:sz w:val="24"/>
              </w:rPr>
              <w:t>检查</w:t>
            </w:r>
            <w:r>
              <w:rPr>
                <w:rFonts w:hint="eastAsia"/>
                <w:snapToGrid w:val="0"/>
                <w:color w:val="auto"/>
                <w:sz w:val="24"/>
              </w:rPr>
              <w:t>和维护工作，确保设备</w:t>
            </w:r>
            <w:r>
              <w:rPr>
                <w:snapToGrid w:val="0"/>
                <w:color w:val="auto"/>
                <w:sz w:val="24"/>
              </w:rPr>
              <w:t>的正常运转情况。针对各种可能的事故发生源制定严格的防范措施，完善各项管理规章、制度。严格执行设备检验和报废制度</w:t>
            </w:r>
            <w:r>
              <w:rPr>
                <w:rFonts w:hint="eastAsia"/>
                <w:snapToGrid w:val="0"/>
                <w:color w:val="auto"/>
                <w:sz w:val="24"/>
              </w:rPr>
              <w:t>，</w:t>
            </w:r>
            <w:r>
              <w:rPr>
                <w:snapToGrid w:val="0"/>
                <w:color w:val="auto"/>
                <w:sz w:val="24"/>
              </w:rPr>
              <w:t>对</w:t>
            </w:r>
            <w:r>
              <w:rPr>
                <w:rFonts w:hint="eastAsia"/>
                <w:snapToGrid w:val="0"/>
                <w:color w:val="auto"/>
                <w:sz w:val="24"/>
              </w:rPr>
              <w:t>负责运行维护的工作人员</w:t>
            </w:r>
            <w:r>
              <w:rPr>
                <w:snapToGrid w:val="0"/>
                <w:color w:val="auto"/>
                <w:sz w:val="24"/>
              </w:rPr>
              <w:t>应做好培训工作，加强员工的安全意识。</w:t>
            </w:r>
          </w:p>
          <w:p>
            <w:pPr>
              <w:adjustRightInd w:val="0"/>
              <w:snapToGrid w:val="0"/>
              <w:spacing w:line="360" w:lineRule="auto"/>
              <w:ind w:firstLine="496" w:firstLineChars="200"/>
              <w:rPr>
                <w:color w:val="auto"/>
                <w:spacing w:val="4"/>
                <w:sz w:val="24"/>
              </w:rPr>
            </w:pPr>
            <w:r>
              <w:rPr>
                <w:color w:val="auto"/>
                <w:spacing w:val="4"/>
                <w:sz w:val="24"/>
              </w:rPr>
              <w:t>（4）应急措施</w:t>
            </w:r>
          </w:p>
          <w:p>
            <w:pPr>
              <w:adjustRightInd w:val="0"/>
              <w:snapToGrid w:val="0"/>
              <w:spacing w:line="360" w:lineRule="auto"/>
              <w:ind w:firstLine="496" w:firstLineChars="200"/>
              <w:rPr>
                <w:color w:val="auto"/>
                <w:spacing w:val="4"/>
                <w:sz w:val="24"/>
              </w:rPr>
            </w:pPr>
            <w:r>
              <w:rPr>
                <w:color w:val="auto"/>
                <w:spacing w:val="4"/>
                <w:sz w:val="24"/>
              </w:rPr>
              <w:t>针对本项目的环境风险，建设单位应做好应急处置措施，具体如下：</w:t>
            </w:r>
          </w:p>
          <w:p>
            <w:pPr>
              <w:adjustRightInd w:val="0"/>
              <w:snapToGrid w:val="0"/>
              <w:spacing w:line="360" w:lineRule="auto"/>
              <w:ind w:firstLine="496" w:firstLineChars="200"/>
              <w:rPr>
                <w:color w:val="auto"/>
                <w:spacing w:val="4"/>
                <w:sz w:val="24"/>
              </w:rPr>
            </w:pPr>
            <w:r>
              <w:rPr>
                <w:color w:val="auto"/>
                <w:spacing w:val="4"/>
                <w:sz w:val="24"/>
              </w:rPr>
              <w:t>①建立事故应急预案，成立事故应急处理小组，由车间安全负责人担任事故应急小组组长，一旦发生泄漏、火灾等事故，应立即启动事故应急预案，</w:t>
            </w:r>
            <w:r>
              <w:rPr>
                <w:rFonts w:hint="eastAsia"/>
                <w:color w:val="auto"/>
                <w:spacing w:val="4"/>
                <w:sz w:val="24"/>
              </w:rPr>
              <w:t>发生突发环境事件时</w:t>
            </w:r>
            <w:r>
              <w:rPr>
                <w:color w:val="auto"/>
                <w:spacing w:val="4"/>
                <w:sz w:val="24"/>
              </w:rPr>
              <w:t>向有关环境管理部门汇报情况，协助环境管理部门进行应急监测等工作。</w:t>
            </w:r>
          </w:p>
          <w:p>
            <w:pPr>
              <w:adjustRightInd w:val="0"/>
              <w:snapToGrid w:val="0"/>
              <w:spacing w:line="360" w:lineRule="auto"/>
              <w:ind w:firstLine="496" w:firstLineChars="200"/>
              <w:rPr>
                <w:color w:val="auto"/>
                <w:spacing w:val="4"/>
                <w:sz w:val="24"/>
              </w:rPr>
            </w:pPr>
            <w:r>
              <w:rPr>
                <w:color w:val="auto"/>
                <w:spacing w:val="4"/>
                <w:sz w:val="24"/>
              </w:rPr>
              <w:t>②生产车间内应配备灭火器、消防砂箱和防毒面具等消防应急设备，并定期检查设备有效性。</w:t>
            </w:r>
          </w:p>
          <w:p>
            <w:pPr>
              <w:adjustRightInd w:val="0"/>
              <w:snapToGrid w:val="0"/>
              <w:spacing w:line="360" w:lineRule="auto"/>
              <w:ind w:firstLine="496" w:firstLineChars="200"/>
              <w:rPr>
                <w:color w:val="auto"/>
                <w:spacing w:val="4"/>
                <w:sz w:val="24"/>
              </w:rPr>
            </w:pPr>
            <w:r>
              <w:rPr>
                <w:rFonts w:hint="eastAsia"/>
                <w:color w:val="auto"/>
                <w:spacing w:val="4"/>
                <w:sz w:val="24"/>
              </w:rPr>
              <w:t>③如发生水泵故障等导致噪声增大，打扰附近居民生活的情形，应立即组织人员对设备进行故障排查，关闭设备，停止高噪声持续排放，在检修工作完成前不得继续运行。</w:t>
            </w:r>
          </w:p>
          <w:p>
            <w:pPr>
              <w:adjustRightInd w:val="0"/>
              <w:snapToGrid w:val="0"/>
              <w:spacing w:line="360" w:lineRule="auto"/>
              <w:ind w:firstLine="496" w:firstLineChars="200"/>
              <w:rPr>
                <w:bCs/>
                <w:color w:val="auto"/>
                <w:spacing w:val="4"/>
                <w:sz w:val="24"/>
              </w:rPr>
            </w:pPr>
            <w:r>
              <w:rPr>
                <w:color w:val="auto"/>
                <w:spacing w:val="4"/>
                <w:sz w:val="24"/>
              </w:rPr>
              <w:t>（5）结论</w:t>
            </w:r>
          </w:p>
          <w:p>
            <w:pPr>
              <w:pStyle w:val="126"/>
              <w:spacing w:line="360" w:lineRule="auto"/>
              <w:ind w:firstLine="496" w:firstLineChars="200"/>
              <w:jc w:val="left"/>
              <w:rPr>
                <w:b w:val="0"/>
                <w:bCs/>
                <w:color w:val="auto"/>
                <w:spacing w:val="4"/>
                <w:sz w:val="24"/>
              </w:rPr>
            </w:pPr>
            <w:r>
              <w:rPr>
                <w:rFonts w:hint="eastAsia"/>
                <w:b w:val="0"/>
                <w:bCs/>
                <w:color w:val="auto"/>
                <w:spacing w:val="4"/>
                <w:sz w:val="24"/>
              </w:rPr>
              <w:t>由于本项目主要为供水工程，不涉及原辅材料的使用和废水、废气、固体废物的产生排放，项目本身存在的环境风险隐患较小</w:t>
            </w:r>
            <w:r>
              <w:rPr>
                <w:rFonts w:ascii="Times New Roman" w:hAnsi="Times New Roman" w:cs="Times New Roman"/>
                <w:b w:val="0"/>
                <w:bCs/>
                <w:color w:val="auto"/>
                <w:sz w:val="24"/>
              </w:rPr>
              <w:t>。</w:t>
            </w:r>
            <w:r>
              <w:rPr>
                <w:b w:val="0"/>
                <w:bCs/>
                <w:color w:val="auto"/>
                <w:spacing w:val="4"/>
                <w:sz w:val="24"/>
              </w:rPr>
              <w:t>建设单位在严格落实本报告的提出各项事故防范和应急措施，加强管理的前提下，可最大限度地减少可能发生的环境风险。若发生事故，也可将影响范围控制在较小程度内，减小损失。建设单位应制定突发环境事件应急预案，严格执行风险防范措施，定期进行应急演练，防止事故的发生。</w:t>
            </w:r>
          </w:p>
          <w:p>
            <w:pPr>
              <w:adjustRightInd w:val="0"/>
              <w:snapToGrid w:val="0"/>
              <w:spacing w:line="360" w:lineRule="auto"/>
              <w:ind w:firstLine="496" w:firstLineChars="200"/>
              <w:rPr>
                <w:color w:val="auto"/>
                <w:spacing w:val="4"/>
                <w:sz w:val="24"/>
              </w:rPr>
            </w:pPr>
            <w:r>
              <w:rPr>
                <w:color w:val="auto"/>
                <w:spacing w:val="4"/>
                <w:sz w:val="24"/>
              </w:rPr>
              <w:t>本评价认为，在采取本报告提出的风险防范措施，并采取有效的综合管理措施的前提下，所产生的环境风险可以控制在可接受风险水平之内。</w:t>
            </w:r>
          </w:p>
          <w:bookmarkEnd w:id="16"/>
          <w:bookmarkEnd w:id="17"/>
          <w:p>
            <w:pPr>
              <w:tabs>
                <w:tab w:val="left" w:pos="480"/>
              </w:tabs>
              <w:adjustRightInd w:val="0"/>
              <w:snapToGrid w:val="0"/>
              <w:jc w:val="center"/>
              <w:rPr>
                <w:b/>
                <w:color w:val="auto"/>
                <w:spacing w:val="-2"/>
                <w:kern w:val="0"/>
                <w:sz w:val="24"/>
              </w:rPr>
            </w:pPr>
            <w:r>
              <w:rPr>
                <w:b/>
                <w:color w:val="auto"/>
                <w:spacing w:val="-2"/>
                <w:kern w:val="0"/>
                <w:sz w:val="24"/>
              </w:rPr>
              <w:t>表24 建设项目环境风险简单分析内容表</w:t>
            </w:r>
          </w:p>
          <w:tbl>
            <w:tblPr>
              <w:tblStyle w:val="33"/>
              <w:tblW w:w="9071"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2296"/>
              <w:gridCol w:w="1693"/>
              <w:gridCol w:w="1695"/>
              <w:gridCol w:w="1694"/>
              <w:gridCol w:w="1693"/>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2296" w:type="dxa"/>
                  <w:vAlign w:val="center"/>
                </w:tcPr>
                <w:p>
                  <w:pPr>
                    <w:tabs>
                      <w:tab w:val="left" w:pos="480"/>
                    </w:tabs>
                    <w:jc w:val="center"/>
                    <w:rPr>
                      <w:b/>
                      <w:color w:val="auto"/>
                      <w:spacing w:val="-2"/>
                      <w:kern w:val="0"/>
                      <w:szCs w:val="21"/>
                    </w:rPr>
                  </w:pPr>
                  <w:r>
                    <w:rPr>
                      <w:b/>
                      <w:color w:val="auto"/>
                      <w:spacing w:val="-2"/>
                      <w:kern w:val="0"/>
                      <w:szCs w:val="21"/>
                    </w:rPr>
                    <w:t>建设项目名称</w:t>
                  </w:r>
                </w:p>
              </w:tc>
              <w:tc>
                <w:tcPr>
                  <w:tcW w:w="6775" w:type="dxa"/>
                  <w:gridSpan w:val="4"/>
                  <w:vAlign w:val="center"/>
                </w:tcPr>
                <w:p>
                  <w:pPr>
                    <w:tabs>
                      <w:tab w:val="left" w:pos="480"/>
                    </w:tabs>
                    <w:jc w:val="center"/>
                    <w:rPr>
                      <w:b/>
                      <w:color w:val="auto"/>
                      <w:spacing w:val="-2"/>
                      <w:kern w:val="0"/>
                      <w:szCs w:val="21"/>
                    </w:rPr>
                  </w:pPr>
                  <w:r>
                    <w:rPr>
                      <w:rFonts w:hint="eastAsia"/>
                      <w:b/>
                      <w:color w:val="auto"/>
                      <w:spacing w:val="-2"/>
                      <w:kern w:val="0"/>
                      <w:szCs w:val="21"/>
                    </w:rPr>
                    <w:t>梅州市城东片区供水项目</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2296" w:type="dxa"/>
                  <w:vAlign w:val="center"/>
                </w:tcPr>
                <w:p>
                  <w:pPr>
                    <w:tabs>
                      <w:tab w:val="left" w:pos="480"/>
                    </w:tabs>
                    <w:jc w:val="center"/>
                    <w:rPr>
                      <w:bCs/>
                      <w:color w:val="auto"/>
                      <w:spacing w:val="-2"/>
                      <w:kern w:val="0"/>
                      <w:szCs w:val="21"/>
                    </w:rPr>
                  </w:pPr>
                  <w:r>
                    <w:rPr>
                      <w:bCs/>
                      <w:color w:val="auto"/>
                      <w:spacing w:val="-2"/>
                      <w:kern w:val="0"/>
                      <w:szCs w:val="21"/>
                    </w:rPr>
                    <w:t>建设地点</w:t>
                  </w:r>
                </w:p>
              </w:tc>
              <w:tc>
                <w:tcPr>
                  <w:tcW w:w="1693" w:type="dxa"/>
                  <w:vAlign w:val="center"/>
                </w:tcPr>
                <w:p>
                  <w:pPr>
                    <w:tabs>
                      <w:tab w:val="left" w:pos="480"/>
                    </w:tabs>
                    <w:jc w:val="center"/>
                    <w:rPr>
                      <w:bCs/>
                      <w:color w:val="auto"/>
                      <w:spacing w:val="-2"/>
                      <w:kern w:val="0"/>
                      <w:szCs w:val="21"/>
                    </w:rPr>
                  </w:pPr>
                  <w:r>
                    <w:rPr>
                      <w:bCs/>
                      <w:color w:val="auto"/>
                      <w:spacing w:val="-2"/>
                      <w:kern w:val="0"/>
                      <w:szCs w:val="21"/>
                    </w:rPr>
                    <w:t>（广东）省</w:t>
                  </w:r>
                </w:p>
              </w:tc>
              <w:tc>
                <w:tcPr>
                  <w:tcW w:w="1695" w:type="dxa"/>
                  <w:vAlign w:val="center"/>
                </w:tcPr>
                <w:p>
                  <w:pPr>
                    <w:tabs>
                      <w:tab w:val="left" w:pos="480"/>
                    </w:tabs>
                    <w:jc w:val="center"/>
                    <w:rPr>
                      <w:bCs/>
                      <w:color w:val="auto"/>
                      <w:spacing w:val="-2"/>
                      <w:kern w:val="0"/>
                      <w:szCs w:val="21"/>
                    </w:rPr>
                  </w:pPr>
                  <w:r>
                    <w:rPr>
                      <w:bCs/>
                      <w:color w:val="auto"/>
                      <w:spacing w:val="-2"/>
                      <w:kern w:val="0"/>
                      <w:szCs w:val="21"/>
                    </w:rPr>
                    <w:t>（梅州）市</w:t>
                  </w:r>
                </w:p>
              </w:tc>
              <w:tc>
                <w:tcPr>
                  <w:tcW w:w="1694" w:type="dxa"/>
                  <w:vAlign w:val="center"/>
                </w:tcPr>
                <w:p>
                  <w:pPr>
                    <w:tabs>
                      <w:tab w:val="left" w:pos="480"/>
                    </w:tabs>
                    <w:jc w:val="center"/>
                    <w:rPr>
                      <w:bCs/>
                      <w:color w:val="auto"/>
                      <w:spacing w:val="-2"/>
                      <w:kern w:val="0"/>
                      <w:szCs w:val="21"/>
                    </w:rPr>
                  </w:pPr>
                  <w:r>
                    <w:rPr>
                      <w:bCs/>
                      <w:color w:val="auto"/>
                      <w:spacing w:val="-2"/>
                      <w:kern w:val="0"/>
                      <w:szCs w:val="21"/>
                    </w:rPr>
                    <w:t>（</w:t>
                  </w:r>
                  <w:r>
                    <w:rPr>
                      <w:rFonts w:hint="eastAsia"/>
                      <w:bCs/>
                      <w:color w:val="auto"/>
                      <w:spacing w:val="-2"/>
                      <w:kern w:val="0"/>
                      <w:szCs w:val="21"/>
                    </w:rPr>
                    <w:t>梅江</w:t>
                  </w:r>
                  <w:r>
                    <w:rPr>
                      <w:bCs/>
                      <w:color w:val="auto"/>
                      <w:spacing w:val="-2"/>
                      <w:kern w:val="0"/>
                      <w:szCs w:val="21"/>
                    </w:rPr>
                    <w:t>）</w:t>
                  </w:r>
                  <w:r>
                    <w:rPr>
                      <w:rFonts w:hint="eastAsia"/>
                      <w:bCs/>
                      <w:color w:val="auto"/>
                      <w:spacing w:val="-2"/>
                      <w:kern w:val="0"/>
                      <w:szCs w:val="21"/>
                    </w:rPr>
                    <w:t>区</w:t>
                  </w:r>
                </w:p>
              </w:tc>
              <w:tc>
                <w:tcPr>
                  <w:tcW w:w="1693" w:type="dxa"/>
                  <w:vAlign w:val="center"/>
                </w:tcPr>
                <w:p>
                  <w:pPr>
                    <w:tabs>
                      <w:tab w:val="left" w:pos="480"/>
                    </w:tabs>
                    <w:jc w:val="center"/>
                    <w:rPr>
                      <w:bCs/>
                      <w:color w:val="auto"/>
                      <w:spacing w:val="-2"/>
                      <w:kern w:val="0"/>
                      <w:szCs w:val="21"/>
                    </w:rPr>
                  </w:pPr>
                  <w:r>
                    <w:rPr>
                      <w:bCs/>
                      <w:color w:val="auto"/>
                      <w:spacing w:val="-2"/>
                      <w:kern w:val="0"/>
                      <w:szCs w:val="21"/>
                    </w:rPr>
                    <w:t>（</w:t>
                  </w:r>
                  <w:r>
                    <w:rPr>
                      <w:rFonts w:hint="eastAsia"/>
                      <w:bCs/>
                      <w:color w:val="auto"/>
                      <w:spacing w:val="-2"/>
                      <w:kern w:val="0"/>
                      <w:szCs w:val="21"/>
                    </w:rPr>
                    <w:t>金山</w:t>
                  </w:r>
                  <w:r>
                    <w:rPr>
                      <w:bCs/>
                      <w:color w:val="auto"/>
                      <w:spacing w:val="-2"/>
                      <w:kern w:val="0"/>
                      <w:szCs w:val="21"/>
                    </w:rPr>
                    <w:t>）</w:t>
                  </w:r>
                  <w:r>
                    <w:rPr>
                      <w:rFonts w:hint="eastAsia"/>
                      <w:bCs/>
                      <w:color w:val="auto"/>
                      <w:spacing w:val="-2"/>
                      <w:kern w:val="0"/>
                      <w:szCs w:val="21"/>
                    </w:rPr>
                    <w:t>街道</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2296" w:type="dxa"/>
                  <w:vAlign w:val="center"/>
                </w:tcPr>
                <w:p>
                  <w:pPr>
                    <w:tabs>
                      <w:tab w:val="left" w:pos="480"/>
                    </w:tabs>
                    <w:jc w:val="center"/>
                    <w:rPr>
                      <w:bCs/>
                      <w:color w:val="auto"/>
                      <w:spacing w:val="-2"/>
                      <w:kern w:val="0"/>
                      <w:szCs w:val="21"/>
                    </w:rPr>
                  </w:pPr>
                  <w:r>
                    <w:rPr>
                      <w:bCs/>
                      <w:color w:val="auto"/>
                      <w:spacing w:val="-2"/>
                      <w:kern w:val="0"/>
                      <w:szCs w:val="21"/>
                    </w:rPr>
                    <w:t>地理坐标</w:t>
                  </w:r>
                </w:p>
              </w:tc>
              <w:tc>
                <w:tcPr>
                  <w:tcW w:w="1693" w:type="dxa"/>
                  <w:vAlign w:val="center"/>
                </w:tcPr>
                <w:p>
                  <w:pPr>
                    <w:tabs>
                      <w:tab w:val="left" w:pos="480"/>
                    </w:tabs>
                    <w:jc w:val="center"/>
                    <w:rPr>
                      <w:bCs/>
                      <w:color w:val="auto"/>
                      <w:spacing w:val="-2"/>
                      <w:kern w:val="0"/>
                      <w:szCs w:val="21"/>
                    </w:rPr>
                  </w:pPr>
                  <w:r>
                    <w:rPr>
                      <w:bCs/>
                      <w:color w:val="auto"/>
                      <w:spacing w:val="-2"/>
                      <w:kern w:val="0"/>
                      <w:szCs w:val="21"/>
                    </w:rPr>
                    <w:t>经度</w:t>
                  </w:r>
                </w:p>
              </w:tc>
              <w:tc>
                <w:tcPr>
                  <w:tcW w:w="1695" w:type="dxa"/>
                  <w:vAlign w:val="center"/>
                </w:tcPr>
                <w:p>
                  <w:pPr>
                    <w:tabs>
                      <w:tab w:val="left" w:pos="480"/>
                    </w:tabs>
                    <w:jc w:val="center"/>
                    <w:rPr>
                      <w:bCs/>
                      <w:color w:val="auto"/>
                      <w:spacing w:val="-2"/>
                      <w:kern w:val="0"/>
                      <w:szCs w:val="21"/>
                    </w:rPr>
                  </w:pPr>
                  <w:r>
                    <w:rPr>
                      <w:color w:val="auto"/>
                      <w:szCs w:val="21"/>
                    </w:rPr>
                    <w:t>116.11936</w:t>
                  </w:r>
                </w:p>
              </w:tc>
              <w:tc>
                <w:tcPr>
                  <w:tcW w:w="1694" w:type="dxa"/>
                  <w:vAlign w:val="center"/>
                </w:tcPr>
                <w:p>
                  <w:pPr>
                    <w:tabs>
                      <w:tab w:val="left" w:pos="480"/>
                    </w:tabs>
                    <w:jc w:val="center"/>
                    <w:rPr>
                      <w:bCs/>
                      <w:color w:val="auto"/>
                      <w:spacing w:val="-2"/>
                      <w:kern w:val="0"/>
                      <w:szCs w:val="21"/>
                    </w:rPr>
                  </w:pPr>
                  <w:r>
                    <w:rPr>
                      <w:bCs/>
                      <w:color w:val="auto"/>
                      <w:spacing w:val="-2"/>
                      <w:kern w:val="0"/>
                      <w:szCs w:val="21"/>
                    </w:rPr>
                    <w:t>纬度</w:t>
                  </w:r>
                </w:p>
              </w:tc>
              <w:tc>
                <w:tcPr>
                  <w:tcW w:w="1693" w:type="dxa"/>
                  <w:vAlign w:val="center"/>
                </w:tcPr>
                <w:p>
                  <w:pPr>
                    <w:tabs>
                      <w:tab w:val="left" w:pos="480"/>
                    </w:tabs>
                    <w:jc w:val="center"/>
                    <w:rPr>
                      <w:bCs/>
                      <w:color w:val="auto"/>
                      <w:spacing w:val="-2"/>
                      <w:kern w:val="0"/>
                      <w:szCs w:val="21"/>
                      <w:highlight w:val="yellow"/>
                    </w:rPr>
                  </w:pPr>
                  <w:r>
                    <w:rPr>
                      <w:color w:val="auto"/>
                      <w:szCs w:val="21"/>
                    </w:rPr>
                    <w:t>24.33655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2296" w:type="dxa"/>
                  <w:vAlign w:val="center"/>
                </w:tcPr>
                <w:p>
                  <w:pPr>
                    <w:tabs>
                      <w:tab w:val="left" w:pos="480"/>
                    </w:tabs>
                    <w:jc w:val="center"/>
                    <w:rPr>
                      <w:bCs/>
                      <w:color w:val="auto"/>
                      <w:spacing w:val="-2"/>
                      <w:kern w:val="0"/>
                      <w:szCs w:val="21"/>
                    </w:rPr>
                  </w:pPr>
                  <w:r>
                    <w:rPr>
                      <w:bCs/>
                      <w:color w:val="auto"/>
                      <w:spacing w:val="-2"/>
                      <w:kern w:val="0"/>
                      <w:szCs w:val="21"/>
                    </w:rPr>
                    <w:t>主要危险物质及分布</w:t>
                  </w:r>
                </w:p>
              </w:tc>
              <w:tc>
                <w:tcPr>
                  <w:tcW w:w="6775" w:type="dxa"/>
                  <w:gridSpan w:val="4"/>
                  <w:vAlign w:val="center"/>
                </w:tcPr>
                <w:p>
                  <w:pPr>
                    <w:tabs>
                      <w:tab w:val="left" w:pos="480"/>
                    </w:tabs>
                    <w:jc w:val="center"/>
                    <w:rPr>
                      <w:bCs/>
                      <w:color w:val="auto"/>
                      <w:spacing w:val="-2"/>
                      <w:kern w:val="0"/>
                      <w:szCs w:val="21"/>
                    </w:rPr>
                  </w:pPr>
                  <w:r>
                    <w:rPr>
                      <w:rFonts w:hint="eastAsia"/>
                      <w:color w:val="auto"/>
                      <w:spacing w:val="-2"/>
                      <w:kern w:val="0"/>
                      <w:szCs w:val="21"/>
                    </w:rPr>
                    <w:t>无</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2296" w:type="dxa"/>
                  <w:vAlign w:val="center"/>
                </w:tcPr>
                <w:p>
                  <w:pPr>
                    <w:tabs>
                      <w:tab w:val="left" w:pos="480"/>
                    </w:tabs>
                    <w:jc w:val="center"/>
                    <w:rPr>
                      <w:bCs/>
                      <w:color w:val="auto"/>
                      <w:spacing w:val="-2"/>
                      <w:kern w:val="0"/>
                      <w:szCs w:val="21"/>
                    </w:rPr>
                  </w:pPr>
                  <w:r>
                    <w:rPr>
                      <w:bCs/>
                      <w:color w:val="auto"/>
                      <w:spacing w:val="-2"/>
                      <w:kern w:val="0"/>
                      <w:szCs w:val="21"/>
                    </w:rPr>
                    <w:t>环境影响途径及危害后果（大气、地表水、地下水等）</w:t>
                  </w:r>
                </w:p>
              </w:tc>
              <w:tc>
                <w:tcPr>
                  <w:tcW w:w="6775" w:type="dxa"/>
                  <w:gridSpan w:val="4"/>
                  <w:vAlign w:val="center"/>
                </w:tcPr>
                <w:p>
                  <w:pPr>
                    <w:pStyle w:val="32"/>
                    <w:ind w:left="0" w:leftChars="0" w:firstLine="0" w:firstLineChars="0"/>
                    <w:rPr>
                      <w:color w:val="auto"/>
                    </w:rPr>
                  </w:pPr>
                  <w:r>
                    <w:rPr>
                      <w:rFonts w:hint="eastAsia"/>
                      <w:color w:val="auto"/>
                      <w:szCs w:val="21"/>
                    </w:rPr>
                    <w:t>供水管道、池体破裂泄漏，使泄漏的自来水对地面冲刷形成废水并流向周边；水泵故障导致异响而使噪声增大，对周围居民敏感点造成噪声污染影响。</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2296" w:type="dxa"/>
                  <w:vAlign w:val="center"/>
                </w:tcPr>
                <w:p>
                  <w:pPr>
                    <w:tabs>
                      <w:tab w:val="left" w:pos="480"/>
                    </w:tabs>
                    <w:jc w:val="center"/>
                    <w:rPr>
                      <w:bCs/>
                      <w:color w:val="auto"/>
                      <w:spacing w:val="-2"/>
                      <w:kern w:val="0"/>
                      <w:szCs w:val="21"/>
                    </w:rPr>
                  </w:pPr>
                  <w:r>
                    <w:rPr>
                      <w:bCs/>
                      <w:color w:val="auto"/>
                      <w:spacing w:val="-2"/>
                      <w:kern w:val="0"/>
                      <w:szCs w:val="21"/>
                    </w:rPr>
                    <w:t>风险防范措施要求</w:t>
                  </w:r>
                </w:p>
              </w:tc>
              <w:tc>
                <w:tcPr>
                  <w:tcW w:w="6775" w:type="dxa"/>
                  <w:gridSpan w:val="4"/>
                  <w:vAlign w:val="center"/>
                </w:tcPr>
                <w:p>
                  <w:pPr>
                    <w:jc w:val="left"/>
                    <w:rPr>
                      <w:color w:val="auto"/>
                      <w:spacing w:val="-2"/>
                      <w:szCs w:val="21"/>
                    </w:rPr>
                  </w:pPr>
                  <w:r>
                    <w:rPr>
                      <w:rFonts w:hint="eastAsia"/>
                      <w:color w:val="auto"/>
                      <w:spacing w:val="-2"/>
                      <w:szCs w:val="21"/>
                    </w:rPr>
                    <w:t>①建立事故应急预案，成立事故应急处理小组，由车间安全负责人担任事故应急小组组长，一旦发生泄漏、火灾等事故，应立即启动事故应急预案，发生突发环境事件时向有关环境管理部门汇报情况，协助环境管理部门进行应急监测等工作。</w:t>
                  </w:r>
                </w:p>
                <w:p>
                  <w:pPr>
                    <w:jc w:val="left"/>
                    <w:rPr>
                      <w:color w:val="auto"/>
                      <w:spacing w:val="-2"/>
                      <w:szCs w:val="21"/>
                    </w:rPr>
                  </w:pPr>
                  <w:r>
                    <w:rPr>
                      <w:rFonts w:hint="eastAsia"/>
                      <w:color w:val="auto"/>
                      <w:spacing w:val="-2"/>
                      <w:szCs w:val="21"/>
                    </w:rPr>
                    <w:t>②生产车间内应配备灭火器、消防砂箱和防毒面具等消防应急设备，并定期检查设备有效性。</w:t>
                  </w:r>
                </w:p>
                <w:p>
                  <w:pPr>
                    <w:jc w:val="left"/>
                    <w:rPr>
                      <w:color w:val="auto"/>
                    </w:rPr>
                  </w:pPr>
                  <w:r>
                    <w:rPr>
                      <w:rFonts w:hint="eastAsia"/>
                      <w:color w:val="auto"/>
                      <w:spacing w:val="-2"/>
                      <w:szCs w:val="21"/>
                    </w:rPr>
                    <w:t>③如发生水泵故障等导致噪声增大，打扰附近居民生活的情形，应立即组织人员对设备进行故障排查，关闭设备，停止高噪声持续排放，在检修工作完成前不得继续运行。</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9071" w:type="dxa"/>
                  <w:gridSpan w:val="5"/>
                  <w:vAlign w:val="center"/>
                </w:tcPr>
                <w:p>
                  <w:pPr>
                    <w:tabs>
                      <w:tab w:val="left" w:pos="480"/>
                    </w:tabs>
                    <w:rPr>
                      <w:bCs/>
                      <w:color w:val="auto"/>
                      <w:spacing w:val="-2"/>
                      <w:kern w:val="0"/>
                      <w:szCs w:val="21"/>
                    </w:rPr>
                  </w:pPr>
                  <w:r>
                    <w:rPr>
                      <w:bCs/>
                      <w:color w:val="auto"/>
                      <w:spacing w:val="-2"/>
                      <w:kern w:val="0"/>
                      <w:szCs w:val="21"/>
                    </w:rPr>
                    <w:t>填表说明（列出项目相关信息及评价说明）：</w:t>
                  </w:r>
                </w:p>
                <w:p>
                  <w:pPr>
                    <w:tabs>
                      <w:tab w:val="left" w:pos="480"/>
                    </w:tabs>
                    <w:jc w:val="center"/>
                    <w:rPr>
                      <w:bCs/>
                      <w:color w:val="auto"/>
                      <w:spacing w:val="-2"/>
                      <w:kern w:val="0"/>
                      <w:szCs w:val="21"/>
                    </w:rPr>
                  </w:pPr>
                  <w:r>
                    <w:rPr>
                      <w:color w:val="auto"/>
                      <w:spacing w:val="-2"/>
                      <w:kern w:val="0"/>
                      <w:szCs w:val="21"/>
                    </w:rPr>
                    <w:t>本项目环境风险潜势为Ⅰ，通过采取相应的风险防范措施，项目的环境风险可控。一旦发生事故，建设单位应立即执行事故应急预案，采取合理的事故应急处理措施，将事故影响降到最低限度。</w:t>
                  </w:r>
                </w:p>
              </w:tc>
            </w:tr>
          </w:tbl>
          <w:p>
            <w:pPr>
              <w:widowControl/>
              <w:spacing w:line="360" w:lineRule="auto"/>
              <w:ind w:firstLine="480"/>
              <w:rPr>
                <w:rFonts w:eastAsia="新宋体"/>
                <w:color w:val="auto"/>
                <w:sz w:val="24"/>
              </w:rPr>
            </w:pPr>
          </w:p>
          <w:p>
            <w:pPr>
              <w:spacing w:line="360" w:lineRule="auto"/>
              <w:ind w:firstLine="482" w:firstLineChars="200"/>
              <w:rPr>
                <w:b/>
                <w:bCs/>
                <w:color w:val="auto"/>
                <w:sz w:val="24"/>
              </w:rPr>
            </w:pPr>
            <w:r>
              <w:rPr>
                <w:b/>
                <w:bCs/>
                <w:color w:val="auto"/>
                <w:sz w:val="24"/>
              </w:rPr>
              <w:t>9、“三同时”验收一览表</w:t>
            </w:r>
          </w:p>
          <w:p>
            <w:pPr>
              <w:jc w:val="center"/>
              <w:rPr>
                <w:b/>
                <w:color w:val="auto"/>
                <w:sz w:val="24"/>
                <w:szCs w:val="32"/>
              </w:rPr>
            </w:pPr>
            <w:r>
              <w:rPr>
                <w:b/>
                <w:color w:val="auto"/>
                <w:sz w:val="24"/>
                <w:szCs w:val="32"/>
              </w:rPr>
              <w:t>表25  “三同时”验收一览表</w:t>
            </w:r>
          </w:p>
          <w:tbl>
            <w:tblPr>
              <w:tblStyle w:val="33"/>
              <w:tblW w:w="479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87"/>
              <w:gridCol w:w="1528"/>
              <w:gridCol w:w="1796"/>
              <w:gridCol w:w="1516"/>
              <w:gridCol w:w="28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9" w:hRule="atLeast"/>
                <w:tblHeader/>
                <w:jc w:val="center"/>
              </w:trPr>
              <w:tc>
                <w:tcPr>
                  <w:tcW w:w="1087" w:type="dxa"/>
                  <w:vAlign w:val="center"/>
                </w:tcPr>
                <w:p>
                  <w:pPr>
                    <w:jc w:val="center"/>
                    <w:rPr>
                      <w:color w:val="auto"/>
                      <w:szCs w:val="21"/>
                    </w:rPr>
                  </w:pPr>
                  <w:r>
                    <w:rPr>
                      <w:color w:val="auto"/>
                      <w:szCs w:val="21"/>
                    </w:rPr>
                    <w:t>类别</w:t>
                  </w:r>
                </w:p>
              </w:tc>
              <w:tc>
                <w:tcPr>
                  <w:tcW w:w="1528" w:type="dxa"/>
                  <w:vAlign w:val="center"/>
                </w:tcPr>
                <w:p>
                  <w:pPr>
                    <w:jc w:val="center"/>
                    <w:rPr>
                      <w:color w:val="auto"/>
                      <w:szCs w:val="21"/>
                    </w:rPr>
                  </w:pPr>
                  <w:r>
                    <w:rPr>
                      <w:color w:val="auto"/>
                      <w:szCs w:val="21"/>
                    </w:rPr>
                    <w:t>治理对象</w:t>
                  </w:r>
                </w:p>
              </w:tc>
              <w:tc>
                <w:tcPr>
                  <w:tcW w:w="1796" w:type="dxa"/>
                  <w:vAlign w:val="center"/>
                </w:tcPr>
                <w:p>
                  <w:pPr>
                    <w:jc w:val="center"/>
                    <w:rPr>
                      <w:color w:val="auto"/>
                      <w:szCs w:val="21"/>
                    </w:rPr>
                  </w:pPr>
                  <w:r>
                    <w:rPr>
                      <w:color w:val="auto"/>
                      <w:szCs w:val="21"/>
                    </w:rPr>
                    <w:t>措施</w:t>
                  </w:r>
                </w:p>
              </w:tc>
              <w:tc>
                <w:tcPr>
                  <w:tcW w:w="1516" w:type="dxa"/>
                  <w:vAlign w:val="center"/>
                </w:tcPr>
                <w:p>
                  <w:pPr>
                    <w:jc w:val="center"/>
                    <w:rPr>
                      <w:color w:val="auto"/>
                      <w:szCs w:val="21"/>
                    </w:rPr>
                  </w:pPr>
                  <w:r>
                    <w:rPr>
                      <w:color w:val="auto"/>
                      <w:szCs w:val="21"/>
                    </w:rPr>
                    <w:t>监测项目</w:t>
                  </w:r>
                </w:p>
              </w:tc>
              <w:tc>
                <w:tcPr>
                  <w:tcW w:w="2816" w:type="dxa"/>
                  <w:vAlign w:val="center"/>
                </w:tcPr>
                <w:p>
                  <w:pPr>
                    <w:jc w:val="center"/>
                    <w:rPr>
                      <w:color w:val="auto"/>
                      <w:szCs w:val="21"/>
                    </w:rPr>
                  </w:pPr>
                  <w:r>
                    <w:rPr>
                      <w:color w:val="auto"/>
                      <w:szCs w:val="21"/>
                    </w:rPr>
                    <w:t>验收标准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 w:hRule="atLeast"/>
                <w:jc w:val="center"/>
              </w:trPr>
              <w:tc>
                <w:tcPr>
                  <w:tcW w:w="1087" w:type="dxa"/>
                  <w:vAlign w:val="center"/>
                </w:tcPr>
                <w:p>
                  <w:pPr>
                    <w:jc w:val="center"/>
                    <w:rPr>
                      <w:color w:val="auto"/>
                      <w:szCs w:val="21"/>
                    </w:rPr>
                  </w:pPr>
                  <w:r>
                    <w:rPr>
                      <w:color w:val="auto"/>
                      <w:szCs w:val="21"/>
                    </w:rPr>
                    <w:t>废水</w:t>
                  </w:r>
                </w:p>
              </w:tc>
              <w:tc>
                <w:tcPr>
                  <w:tcW w:w="1528" w:type="dxa"/>
                  <w:vAlign w:val="center"/>
                </w:tcPr>
                <w:p>
                  <w:pPr>
                    <w:jc w:val="center"/>
                    <w:rPr>
                      <w:color w:val="auto"/>
                      <w:szCs w:val="21"/>
                    </w:rPr>
                  </w:pPr>
                  <w:r>
                    <w:rPr>
                      <w:color w:val="auto"/>
                      <w:szCs w:val="21"/>
                    </w:rPr>
                    <w:t>生活污水</w:t>
                  </w:r>
                </w:p>
              </w:tc>
              <w:tc>
                <w:tcPr>
                  <w:tcW w:w="1796" w:type="dxa"/>
                  <w:vAlign w:val="center"/>
                </w:tcPr>
                <w:p>
                  <w:pPr>
                    <w:jc w:val="center"/>
                    <w:rPr>
                      <w:color w:val="auto"/>
                      <w:szCs w:val="21"/>
                    </w:rPr>
                  </w:pPr>
                  <w:r>
                    <w:rPr>
                      <w:color w:val="auto"/>
                      <w:szCs w:val="21"/>
                    </w:rPr>
                    <w:t>三级化粪池</w:t>
                  </w:r>
                  <w:r>
                    <w:rPr>
                      <w:rFonts w:hint="eastAsia"/>
                      <w:color w:val="auto"/>
                      <w:szCs w:val="21"/>
                    </w:rPr>
                    <w:t>处理后回用于绿化浇灌</w:t>
                  </w:r>
                </w:p>
              </w:tc>
              <w:tc>
                <w:tcPr>
                  <w:tcW w:w="1516" w:type="dxa"/>
                  <w:vAlign w:val="center"/>
                </w:tcPr>
                <w:p>
                  <w:pPr>
                    <w:jc w:val="center"/>
                    <w:rPr>
                      <w:color w:val="auto"/>
                      <w:szCs w:val="21"/>
                    </w:rPr>
                  </w:pPr>
                  <w:r>
                    <w:rPr>
                      <w:color w:val="auto"/>
                      <w:szCs w:val="21"/>
                    </w:rPr>
                    <w:t>COD</w:t>
                  </w:r>
                  <w:r>
                    <w:rPr>
                      <w:color w:val="auto"/>
                      <w:szCs w:val="21"/>
                      <w:vertAlign w:val="subscript"/>
                    </w:rPr>
                    <w:t>Cr</w:t>
                  </w:r>
                  <w:r>
                    <w:rPr>
                      <w:color w:val="auto"/>
                      <w:szCs w:val="21"/>
                    </w:rPr>
                    <w:t>、BOD</w:t>
                  </w:r>
                  <w:r>
                    <w:rPr>
                      <w:color w:val="auto"/>
                      <w:szCs w:val="21"/>
                      <w:vertAlign w:val="subscript"/>
                    </w:rPr>
                    <w:t>5</w:t>
                  </w:r>
                  <w:r>
                    <w:rPr>
                      <w:color w:val="auto"/>
                      <w:szCs w:val="21"/>
                    </w:rPr>
                    <w:t>、</w:t>
                  </w:r>
                </w:p>
                <w:p>
                  <w:pPr>
                    <w:jc w:val="center"/>
                    <w:rPr>
                      <w:color w:val="auto"/>
                      <w:szCs w:val="21"/>
                    </w:rPr>
                  </w:pPr>
                  <w:r>
                    <w:rPr>
                      <w:color w:val="auto"/>
                      <w:szCs w:val="21"/>
                    </w:rPr>
                    <w:t>氨氮、SS</w:t>
                  </w:r>
                </w:p>
              </w:tc>
              <w:tc>
                <w:tcPr>
                  <w:tcW w:w="2816" w:type="dxa"/>
                  <w:vAlign w:val="center"/>
                </w:tcPr>
                <w:p>
                  <w:pPr>
                    <w:jc w:val="center"/>
                    <w:rPr>
                      <w:color w:val="auto"/>
                      <w:szCs w:val="21"/>
                    </w:rPr>
                  </w:pPr>
                  <w:r>
                    <w:rPr>
                      <w:rFonts w:hint="eastAsia"/>
                      <w:bCs/>
                      <w:color w:val="auto"/>
                    </w:rPr>
                    <w:t>《农田灌溉水质标准》（GB5084-2005）旱作标准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 w:hRule="atLeast"/>
                <w:jc w:val="center"/>
              </w:trPr>
              <w:tc>
                <w:tcPr>
                  <w:tcW w:w="1087" w:type="dxa"/>
                  <w:vAlign w:val="center"/>
                </w:tcPr>
                <w:p>
                  <w:pPr>
                    <w:jc w:val="center"/>
                    <w:rPr>
                      <w:color w:val="auto"/>
                      <w:szCs w:val="21"/>
                    </w:rPr>
                  </w:pPr>
                  <w:r>
                    <w:rPr>
                      <w:color w:val="auto"/>
                      <w:szCs w:val="21"/>
                    </w:rPr>
                    <w:t>噪声</w:t>
                  </w:r>
                </w:p>
              </w:tc>
              <w:tc>
                <w:tcPr>
                  <w:tcW w:w="1528" w:type="dxa"/>
                  <w:vAlign w:val="center"/>
                </w:tcPr>
                <w:p>
                  <w:pPr>
                    <w:jc w:val="center"/>
                    <w:rPr>
                      <w:color w:val="auto"/>
                      <w:szCs w:val="21"/>
                    </w:rPr>
                  </w:pPr>
                  <w:r>
                    <w:rPr>
                      <w:rFonts w:hint="eastAsia"/>
                      <w:color w:val="auto"/>
                      <w:szCs w:val="21"/>
                    </w:rPr>
                    <w:t>泵站设备</w:t>
                  </w:r>
                  <w:r>
                    <w:rPr>
                      <w:color w:val="auto"/>
                      <w:szCs w:val="21"/>
                    </w:rPr>
                    <w:t>运行噪声</w:t>
                  </w:r>
                </w:p>
              </w:tc>
              <w:tc>
                <w:tcPr>
                  <w:tcW w:w="1796" w:type="dxa"/>
                  <w:vAlign w:val="center"/>
                </w:tcPr>
                <w:p>
                  <w:pPr>
                    <w:jc w:val="center"/>
                    <w:rPr>
                      <w:color w:val="auto"/>
                      <w:szCs w:val="21"/>
                    </w:rPr>
                  </w:pPr>
                  <w:r>
                    <w:rPr>
                      <w:color w:val="auto"/>
                      <w:szCs w:val="21"/>
                    </w:rPr>
                    <w:t>设备减振、隔声，墙体隔声</w:t>
                  </w:r>
                </w:p>
              </w:tc>
              <w:tc>
                <w:tcPr>
                  <w:tcW w:w="1516" w:type="dxa"/>
                  <w:vAlign w:val="center"/>
                </w:tcPr>
                <w:p>
                  <w:pPr>
                    <w:jc w:val="center"/>
                    <w:rPr>
                      <w:color w:val="auto"/>
                      <w:szCs w:val="21"/>
                    </w:rPr>
                  </w:pPr>
                  <w:r>
                    <w:rPr>
                      <w:rFonts w:hint="eastAsia"/>
                      <w:color w:val="auto"/>
                      <w:szCs w:val="21"/>
                    </w:rPr>
                    <w:t>泵站边界</w:t>
                  </w:r>
                  <w:r>
                    <w:rPr>
                      <w:color w:val="auto"/>
                      <w:szCs w:val="21"/>
                    </w:rPr>
                    <w:t>噪声</w:t>
                  </w:r>
                </w:p>
              </w:tc>
              <w:tc>
                <w:tcPr>
                  <w:tcW w:w="2816" w:type="dxa"/>
                  <w:vAlign w:val="center"/>
                </w:tcPr>
                <w:p>
                  <w:pPr>
                    <w:jc w:val="center"/>
                    <w:rPr>
                      <w:color w:val="auto"/>
                      <w:szCs w:val="21"/>
                    </w:rPr>
                  </w:pPr>
                  <w:r>
                    <w:rPr>
                      <w:color w:val="auto"/>
                      <w:szCs w:val="21"/>
                    </w:rPr>
                    <w:t>《工业企业厂界环境噪声排放标准》（GB12348-2008）2类标准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 w:hRule="atLeast"/>
                <w:jc w:val="center"/>
              </w:trPr>
              <w:tc>
                <w:tcPr>
                  <w:tcW w:w="1087" w:type="dxa"/>
                  <w:vAlign w:val="center"/>
                </w:tcPr>
                <w:p>
                  <w:pPr>
                    <w:jc w:val="center"/>
                    <w:rPr>
                      <w:color w:val="auto"/>
                      <w:szCs w:val="21"/>
                    </w:rPr>
                  </w:pPr>
                  <w:r>
                    <w:rPr>
                      <w:color w:val="auto"/>
                      <w:szCs w:val="21"/>
                    </w:rPr>
                    <w:t>固体</w:t>
                  </w:r>
                </w:p>
                <w:p>
                  <w:pPr>
                    <w:jc w:val="center"/>
                    <w:rPr>
                      <w:color w:val="auto"/>
                      <w:szCs w:val="21"/>
                    </w:rPr>
                  </w:pPr>
                  <w:r>
                    <w:rPr>
                      <w:color w:val="auto"/>
                      <w:szCs w:val="21"/>
                    </w:rPr>
                    <w:t>废物</w:t>
                  </w:r>
                </w:p>
              </w:tc>
              <w:tc>
                <w:tcPr>
                  <w:tcW w:w="1528" w:type="dxa"/>
                  <w:vAlign w:val="center"/>
                </w:tcPr>
                <w:p>
                  <w:pPr>
                    <w:spacing w:line="400" w:lineRule="exact"/>
                    <w:ind w:right="162" w:rightChars="77"/>
                    <w:jc w:val="center"/>
                    <w:rPr>
                      <w:color w:val="auto"/>
                      <w:szCs w:val="21"/>
                    </w:rPr>
                  </w:pPr>
                  <w:r>
                    <w:rPr>
                      <w:color w:val="auto"/>
                      <w:szCs w:val="21"/>
                    </w:rPr>
                    <w:t>生活垃圾</w:t>
                  </w:r>
                </w:p>
              </w:tc>
              <w:tc>
                <w:tcPr>
                  <w:tcW w:w="1796" w:type="dxa"/>
                  <w:vAlign w:val="center"/>
                </w:tcPr>
                <w:p>
                  <w:pPr>
                    <w:spacing w:line="360" w:lineRule="exact"/>
                    <w:ind w:right="162" w:rightChars="77"/>
                    <w:jc w:val="center"/>
                    <w:rPr>
                      <w:color w:val="auto"/>
                      <w:szCs w:val="21"/>
                    </w:rPr>
                  </w:pPr>
                  <w:r>
                    <w:rPr>
                      <w:color w:val="auto"/>
                      <w:szCs w:val="21"/>
                    </w:rPr>
                    <w:t>由环卫部门定期清运</w:t>
                  </w:r>
                </w:p>
              </w:tc>
              <w:tc>
                <w:tcPr>
                  <w:tcW w:w="1516" w:type="dxa"/>
                  <w:vAlign w:val="center"/>
                </w:tcPr>
                <w:p>
                  <w:pPr>
                    <w:jc w:val="center"/>
                    <w:rPr>
                      <w:color w:val="auto"/>
                      <w:szCs w:val="21"/>
                    </w:rPr>
                  </w:pPr>
                  <w:r>
                    <w:rPr>
                      <w:color w:val="auto"/>
                      <w:szCs w:val="21"/>
                    </w:rPr>
                    <w:t>/</w:t>
                  </w:r>
                </w:p>
              </w:tc>
              <w:tc>
                <w:tcPr>
                  <w:tcW w:w="2816" w:type="dxa"/>
                  <w:vAlign w:val="center"/>
                </w:tcPr>
                <w:p>
                  <w:pPr>
                    <w:jc w:val="center"/>
                    <w:rPr>
                      <w:color w:val="auto"/>
                      <w:szCs w:val="21"/>
                    </w:rPr>
                  </w:pPr>
                  <w:r>
                    <w:rPr>
                      <w:color w:val="auto"/>
                      <w:szCs w:val="21"/>
                    </w:rPr>
                    <w:t>/</w:t>
                  </w:r>
                </w:p>
              </w:tc>
            </w:tr>
          </w:tbl>
          <w:p>
            <w:pPr>
              <w:jc w:val="center"/>
              <w:rPr>
                <w:b/>
                <w:color w:val="auto"/>
                <w:sz w:val="24"/>
                <w:szCs w:val="32"/>
              </w:rPr>
            </w:pPr>
          </w:p>
          <w:p>
            <w:pPr>
              <w:jc w:val="center"/>
              <w:rPr>
                <w:b/>
                <w:color w:val="auto"/>
                <w:sz w:val="24"/>
                <w:szCs w:val="32"/>
              </w:rPr>
            </w:pPr>
          </w:p>
          <w:p>
            <w:pPr>
              <w:jc w:val="center"/>
              <w:rPr>
                <w:b/>
                <w:color w:val="auto"/>
                <w:sz w:val="24"/>
                <w:szCs w:val="32"/>
              </w:rPr>
            </w:pPr>
          </w:p>
          <w:p>
            <w:pPr>
              <w:jc w:val="center"/>
              <w:rPr>
                <w:b/>
                <w:color w:val="auto"/>
                <w:sz w:val="24"/>
                <w:szCs w:val="32"/>
              </w:rPr>
            </w:pPr>
          </w:p>
          <w:p>
            <w:pPr>
              <w:jc w:val="center"/>
              <w:rPr>
                <w:b/>
                <w:color w:val="auto"/>
                <w:sz w:val="24"/>
                <w:szCs w:val="32"/>
              </w:rPr>
            </w:pPr>
          </w:p>
          <w:p>
            <w:pPr>
              <w:jc w:val="center"/>
              <w:rPr>
                <w:b/>
                <w:color w:val="auto"/>
                <w:sz w:val="24"/>
                <w:szCs w:val="32"/>
              </w:rPr>
            </w:pPr>
          </w:p>
          <w:p>
            <w:pPr>
              <w:jc w:val="both"/>
              <w:rPr>
                <w:b/>
                <w:color w:val="auto"/>
                <w:sz w:val="24"/>
                <w:szCs w:val="32"/>
              </w:rPr>
            </w:pPr>
          </w:p>
          <w:p>
            <w:pPr>
              <w:jc w:val="center"/>
              <w:rPr>
                <w:b/>
                <w:color w:val="auto"/>
                <w:sz w:val="24"/>
                <w:szCs w:val="32"/>
              </w:rPr>
            </w:pPr>
          </w:p>
          <w:p>
            <w:pPr>
              <w:jc w:val="center"/>
              <w:rPr>
                <w:b/>
                <w:color w:val="auto"/>
                <w:sz w:val="24"/>
                <w:szCs w:val="32"/>
              </w:rPr>
            </w:pPr>
          </w:p>
          <w:p>
            <w:pPr>
              <w:jc w:val="center"/>
              <w:rPr>
                <w:b/>
                <w:color w:val="auto"/>
                <w:sz w:val="24"/>
                <w:szCs w:val="32"/>
              </w:rPr>
            </w:pPr>
          </w:p>
          <w:p>
            <w:pPr>
              <w:jc w:val="center"/>
              <w:rPr>
                <w:b/>
                <w:color w:val="auto"/>
                <w:sz w:val="24"/>
                <w:szCs w:val="32"/>
              </w:rPr>
            </w:pPr>
          </w:p>
          <w:p>
            <w:pPr>
              <w:jc w:val="center"/>
              <w:rPr>
                <w:b/>
                <w:color w:val="auto"/>
                <w:sz w:val="24"/>
                <w:szCs w:val="32"/>
              </w:rPr>
            </w:pPr>
          </w:p>
          <w:p>
            <w:pPr>
              <w:jc w:val="center"/>
              <w:rPr>
                <w:b/>
                <w:color w:val="auto"/>
                <w:sz w:val="24"/>
                <w:szCs w:val="32"/>
              </w:rPr>
            </w:pPr>
          </w:p>
          <w:p>
            <w:pPr>
              <w:jc w:val="center"/>
              <w:rPr>
                <w:rFonts w:hint="eastAsia"/>
                <w:b/>
                <w:color w:val="auto"/>
                <w:sz w:val="24"/>
                <w:szCs w:val="32"/>
              </w:rPr>
            </w:pPr>
          </w:p>
          <w:p>
            <w:pPr>
              <w:jc w:val="center"/>
              <w:rPr>
                <w:b/>
                <w:color w:val="auto"/>
                <w:sz w:val="24"/>
                <w:szCs w:val="32"/>
              </w:rPr>
            </w:pPr>
          </w:p>
          <w:p>
            <w:pPr>
              <w:jc w:val="center"/>
              <w:rPr>
                <w:rFonts w:hint="eastAsia"/>
                <w:b/>
                <w:color w:val="auto"/>
                <w:sz w:val="24"/>
                <w:szCs w:val="32"/>
              </w:rPr>
            </w:pPr>
          </w:p>
          <w:p>
            <w:pPr>
              <w:widowControl/>
              <w:spacing w:line="360" w:lineRule="auto"/>
              <w:ind w:firstLine="480"/>
              <w:rPr>
                <w:rFonts w:eastAsia="新宋体"/>
                <w:color w:val="auto"/>
                <w:sz w:val="24"/>
              </w:rPr>
            </w:pPr>
          </w:p>
        </w:tc>
      </w:tr>
    </w:tbl>
    <w:p>
      <w:pPr>
        <w:spacing w:line="300" w:lineRule="auto"/>
        <w:rPr>
          <w:rFonts w:eastAsia="黑体"/>
          <w:color w:val="auto"/>
          <w:sz w:val="24"/>
        </w:rPr>
        <w:sectPr>
          <w:footerReference r:id="rId5" w:type="default"/>
          <w:pgSz w:w="11907" w:h="16840"/>
          <w:pgMar w:top="1531" w:right="1134" w:bottom="1134" w:left="1418" w:header="907" w:footer="907" w:gutter="0"/>
          <w:cols w:space="720" w:num="1"/>
          <w:docGrid w:linePitch="326" w:charSpace="-4916"/>
        </w:sectPr>
      </w:pPr>
    </w:p>
    <w:p>
      <w:pPr>
        <w:pageBreakBefore/>
        <w:tabs>
          <w:tab w:val="left" w:pos="6480"/>
        </w:tabs>
        <w:adjustRightInd w:val="0"/>
        <w:textAlignment w:val="baseline"/>
        <w:outlineLvl w:val="0"/>
        <w:rPr>
          <w:b/>
          <w:bCs/>
          <w:snapToGrid w:val="0"/>
          <w:color w:val="auto"/>
          <w:kern w:val="44"/>
          <w:sz w:val="28"/>
          <w:szCs w:val="20"/>
        </w:rPr>
      </w:pPr>
      <w:r>
        <w:rPr>
          <w:rFonts w:hint="eastAsia"/>
          <w:b/>
          <w:bCs/>
          <w:snapToGrid w:val="0"/>
          <w:color w:val="auto"/>
          <w:kern w:val="44"/>
          <w:sz w:val="28"/>
          <w:szCs w:val="20"/>
        </w:rPr>
        <w:t>本项目</w:t>
      </w:r>
      <w:r>
        <w:rPr>
          <w:b/>
          <w:bCs/>
          <w:snapToGrid w:val="0"/>
          <w:color w:val="auto"/>
          <w:kern w:val="44"/>
          <w:sz w:val="28"/>
          <w:szCs w:val="20"/>
        </w:rPr>
        <w:t>拟采取的防治措施及预期治理效果</w:t>
      </w:r>
    </w:p>
    <w:tbl>
      <w:tblPr>
        <w:tblStyle w:val="33"/>
        <w:tblW w:w="985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5"/>
        <w:gridCol w:w="426"/>
        <w:gridCol w:w="1134"/>
        <w:gridCol w:w="1606"/>
        <w:gridCol w:w="2835"/>
        <w:gridCol w:w="31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8" w:hRule="atLeast"/>
          <w:jc w:val="center"/>
        </w:trPr>
        <w:tc>
          <w:tcPr>
            <w:tcW w:w="655" w:type="dxa"/>
            <w:vAlign w:val="center"/>
          </w:tcPr>
          <w:p>
            <w:pPr>
              <w:adjustRightInd w:val="0"/>
              <w:snapToGrid w:val="0"/>
              <w:jc w:val="center"/>
              <w:rPr>
                <w:b/>
                <w:caps/>
                <w:color w:val="auto"/>
                <w:szCs w:val="21"/>
              </w:rPr>
            </w:pPr>
            <w:r>
              <w:rPr>
                <w:b/>
                <w:caps/>
                <w:color w:val="auto"/>
                <w:szCs w:val="21"/>
              </w:rPr>
              <w:t>类型</w:t>
            </w:r>
          </w:p>
        </w:tc>
        <w:tc>
          <w:tcPr>
            <w:tcW w:w="1560" w:type="dxa"/>
            <w:gridSpan w:val="2"/>
            <w:vAlign w:val="center"/>
          </w:tcPr>
          <w:p>
            <w:pPr>
              <w:adjustRightInd w:val="0"/>
              <w:snapToGrid w:val="0"/>
              <w:jc w:val="center"/>
              <w:rPr>
                <w:b/>
                <w:caps/>
                <w:color w:val="auto"/>
                <w:szCs w:val="21"/>
              </w:rPr>
            </w:pPr>
            <w:r>
              <w:rPr>
                <w:b/>
                <w:caps/>
                <w:color w:val="auto"/>
                <w:szCs w:val="21"/>
              </w:rPr>
              <w:t>排放源</w:t>
            </w:r>
          </w:p>
        </w:tc>
        <w:tc>
          <w:tcPr>
            <w:tcW w:w="1606" w:type="dxa"/>
            <w:vAlign w:val="center"/>
          </w:tcPr>
          <w:p>
            <w:pPr>
              <w:adjustRightInd w:val="0"/>
              <w:snapToGrid w:val="0"/>
              <w:jc w:val="center"/>
              <w:rPr>
                <w:b/>
                <w:caps/>
                <w:color w:val="auto"/>
                <w:szCs w:val="21"/>
              </w:rPr>
            </w:pPr>
            <w:r>
              <w:rPr>
                <w:b/>
                <w:caps/>
                <w:color w:val="auto"/>
                <w:szCs w:val="21"/>
              </w:rPr>
              <w:t>污染物名称</w:t>
            </w:r>
          </w:p>
        </w:tc>
        <w:tc>
          <w:tcPr>
            <w:tcW w:w="2835" w:type="dxa"/>
            <w:vAlign w:val="center"/>
          </w:tcPr>
          <w:p>
            <w:pPr>
              <w:adjustRightInd w:val="0"/>
              <w:snapToGrid w:val="0"/>
              <w:jc w:val="center"/>
              <w:rPr>
                <w:b/>
                <w:caps/>
                <w:color w:val="auto"/>
                <w:szCs w:val="21"/>
              </w:rPr>
            </w:pPr>
            <w:r>
              <w:rPr>
                <w:b/>
                <w:caps/>
                <w:color w:val="auto"/>
                <w:szCs w:val="21"/>
              </w:rPr>
              <w:t>防治措施</w:t>
            </w:r>
          </w:p>
        </w:tc>
        <w:tc>
          <w:tcPr>
            <w:tcW w:w="3197" w:type="dxa"/>
            <w:vAlign w:val="center"/>
          </w:tcPr>
          <w:p>
            <w:pPr>
              <w:adjustRightInd w:val="0"/>
              <w:snapToGrid w:val="0"/>
              <w:jc w:val="center"/>
              <w:rPr>
                <w:b/>
                <w:caps/>
                <w:color w:val="auto"/>
                <w:szCs w:val="21"/>
              </w:rPr>
            </w:pPr>
            <w:r>
              <w:rPr>
                <w:b/>
                <w:caps/>
                <w:color w:val="auto"/>
                <w:szCs w:val="21"/>
              </w:rPr>
              <w:t>预期治理效果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jc w:val="center"/>
        </w:trPr>
        <w:tc>
          <w:tcPr>
            <w:tcW w:w="655" w:type="dxa"/>
            <w:vMerge w:val="restart"/>
            <w:vAlign w:val="center"/>
          </w:tcPr>
          <w:p>
            <w:pPr>
              <w:adjustRightInd w:val="0"/>
              <w:snapToGrid w:val="0"/>
              <w:jc w:val="center"/>
              <w:rPr>
                <w:b/>
                <w:color w:val="auto"/>
                <w:szCs w:val="21"/>
              </w:rPr>
            </w:pPr>
            <w:r>
              <w:rPr>
                <w:b/>
                <w:color w:val="auto"/>
                <w:szCs w:val="21"/>
              </w:rPr>
              <w:t>大</w:t>
            </w:r>
          </w:p>
          <w:p>
            <w:pPr>
              <w:adjustRightInd w:val="0"/>
              <w:snapToGrid w:val="0"/>
              <w:jc w:val="center"/>
              <w:rPr>
                <w:b/>
                <w:color w:val="auto"/>
                <w:szCs w:val="21"/>
              </w:rPr>
            </w:pPr>
            <w:r>
              <w:rPr>
                <w:b/>
                <w:color w:val="auto"/>
                <w:szCs w:val="21"/>
              </w:rPr>
              <w:t>气</w:t>
            </w:r>
          </w:p>
          <w:p>
            <w:pPr>
              <w:adjustRightInd w:val="0"/>
              <w:snapToGrid w:val="0"/>
              <w:jc w:val="center"/>
              <w:rPr>
                <w:b/>
                <w:color w:val="auto"/>
                <w:szCs w:val="21"/>
              </w:rPr>
            </w:pPr>
            <w:r>
              <w:rPr>
                <w:b/>
                <w:color w:val="auto"/>
                <w:szCs w:val="21"/>
              </w:rPr>
              <w:t>污</w:t>
            </w:r>
          </w:p>
          <w:p>
            <w:pPr>
              <w:adjustRightInd w:val="0"/>
              <w:snapToGrid w:val="0"/>
              <w:jc w:val="center"/>
              <w:rPr>
                <w:b/>
                <w:color w:val="auto"/>
                <w:szCs w:val="21"/>
              </w:rPr>
            </w:pPr>
            <w:r>
              <w:rPr>
                <w:b/>
                <w:color w:val="auto"/>
                <w:szCs w:val="21"/>
              </w:rPr>
              <w:t>染</w:t>
            </w:r>
          </w:p>
          <w:p>
            <w:pPr>
              <w:adjustRightInd w:val="0"/>
              <w:snapToGrid w:val="0"/>
              <w:jc w:val="center"/>
              <w:rPr>
                <w:b/>
                <w:color w:val="auto"/>
                <w:szCs w:val="21"/>
              </w:rPr>
            </w:pPr>
            <w:r>
              <w:rPr>
                <w:b/>
                <w:color w:val="auto"/>
                <w:szCs w:val="21"/>
              </w:rPr>
              <w:t>物</w:t>
            </w:r>
          </w:p>
        </w:tc>
        <w:tc>
          <w:tcPr>
            <w:tcW w:w="426" w:type="dxa"/>
            <w:vMerge w:val="restart"/>
            <w:vAlign w:val="center"/>
          </w:tcPr>
          <w:p>
            <w:pPr>
              <w:jc w:val="center"/>
              <w:rPr>
                <w:color w:val="auto"/>
                <w:szCs w:val="21"/>
              </w:rPr>
            </w:pPr>
            <w:r>
              <w:rPr>
                <w:color w:val="auto"/>
                <w:szCs w:val="21"/>
              </w:rPr>
              <w:t>施工期</w:t>
            </w:r>
          </w:p>
        </w:tc>
        <w:tc>
          <w:tcPr>
            <w:tcW w:w="1134" w:type="dxa"/>
            <w:vAlign w:val="center"/>
          </w:tcPr>
          <w:p>
            <w:pPr>
              <w:jc w:val="center"/>
              <w:rPr>
                <w:color w:val="auto"/>
                <w:szCs w:val="21"/>
              </w:rPr>
            </w:pPr>
            <w:r>
              <w:rPr>
                <w:color w:val="auto"/>
                <w:szCs w:val="21"/>
              </w:rPr>
              <w:t>施工场内</w:t>
            </w:r>
          </w:p>
        </w:tc>
        <w:tc>
          <w:tcPr>
            <w:tcW w:w="1606" w:type="dxa"/>
            <w:vMerge w:val="restart"/>
            <w:vAlign w:val="center"/>
          </w:tcPr>
          <w:p>
            <w:pPr>
              <w:snapToGrid w:val="0"/>
              <w:jc w:val="center"/>
              <w:rPr>
                <w:color w:val="auto"/>
                <w:szCs w:val="21"/>
              </w:rPr>
            </w:pPr>
            <w:r>
              <w:rPr>
                <w:color w:val="auto"/>
                <w:szCs w:val="21"/>
              </w:rPr>
              <w:t>扬尘</w:t>
            </w:r>
          </w:p>
        </w:tc>
        <w:tc>
          <w:tcPr>
            <w:tcW w:w="2835" w:type="dxa"/>
            <w:vMerge w:val="restart"/>
            <w:vAlign w:val="center"/>
          </w:tcPr>
          <w:p>
            <w:pPr>
              <w:adjustRightInd w:val="0"/>
              <w:snapToGrid w:val="0"/>
              <w:jc w:val="center"/>
              <w:rPr>
                <w:color w:val="auto"/>
                <w:szCs w:val="21"/>
              </w:rPr>
            </w:pPr>
            <w:r>
              <w:rPr>
                <w:rFonts w:hint="eastAsia"/>
                <w:color w:val="auto"/>
                <w:szCs w:val="21"/>
              </w:rPr>
              <w:t>洒水抑尘、施工围蔽、加强管理、绿化减缓等</w:t>
            </w:r>
          </w:p>
        </w:tc>
        <w:tc>
          <w:tcPr>
            <w:tcW w:w="3197" w:type="dxa"/>
            <w:vMerge w:val="restart"/>
            <w:vAlign w:val="center"/>
          </w:tcPr>
          <w:p>
            <w:pPr>
              <w:adjustRightInd w:val="0"/>
              <w:snapToGrid w:val="0"/>
              <w:jc w:val="center"/>
              <w:rPr>
                <w:color w:val="auto"/>
                <w:szCs w:val="21"/>
              </w:rPr>
            </w:pPr>
            <w:r>
              <w:rPr>
                <w:color w:val="auto"/>
                <w:szCs w:val="21"/>
              </w:rPr>
              <w:t>符合广东省地方标准《大气污染物排放限值》（DB44/27-2001）无组织排放监控浓度限值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jc w:val="center"/>
        </w:trPr>
        <w:tc>
          <w:tcPr>
            <w:tcW w:w="655" w:type="dxa"/>
            <w:vMerge w:val="continue"/>
            <w:vAlign w:val="center"/>
          </w:tcPr>
          <w:p>
            <w:pPr>
              <w:adjustRightInd w:val="0"/>
              <w:snapToGrid w:val="0"/>
              <w:jc w:val="center"/>
              <w:rPr>
                <w:b/>
                <w:color w:val="auto"/>
                <w:szCs w:val="21"/>
              </w:rPr>
            </w:pPr>
          </w:p>
        </w:tc>
        <w:tc>
          <w:tcPr>
            <w:tcW w:w="426" w:type="dxa"/>
            <w:vMerge w:val="continue"/>
            <w:vAlign w:val="center"/>
          </w:tcPr>
          <w:p>
            <w:pPr>
              <w:jc w:val="center"/>
              <w:rPr>
                <w:color w:val="auto"/>
                <w:szCs w:val="21"/>
              </w:rPr>
            </w:pPr>
          </w:p>
        </w:tc>
        <w:tc>
          <w:tcPr>
            <w:tcW w:w="1134" w:type="dxa"/>
            <w:vAlign w:val="center"/>
          </w:tcPr>
          <w:p>
            <w:pPr>
              <w:jc w:val="center"/>
              <w:rPr>
                <w:color w:val="auto"/>
                <w:szCs w:val="21"/>
              </w:rPr>
            </w:pPr>
            <w:r>
              <w:rPr>
                <w:color w:val="auto"/>
                <w:szCs w:val="21"/>
              </w:rPr>
              <w:t>车辆运输</w:t>
            </w:r>
          </w:p>
        </w:tc>
        <w:tc>
          <w:tcPr>
            <w:tcW w:w="1606" w:type="dxa"/>
            <w:vMerge w:val="continue"/>
            <w:vAlign w:val="center"/>
          </w:tcPr>
          <w:p>
            <w:pPr>
              <w:snapToGrid w:val="0"/>
              <w:jc w:val="center"/>
              <w:rPr>
                <w:color w:val="auto"/>
                <w:szCs w:val="21"/>
              </w:rPr>
            </w:pPr>
          </w:p>
        </w:tc>
        <w:tc>
          <w:tcPr>
            <w:tcW w:w="2835" w:type="dxa"/>
            <w:vMerge w:val="continue"/>
            <w:vAlign w:val="center"/>
          </w:tcPr>
          <w:p>
            <w:pPr>
              <w:adjustRightInd w:val="0"/>
              <w:snapToGrid w:val="0"/>
              <w:jc w:val="center"/>
              <w:rPr>
                <w:color w:val="auto"/>
                <w:szCs w:val="21"/>
              </w:rPr>
            </w:pPr>
          </w:p>
        </w:tc>
        <w:tc>
          <w:tcPr>
            <w:tcW w:w="3197" w:type="dxa"/>
            <w:vMerge w:val="continue"/>
            <w:vAlign w:val="center"/>
          </w:tcPr>
          <w:p>
            <w:pPr>
              <w:adjustRightInd w:val="0"/>
              <w:snapToGrid w:val="0"/>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jc w:val="center"/>
        </w:trPr>
        <w:tc>
          <w:tcPr>
            <w:tcW w:w="655" w:type="dxa"/>
            <w:vMerge w:val="continue"/>
            <w:vAlign w:val="center"/>
          </w:tcPr>
          <w:p>
            <w:pPr>
              <w:adjustRightInd w:val="0"/>
              <w:snapToGrid w:val="0"/>
              <w:jc w:val="center"/>
              <w:rPr>
                <w:b/>
                <w:color w:val="auto"/>
                <w:szCs w:val="21"/>
              </w:rPr>
            </w:pPr>
          </w:p>
        </w:tc>
        <w:tc>
          <w:tcPr>
            <w:tcW w:w="426" w:type="dxa"/>
            <w:vMerge w:val="continue"/>
            <w:vAlign w:val="center"/>
          </w:tcPr>
          <w:p>
            <w:pPr>
              <w:jc w:val="center"/>
              <w:rPr>
                <w:color w:val="auto"/>
                <w:szCs w:val="21"/>
              </w:rPr>
            </w:pPr>
          </w:p>
        </w:tc>
        <w:tc>
          <w:tcPr>
            <w:tcW w:w="1134" w:type="dxa"/>
            <w:vAlign w:val="center"/>
          </w:tcPr>
          <w:p>
            <w:pPr>
              <w:jc w:val="center"/>
              <w:rPr>
                <w:color w:val="auto"/>
                <w:szCs w:val="21"/>
              </w:rPr>
            </w:pPr>
            <w:r>
              <w:rPr>
                <w:color w:val="auto"/>
                <w:szCs w:val="21"/>
              </w:rPr>
              <w:t>施工机械废气和车辆尾气</w:t>
            </w:r>
          </w:p>
        </w:tc>
        <w:tc>
          <w:tcPr>
            <w:tcW w:w="1606" w:type="dxa"/>
            <w:vAlign w:val="center"/>
          </w:tcPr>
          <w:p>
            <w:pPr>
              <w:snapToGrid w:val="0"/>
              <w:jc w:val="center"/>
              <w:rPr>
                <w:color w:val="auto"/>
                <w:szCs w:val="21"/>
              </w:rPr>
            </w:pPr>
            <w:r>
              <w:rPr>
                <w:color w:val="auto"/>
                <w:szCs w:val="21"/>
              </w:rPr>
              <w:t>SO</w:t>
            </w:r>
            <w:r>
              <w:rPr>
                <w:color w:val="auto"/>
                <w:szCs w:val="21"/>
                <w:vertAlign w:val="subscript"/>
              </w:rPr>
              <w:t>2</w:t>
            </w:r>
            <w:r>
              <w:rPr>
                <w:color w:val="auto"/>
                <w:szCs w:val="21"/>
              </w:rPr>
              <w:t>、CO、NO</w:t>
            </w:r>
            <w:r>
              <w:rPr>
                <w:color w:val="auto"/>
                <w:szCs w:val="21"/>
                <w:vertAlign w:val="subscript"/>
              </w:rPr>
              <w:t>X</w:t>
            </w:r>
            <w:r>
              <w:rPr>
                <w:color w:val="auto"/>
                <w:szCs w:val="21"/>
              </w:rPr>
              <w:t>等</w:t>
            </w:r>
          </w:p>
        </w:tc>
        <w:tc>
          <w:tcPr>
            <w:tcW w:w="2835" w:type="dxa"/>
            <w:vMerge w:val="continue"/>
            <w:vAlign w:val="center"/>
          </w:tcPr>
          <w:p>
            <w:pPr>
              <w:adjustRightInd w:val="0"/>
              <w:snapToGrid w:val="0"/>
              <w:jc w:val="center"/>
              <w:rPr>
                <w:color w:val="auto"/>
                <w:szCs w:val="21"/>
              </w:rPr>
            </w:pPr>
          </w:p>
        </w:tc>
        <w:tc>
          <w:tcPr>
            <w:tcW w:w="3197" w:type="dxa"/>
            <w:vMerge w:val="continue"/>
            <w:vAlign w:val="center"/>
          </w:tcPr>
          <w:p>
            <w:pPr>
              <w:adjustRightInd w:val="0"/>
              <w:snapToGrid w:val="0"/>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jc w:val="center"/>
        </w:trPr>
        <w:tc>
          <w:tcPr>
            <w:tcW w:w="655" w:type="dxa"/>
            <w:vMerge w:val="restart"/>
            <w:vAlign w:val="center"/>
          </w:tcPr>
          <w:p>
            <w:pPr>
              <w:adjustRightInd w:val="0"/>
              <w:snapToGrid w:val="0"/>
              <w:jc w:val="center"/>
              <w:rPr>
                <w:b/>
                <w:color w:val="auto"/>
                <w:szCs w:val="21"/>
              </w:rPr>
            </w:pPr>
            <w:r>
              <w:rPr>
                <w:b/>
                <w:color w:val="auto"/>
                <w:szCs w:val="21"/>
              </w:rPr>
              <w:t>水</w:t>
            </w:r>
          </w:p>
          <w:p>
            <w:pPr>
              <w:adjustRightInd w:val="0"/>
              <w:snapToGrid w:val="0"/>
              <w:jc w:val="center"/>
              <w:rPr>
                <w:b/>
                <w:color w:val="auto"/>
                <w:szCs w:val="21"/>
              </w:rPr>
            </w:pPr>
            <w:r>
              <w:rPr>
                <w:b/>
                <w:color w:val="auto"/>
                <w:szCs w:val="21"/>
              </w:rPr>
              <w:t>污</w:t>
            </w:r>
          </w:p>
          <w:p>
            <w:pPr>
              <w:adjustRightInd w:val="0"/>
              <w:snapToGrid w:val="0"/>
              <w:jc w:val="center"/>
              <w:rPr>
                <w:b/>
                <w:color w:val="auto"/>
                <w:szCs w:val="21"/>
              </w:rPr>
            </w:pPr>
            <w:r>
              <w:rPr>
                <w:b/>
                <w:color w:val="auto"/>
                <w:szCs w:val="21"/>
              </w:rPr>
              <w:t>染</w:t>
            </w:r>
          </w:p>
          <w:p>
            <w:pPr>
              <w:adjustRightInd w:val="0"/>
              <w:snapToGrid w:val="0"/>
              <w:jc w:val="center"/>
              <w:rPr>
                <w:b/>
                <w:color w:val="auto"/>
                <w:szCs w:val="21"/>
              </w:rPr>
            </w:pPr>
            <w:r>
              <w:rPr>
                <w:b/>
                <w:color w:val="auto"/>
                <w:szCs w:val="21"/>
              </w:rPr>
              <w:t>物</w:t>
            </w:r>
          </w:p>
        </w:tc>
        <w:tc>
          <w:tcPr>
            <w:tcW w:w="426" w:type="dxa"/>
            <w:vMerge w:val="restart"/>
            <w:vAlign w:val="center"/>
          </w:tcPr>
          <w:p>
            <w:pPr>
              <w:snapToGrid w:val="0"/>
              <w:jc w:val="center"/>
              <w:rPr>
                <w:color w:val="auto"/>
                <w:szCs w:val="21"/>
              </w:rPr>
            </w:pPr>
            <w:r>
              <w:rPr>
                <w:color w:val="auto"/>
                <w:szCs w:val="21"/>
              </w:rPr>
              <w:t>施工期</w:t>
            </w:r>
          </w:p>
        </w:tc>
        <w:tc>
          <w:tcPr>
            <w:tcW w:w="1134" w:type="dxa"/>
            <w:vAlign w:val="center"/>
          </w:tcPr>
          <w:p>
            <w:pPr>
              <w:snapToGrid w:val="0"/>
              <w:jc w:val="center"/>
              <w:rPr>
                <w:color w:val="auto"/>
                <w:szCs w:val="21"/>
              </w:rPr>
            </w:pPr>
            <w:r>
              <w:rPr>
                <w:rFonts w:hint="eastAsia"/>
                <w:color w:val="auto"/>
                <w:szCs w:val="21"/>
              </w:rPr>
              <w:t>生产废水</w:t>
            </w:r>
          </w:p>
        </w:tc>
        <w:tc>
          <w:tcPr>
            <w:tcW w:w="1606" w:type="dxa"/>
            <w:vAlign w:val="center"/>
          </w:tcPr>
          <w:p>
            <w:pPr>
              <w:snapToGrid w:val="0"/>
              <w:jc w:val="center"/>
              <w:rPr>
                <w:color w:val="auto"/>
                <w:szCs w:val="21"/>
                <w:vertAlign w:val="subscript"/>
              </w:rPr>
            </w:pPr>
            <w:r>
              <w:rPr>
                <w:color w:val="auto"/>
                <w:szCs w:val="21"/>
              </w:rPr>
              <w:t>SS、石油类</w:t>
            </w:r>
          </w:p>
        </w:tc>
        <w:tc>
          <w:tcPr>
            <w:tcW w:w="2835" w:type="dxa"/>
            <w:vAlign w:val="center"/>
          </w:tcPr>
          <w:p>
            <w:pPr>
              <w:snapToGrid w:val="0"/>
              <w:jc w:val="center"/>
              <w:rPr>
                <w:color w:val="auto"/>
                <w:szCs w:val="21"/>
              </w:rPr>
            </w:pPr>
            <w:r>
              <w:rPr>
                <w:color w:val="auto"/>
              </w:rPr>
              <w:t>隔油、沉淀后回用于施工</w:t>
            </w:r>
          </w:p>
        </w:tc>
        <w:tc>
          <w:tcPr>
            <w:tcW w:w="3197" w:type="dxa"/>
            <w:vAlign w:val="center"/>
          </w:tcPr>
          <w:p>
            <w:pPr>
              <w:ind w:right="50"/>
              <w:jc w:val="center"/>
              <w:rPr>
                <w:color w:val="auto"/>
                <w:szCs w:val="21"/>
              </w:rPr>
            </w:pPr>
            <w:r>
              <w:rPr>
                <w:rFonts w:hint="eastAsia"/>
                <w:color w:val="auto"/>
                <w:szCs w:val="21"/>
              </w:rPr>
              <w:t>符合环保要求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jc w:val="center"/>
        </w:trPr>
        <w:tc>
          <w:tcPr>
            <w:tcW w:w="655" w:type="dxa"/>
            <w:vMerge w:val="continue"/>
            <w:vAlign w:val="center"/>
          </w:tcPr>
          <w:p>
            <w:pPr>
              <w:adjustRightInd w:val="0"/>
              <w:snapToGrid w:val="0"/>
              <w:jc w:val="center"/>
              <w:rPr>
                <w:b/>
                <w:color w:val="auto"/>
                <w:szCs w:val="21"/>
              </w:rPr>
            </w:pPr>
          </w:p>
        </w:tc>
        <w:tc>
          <w:tcPr>
            <w:tcW w:w="426" w:type="dxa"/>
            <w:vMerge w:val="continue"/>
            <w:vAlign w:val="center"/>
          </w:tcPr>
          <w:p>
            <w:pPr>
              <w:snapToGrid w:val="0"/>
              <w:jc w:val="center"/>
              <w:rPr>
                <w:color w:val="auto"/>
                <w:szCs w:val="21"/>
              </w:rPr>
            </w:pPr>
          </w:p>
        </w:tc>
        <w:tc>
          <w:tcPr>
            <w:tcW w:w="1134" w:type="dxa"/>
            <w:vAlign w:val="center"/>
          </w:tcPr>
          <w:p>
            <w:pPr>
              <w:snapToGrid w:val="0"/>
              <w:jc w:val="center"/>
              <w:rPr>
                <w:color w:val="auto"/>
                <w:szCs w:val="21"/>
              </w:rPr>
            </w:pPr>
            <w:r>
              <w:rPr>
                <w:color w:val="auto"/>
                <w:szCs w:val="21"/>
              </w:rPr>
              <w:t>生活污水</w:t>
            </w:r>
          </w:p>
        </w:tc>
        <w:tc>
          <w:tcPr>
            <w:tcW w:w="1606" w:type="dxa"/>
            <w:vAlign w:val="center"/>
          </w:tcPr>
          <w:p>
            <w:pPr>
              <w:snapToGrid w:val="0"/>
              <w:jc w:val="center"/>
              <w:rPr>
                <w:color w:val="auto"/>
                <w:szCs w:val="21"/>
              </w:rPr>
            </w:pPr>
            <w:r>
              <w:rPr>
                <w:color w:val="auto"/>
                <w:szCs w:val="21"/>
              </w:rPr>
              <w:t>SS、COD</w:t>
            </w:r>
            <w:r>
              <w:rPr>
                <w:color w:val="auto"/>
                <w:szCs w:val="21"/>
                <w:vertAlign w:val="subscript"/>
              </w:rPr>
              <w:t>Cr</w:t>
            </w:r>
            <w:r>
              <w:rPr>
                <w:color w:val="auto"/>
                <w:szCs w:val="21"/>
              </w:rPr>
              <w:t>、</w:t>
            </w:r>
          </w:p>
          <w:p>
            <w:pPr>
              <w:snapToGrid w:val="0"/>
              <w:jc w:val="center"/>
              <w:rPr>
                <w:color w:val="auto"/>
                <w:szCs w:val="21"/>
              </w:rPr>
            </w:pPr>
            <w:r>
              <w:rPr>
                <w:color w:val="auto"/>
                <w:szCs w:val="21"/>
              </w:rPr>
              <w:t>BOD</w:t>
            </w:r>
            <w:r>
              <w:rPr>
                <w:color w:val="auto"/>
                <w:szCs w:val="21"/>
                <w:vertAlign w:val="subscript"/>
              </w:rPr>
              <w:t>5</w:t>
            </w:r>
            <w:r>
              <w:rPr>
                <w:color w:val="auto"/>
                <w:spacing w:val="-2"/>
                <w:szCs w:val="21"/>
              </w:rPr>
              <w:t>等</w:t>
            </w:r>
          </w:p>
        </w:tc>
        <w:tc>
          <w:tcPr>
            <w:tcW w:w="2835" w:type="dxa"/>
            <w:vAlign w:val="center"/>
          </w:tcPr>
          <w:p>
            <w:pPr>
              <w:snapToGrid w:val="0"/>
              <w:jc w:val="center"/>
              <w:rPr>
                <w:color w:val="auto"/>
                <w:spacing w:val="-2"/>
                <w:szCs w:val="21"/>
              </w:rPr>
            </w:pPr>
            <w:r>
              <w:rPr>
                <w:rFonts w:hint="eastAsia"/>
                <w:color w:val="auto"/>
                <w:spacing w:val="-2"/>
                <w:szCs w:val="21"/>
              </w:rPr>
              <w:t>依托周边民居的</w:t>
            </w:r>
            <w:r>
              <w:rPr>
                <w:color w:val="auto"/>
                <w:spacing w:val="-2"/>
                <w:szCs w:val="21"/>
              </w:rPr>
              <w:t>三级化粪池处理</w:t>
            </w:r>
            <w:r>
              <w:rPr>
                <w:rFonts w:hint="eastAsia"/>
                <w:color w:val="auto"/>
                <w:spacing w:val="-2"/>
                <w:szCs w:val="21"/>
              </w:rPr>
              <w:t>后排入市政污水管道</w:t>
            </w:r>
          </w:p>
        </w:tc>
        <w:tc>
          <w:tcPr>
            <w:tcW w:w="3197" w:type="dxa"/>
            <w:vAlign w:val="center"/>
          </w:tcPr>
          <w:p>
            <w:pPr>
              <w:ind w:right="50"/>
              <w:jc w:val="center"/>
              <w:rPr>
                <w:color w:val="auto"/>
                <w:szCs w:val="21"/>
              </w:rPr>
            </w:pPr>
            <w:r>
              <w:rPr>
                <w:rFonts w:hint="eastAsia"/>
                <w:color w:val="auto"/>
                <w:szCs w:val="21"/>
              </w:rPr>
              <w:t>达到广东省《水污染排放限值》（DB44/26-2001）中第二时段三级标准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8" w:hRule="atLeast"/>
          <w:jc w:val="center"/>
        </w:trPr>
        <w:tc>
          <w:tcPr>
            <w:tcW w:w="655" w:type="dxa"/>
            <w:vMerge w:val="continue"/>
            <w:vAlign w:val="center"/>
          </w:tcPr>
          <w:p>
            <w:pPr>
              <w:adjustRightInd w:val="0"/>
              <w:snapToGrid w:val="0"/>
              <w:jc w:val="center"/>
              <w:rPr>
                <w:b/>
                <w:color w:val="auto"/>
                <w:szCs w:val="21"/>
              </w:rPr>
            </w:pPr>
          </w:p>
        </w:tc>
        <w:tc>
          <w:tcPr>
            <w:tcW w:w="426" w:type="dxa"/>
            <w:vAlign w:val="center"/>
          </w:tcPr>
          <w:p>
            <w:pPr>
              <w:snapToGrid w:val="0"/>
              <w:jc w:val="center"/>
              <w:rPr>
                <w:color w:val="auto"/>
                <w:szCs w:val="21"/>
              </w:rPr>
            </w:pPr>
            <w:r>
              <w:rPr>
                <w:color w:val="auto"/>
                <w:szCs w:val="21"/>
              </w:rPr>
              <w:t>营运期</w:t>
            </w:r>
          </w:p>
        </w:tc>
        <w:tc>
          <w:tcPr>
            <w:tcW w:w="1134" w:type="dxa"/>
            <w:vAlign w:val="center"/>
          </w:tcPr>
          <w:p>
            <w:pPr>
              <w:snapToGrid w:val="0"/>
              <w:jc w:val="center"/>
              <w:rPr>
                <w:color w:val="auto"/>
                <w:szCs w:val="21"/>
              </w:rPr>
            </w:pPr>
            <w:r>
              <w:rPr>
                <w:color w:val="auto"/>
                <w:szCs w:val="21"/>
              </w:rPr>
              <w:t>生活污水</w:t>
            </w:r>
          </w:p>
        </w:tc>
        <w:tc>
          <w:tcPr>
            <w:tcW w:w="1606" w:type="dxa"/>
            <w:vAlign w:val="center"/>
          </w:tcPr>
          <w:p>
            <w:pPr>
              <w:snapToGrid w:val="0"/>
              <w:jc w:val="center"/>
              <w:rPr>
                <w:color w:val="auto"/>
                <w:szCs w:val="21"/>
              </w:rPr>
            </w:pPr>
            <w:r>
              <w:rPr>
                <w:color w:val="auto"/>
                <w:szCs w:val="21"/>
              </w:rPr>
              <w:t>COD</w:t>
            </w:r>
            <w:r>
              <w:rPr>
                <w:color w:val="auto"/>
                <w:szCs w:val="21"/>
                <w:vertAlign w:val="subscript"/>
              </w:rPr>
              <w:t>Cr</w:t>
            </w:r>
            <w:r>
              <w:rPr>
                <w:color w:val="auto"/>
                <w:szCs w:val="21"/>
              </w:rPr>
              <w:t>、BOD</w:t>
            </w:r>
            <w:r>
              <w:rPr>
                <w:color w:val="auto"/>
                <w:szCs w:val="21"/>
                <w:vertAlign w:val="subscript"/>
              </w:rPr>
              <w:t>5</w:t>
            </w:r>
          </w:p>
          <w:p>
            <w:pPr>
              <w:snapToGrid w:val="0"/>
              <w:jc w:val="center"/>
              <w:rPr>
                <w:color w:val="auto"/>
                <w:szCs w:val="21"/>
              </w:rPr>
            </w:pPr>
            <w:r>
              <w:rPr>
                <w:color w:val="auto"/>
                <w:szCs w:val="21"/>
              </w:rPr>
              <w:t>SS、氨氮等</w:t>
            </w:r>
          </w:p>
        </w:tc>
        <w:tc>
          <w:tcPr>
            <w:tcW w:w="2835" w:type="dxa"/>
            <w:vAlign w:val="center"/>
          </w:tcPr>
          <w:p>
            <w:pPr>
              <w:adjustRightInd w:val="0"/>
              <w:snapToGrid w:val="0"/>
              <w:jc w:val="center"/>
              <w:rPr>
                <w:bCs/>
                <w:color w:val="auto"/>
                <w:szCs w:val="21"/>
              </w:rPr>
            </w:pPr>
            <w:r>
              <w:rPr>
                <w:rFonts w:hint="eastAsia"/>
                <w:color w:val="auto"/>
                <w:kern w:val="0"/>
                <w:szCs w:val="21"/>
              </w:rPr>
              <w:t>经三级化粪池处理</w:t>
            </w:r>
          </w:p>
        </w:tc>
        <w:tc>
          <w:tcPr>
            <w:tcW w:w="3197" w:type="dxa"/>
            <w:vAlign w:val="center"/>
          </w:tcPr>
          <w:p>
            <w:pPr>
              <w:ind w:right="50"/>
              <w:rPr>
                <w:color w:val="auto"/>
                <w:szCs w:val="21"/>
              </w:rPr>
            </w:pPr>
            <w:r>
              <w:rPr>
                <w:rFonts w:hint="eastAsia"/>
                <w:color w:val="auto"/>
                <w:szCs w:val="21"/>
              </w:rPr>
              <w:t>达到《农田灌溉水质标准》旱作标准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655" w:type="dxa"/>
            <w:vMerge w:val="restart"/>
            <w:vAlign w:val="center"/>
          </w:tcPr>
          <w:p>
            <w:pPr>
              <w:adjustRightInd w:val="0"/>
              <w:snapToGrid w:val="0"/>
              <w:jc w:val="center"/>
              <w:rPr>
                <w:b/>
                <w:color w:val="auto"/>
                <w:szCs w:val="21"/>
              </w:rPr>
            </w:pPr>
            <w:r>
              <w:rPr>
                <w:b/>
                <w:color w:val="auto"/>
                <w:szCs w:val="21"/>
              </w:rPr>
              <w:t>固</w:t>
            </w:r>
          </w:p>
          <w:p>
            <w:pPr>
              <w:adjustRightInd w:val="0"/>
              <w:snapToGrid w:val="0"/>
              <w:jc w:val="center"/>
              <w:rPr>
                <w:b/>
                <w:color w:val="auto"/>
                <w:szCs w:val="21"/>
              </w:rPr>
            </w:pPr>
            <w:r>
              <w:rPr>
                <w:b/>
                <w:color w:val="auto"/>
                <w:szCs w:val="21"/>
              </w:rPr>
              <w:t>体</w:t>
            </w:r>
          </w:p>
          <w:p>
            <w:pPr>
              <w:adjustRightInd w:val="0"/>
              <w:snapToGrid w:val="0"/>
              <w:jc w:val="center"/>
              <w:rPr>
                <w:b/>
                <w:color w:val="auto"/>
                <w:szCs w:val="21"/>
              </w:rPr>
            </w:pPr>
            <w:r>
              <w:rPr>
                <w:b/>
                <w:color w:val="auto"/>
                <w:szCs w:val="21"/>
              </w:rPr>
              <w:t>废</w:t>
            </w:r>
          </w:p>
          <w:p>
            <w:pPr>
              <w:adjustRightInd w:val="0"/>
              <w:snapToGrid w:val="0"/>
              <w:jc w:val="center"/>
              <w:rPr>
                <w:b/>
                <w:color w:val="auto"/>
                <w:szCs w:val="21"/>
              </w:rPr>
            </w:pPr>
            <w:r>
              <w:rPr>
                <w:b/>
                <w:color w:val="auto"/>
                <w:szCs w:val="21"/>
              </w:rPr>
              <w:t>物</w:t>
            </w:r>
          </w:p>
        </w:tc>
        <w:tc>
          <w:tcPr>
            <w:tcW w:w="426" w:type="dxa"/>
            <w:vMerge w:val="restart"/>
            <w:vAlign w:val="center"/>
          </w:tcPr>
          <w:p>
            <w:pPr>
              <w:adjustRightInd w:val="0"/>
              <w:snapToGrid w:val="0"/>
              <w:jc w:val="center"/>
              <w:rPr>
                <w:color w:val="auto"/>
                <w:szCs w:val="21"/>
              </w:rPr>
            </w:pPr>
            <w:r>
              <w:rPr>
                <w:color w:val="auto"/>
                <w:szCs w:val="21"/>
              </w:rPr>
              <w:t>施工期</w:t>
            </w:r>
          </w:p>
        </w:tc>
        <w:tc>
          <w:tcPr>
            <w:tcW w:w="1134" w:type="dxa"/>
            <w:vMerge w:val="restart"/>
            <w:vAlign w:val="center"/>
          </w:tcPr>
          <w:p>
            <w:pPr>
              <w:adjustRightInd w:val="0"/>
              <w:snapToGrid w:val="0"/>
              <w:jc w:val="center"/>
              <w:rPr>
                <w:color w:val="auto"/>
                <w:szCs w:val="21"/>
              </w:rPr>
            </w:pPr>
            <w:r>
              <w:rPr>
                <w:color w:val="auto"/>
                <w:szCs w:val="21"/>
              </w:rPr>
              <w:t>一般固废</w:t>
            </w:r>
          </w:p>
        </w:tc>
        <w:tc>
          <w:tcPr>
            <w:tcW w:w="1606" w:type="dxa"/>
            <w:vAlign w:val="center"/>
          </w:tcPr>
          <w:p>
            <w:pPr>
              <w:adjustRightInd w:val="0"/>
              <w:snapToGrid w:val="0"/>
              <w:jc w:val="center"/>
              <w:rPr>
                <w:color w:val="auto"/>
                <w:szCs w:val="21"/>
              </w:rPr>
            </w:pPr>
            <w:r>
              <w:rPr>
                <w:color w:val="auto"/>
                <w:szCs w:val="21"/>
              </w:rPr>
              <w:t>弃土</w:t>
            </w:r>
          </w:p>
        </w:tc>
        <w:tc>
          <w:tcPr>
            <w:tcW w:w="2835" w:type="dxa"/>
            <w:vAlign w:val="center"/>
          </w:tcPr>
          <w:p>
            <w:pPr>
              <w:adjustRightInd w:val="0"/>
              <w:snapToGrid w:val="0"/>
              <w:jc w:val="center"/>
              <w:rPr>
                <w:color w:val="auto"/>
                <w:szCs w:val="21"/>
              </w:rPr>
            </w:pPr>
            <w:r>
              <w:rPr>
                <w:color w:val="auto"/>
                <w:szCs w:val="21"/>
              </w:rPr>
              <w:t>运往余泥渣土</w:t>
            </w:r>
            <w:r>
              <w:rPr>
                <w:rFonts w:hint="eastAsia"/>
                <w:color w:val="auto"/>
                <w:szCs w:val="21"/>
              </w:rPr>
              <w:t>受纳点</w:t>
            </w:r>
            <w:r>
              <w:rPr>
                <w:color w:val="auto"/>
                <w:szCs w:val="21"/>
              </w:rPr>
              <w:t>处理</w:t>
            </w:r>
          </w:p>
        </w:tc>
        <w:tc>
          <w:tcPr>
            <w:tcW w:w="3197" w:type="dxa"/>
            <w:vMerge w:val="restart"/>
            <w:vAlign w:val="center"/>
          </w:tcPr>
          <w:p>
            <w:pPr>
              <w:adjustRightInd w:val="0"/>
              <w:snapToGrid w:val="0"/>
              <w:jc w:val="center"/>
              <w:rPr>
                <w:color w:val="auto"/>
                <w:szCs w:val="21"/>
              </w:rPr>
            </w:pPr>
            <w:r>
              <w:rPr>
                <w:color w:val="auto"/>
                <w:szCs w:val="21"/>
              </w:rPr>
              <w:t>不会对周围环境产生明显的影响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655" w:type="dxa"/>
            <w:vMerge w:val="continue"/>
            <w:vAlign w:val="center"/>
          </w:tcPr>
          <w:p>
            <w:pPr>
              <w:adjustRightInd w:val="0"/>
              <w:snapToGrid w:val="0"/>
              <w:jc w:val="center"/>
              <w:rPr>
                <w:b/>
                <w:color w:val="auto"/>
                <w:szCs w:val="21"/>
              </w:rPr>
            </w:pPr>
          </w:p>
        </w:tc>
        <w:tc>
          <w:tcPr>
            <w:tcW w:w="426" w:type="dxa"/>
            <w:vMerge w:val="continue"/>
            <w:vAlign w:val="center"/>
          </w:tcPr>
          <w:p>
            <w:pPr>
              <w:adjustRightInd w:val="0"/>
              <w:snapToGrid w:val="0"/>
              <w:jc w:val="center"/>
              <w:rPr>
                <w:color w:val="auto"/>
                <w:szCs w:val="21"/>
              </w:rPr>
            </w:pPr>
          </w:p>
        </w:tc>
        <w:tc>
          <w:tcPr>
            <w:tcW w:w="1134" w:type="dxa"/>
            <w:vMerge w:val="continue"/>
            <w:vAlign w:val="center"/>
          </w:tcPr>
          <w:p>
            <w:pPr>
              <w:adjustRightInd w:val="0"/>
              <w:snapToGrid w:val="0"/>
              <w:jc w:val="center"/>
              <w:rPr>
                <w:color w:val="auto"/>
                <w:szCs w:val="21"/>
              </w:rPr>
            </w:pPr>
          </w:p>
        </w:tc>
        <w:tc>
          <w:tcPr>
            <w:tcW w:w="1606" w:type="dxa"/>
            <w:vAlign w:val="center"/>
          </w:tcPr>
          <w:p>
            <w:pPr>
              <w:adjustRightInd w:val="0"/>
              <w:snapToGrid w:val="0"/>
              <w:jc w:val="center"/>
              <w:rPr>
                <w:color w:val="auto"/>
                <w:szCs w:val="21"/>
              </w:rPr>
            </w:pPr>
            <w:r>
              <w:rPr>
                <w:rFonts w:hint="eastAsia"/>
                <w:color w:val="auto"/>
                <w:szCs w:val="21"/>
              </w:rPr>
              <w:t>建筑垃圾</w:t>
            </w:r>
          </w:p>
        </w:tc>
        <w:tc>
          <w:tcPr>
            <w:tcW w:w="2835" w:type="dxa"/>
            <w:vAlign w:val="center"/>
          </w:tcPr>
          <w:p>
            <w:pPr>
              <w:adjustRightInd w:val="0"/>
              <w:snapToGrid w:val="0"/>
              <w:jc w:val="center"/>
              <w:rPr>
                <w:color w:val="auto"/>
                <w:szCs w:val="21"/>
              </w:rPr>
            </w:pPr>
            <w:r>
              <w:rPr>
                <w:color w:val="auto"/>
                <w:szCs w:val="21"/>
              </w:rPr>
              <w:t>运至垃圾填埋场填埋处理</w:t>
            </w:r>
          </w:p>
        </w:tc>
        <w:tc>
          <w:tcPr>
            <w:tcW w:w="3197" w:type="dxa"/>
            <w:vMerge w:val="continue"/>
            <w:vAlign w:val="center"/>
          </w:tcPr>
          <w:p>
            <w:pPr>
              <w:adjustRightInd w:val="0"/>
              <w:snapToGrid w:val="0"/>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655" w:type="dxa"/>
            <w:vMerge w:val="continue"/>
            <w:vAlign w:val="center"/>
          </w:tcPr>
          <w:p>
            <w:pPr>
              <w:adjustRightInd w:val="0"/>
              <w:snapToGrid w:val="0"/>
              <w:jc w:val="center"/>
              <w:rPr>
                <w:b/>
                <w:color w:val="auto"/>
                <w:szCs w:val="21"/>
              </w:rPr>
            </w:pPr>
          </w:p>
        </w:tc>
        <w:tc>
          <w:tcPr>
            <w:tcW w:w="426" w:type="dxa"/>
            <w:vMerge w:val="continue"/>
            <w:vAlign w:val="center"/>
          </w:tcPr>
          <w:p>
            <w:pPr>
              <w:adjustRightInd w:val="0"/>
              <w:snapToGrid w:val="0"/>
              <w:jc w:val="center"/>
              <w:rPr>
                <w:color w:val="auto"/>
                <w:szCs w:val="21"/>
              </w:rPr>
            </w:pPr>
          </w:p>
        </w:tc>
        <w:tc>
          <w:tcPr>
            <w:tcW w:w="1134" w:type="dxa"/>
            <w:vMerge w:val="continue"/>
            <w:vAlign w:val="center"/>
          </w:tcPr>
          <w:p>
            <w:pPr>
              <w:adjustRightInd w:val="0"/>
              <w:snapToGrid w:val="0"/>
              <w:jc w:val="center"/>
              <w:rPr>
                <w:color w:val="auto"/>
                <w:szCs w:val="21"/>
              </w:rPr>
            </w:pPr>
          </w:p>
        </w:tc>
        <w:tc>
          <w:tcPr>
            <w:tcW w:w="1606" w:type="dxa"/>
            <w:vAlign w:val="center"/>
          </w:tcPr>
          <w:p>
            <w:pPr>
              <w:adjustRightInd w:val="0"/>
              <w:snapToGrid w:val="0"/>
              <w:jc w:val="center"/>
              <w:rPr>
                <w:color w:val="auto"/>
                <w:szCs w:val="21"/>
              </w:rPr>
            </w:pPr>
            <w:r>
              <w:rPr>
                <w:rFonts w:hint="eastAsia"/>
                <w:color w:val="auto"/>
                <w:szCs w:val="21"/>
              </w:rPr>
              <w:t>施工</w:t>
            </w:r>
            <w:r>
              <w:rPr>
                <w:color w:val="auto"/>
                <w:szCs w:val="21"/>
              </w:rPr>
              <w:t>垃圾</w:t>
            </w:r>
          </w:p>
        </w:tc>
        <w:tc>
          <w:tcPr>
            <w:tcW w:w="2835" w:type="dxa"/>
            <w:vAlign w:val="center"/>
          </w:tcPr>
          <w:p>
            <w:pPr>
              <w:adjustRightInd w:val="0"/>
              <w:snapToGrid w:val="0"/>
              <w:jc w:val="center"/>
              <w:rPr>
                <w:color w:val="auto"/>
                <w:szCs w:val="21"/>
              </w:rPr>
            </w:pPr>
            <w:r>
              <w:rPr>
                <w:color w:val="auto"/>
                <w:szCs w:val="21"/>
              </w:rPr>
              <w:t>运至垃圾填埋场填埋处理</w:t>
            </w:r>
          </w:p>
        </w:tc>
        <w:tc>
          <w:tcPr>
            <w:tcW w:w="3197" w:type="dxa"/>
            <w:vMerge w:val="continue"/>
            <w:vAlign w:val="center"/>
          </w:tcPr>
          <w:p>
            <w:pPr>
              <w:adjustRightInd w:val="0"/>
              <w:snapToGrid w:val="0"/>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8" w:hRule="atLeast"/>
          <w:jc w:val="center"/>
        </w:trPr>
        <w:tc>
          <w:tcPr>
            <w:tcW w:w="655" w:type="dxa"/>
            <w:vMerge w:val="continue"/>
            <w:vAlign w:val="center"/>
          </w:tcPr>
          <w:p>
            <w:pPr>
              <w:adjustRightInd w:val="0"/>
              <w:snapToGrid w:val="0"/>
              <w:jc w:val="center"/>
              <w:rPr>
                <w:b/>
                <w:color w:val="auto"/>
                <w:szCs w:val="21"/>
              </w:rPr>
            </w:pPr>
          </w:p>
        </w:tc>
        <w:tc>
          <w:tcPr>
            <w:tcW w:w="426" w:type="dxa"/>
            <w:vMerge w:val="continue"/>
            <w:vAlign w:val="center"/>
          </w:tcPr>
          <w:p>
            <w:pPr>
              <w:adjustRightInd w:val="0"/>
              <w:snapToGrid w:val="0"/>
              <w:jc w:val="center"/>
              <w:rPr>
                <w:color w:val="auto"/>
                <w:szCs w:val="21"/>
              </w:rPr>
            </w:pPr>
          </w:p>
        </w:tc>
        <w:tc>
          <w:tcPr>
            <w:tcW w:w="1134" w:type="dxa"/>
            <w:vMerge w:val="continue"/>
            <w:vAlign w:val="center"/>
          </w:tcPr>
          <w:p>
            <w:pPr>
              <w:adjustRightInd w:val="0"/>
              <w:snapToGrid w:val="0"/>
              <w:jc w:val="center"/>
              <w:rPr>
                <w:color w:val="auto"/>
                <w:szCs w:val="21"/>
              </w:rPr>
            </w:pPr>
          </w:p>
        </w:tc>
        <w:tc>
          <w:tcPr>
            <w:tcW w:w="1606" w:type="dxa"/>
            <w:vAlign w:val="center"/>
          </w:tcPr>
          <w:p>
            <w:pPr>
              <w:adjustRightInd w:val="0"/>
              <w:snapToGrid w:val="0"/>
              <w:jc w:val="center"/>
              <w:rPr>
                <w:color w:val="auto"/>
                <w:szCs w:val="21"/>
              </w:rPr>
            </w:pPr>
            <w:r>
              <w:rPr>
                <w:color w:val="auto"/>
                <w:szCs w:val="21"/>
              </w:rPr>
              <w:t>生活垃圾</w:t>
            </w:r>
          </w:p>
        </w:tc>
        <w:tc>
          <w:tcPr>
            <w:tcW w:w="2835" w:type="dxa"/>
            <w:vAlign w:val="center"/>
          </w:tcPr>
          <w:p>
            <w:pPr>
              <w:adjustRightInd w:val="0"/>
              <w:snapToGrid w:val="0"/>
              <w:jc w:val="center"/>
              <w:rPr>
                <w:color w:val="auto"/>
                <w:szCs w:val="21"/>
              </w:rPr>
            </w:pPr>
            <w:r>
              <w:rPr>
                <w:color w:val="auto"/>
                <w:szCs w:val="21"/>
              </w:rPr>
              <w:t>交由环卫部门处理</w:t>
            </w:r>
          </w:p>
        </w:tc>
        <w:tc>
          <w:tcPr>
            <w:tcW w:w="3197" w:type="dxa"/>
            <w:vMerge w:val="continue"/>
            <w:vAlign w:val="center"/>
          </w:tcPr>
          <w:p>
            <w:pPr>
              <w:adjustRightInd w:val="0"/>
              <w:snapToGrid w:val="0"/>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3" w:hRule="atLeast"/>
          <w:jc w:val="center"/>
        </w:trPr>
        <w:tc>
          <w:tcPr>
            <w:tcW w:w="655" w:type="dxa"/>
            <w:vMerge w:val="continue"/>
            <w:vAlign w:val="center"/>
          </w:tcPr>
          <w:p>
            <w:pPr>
              <w:adjustRightInd w:val="0"/>
              <w:snapToGrid w:val="0"/>
              <w:jc w:val="center"/>
              <w:rPr>
                <w:b/>
                <w:color w:val="auto"/>
                <w:szCs w:val="21"/>
              </w:rPr>
            </w:pPr>
          </w:p>
        </w:tc>
        <w:tc>
          <w:tcPr>
            <w:tcW w:w="426" w:type="dxa"/>
            <w:vAlign w:val="center"/>
          </w:tcPr>
          <w:p>
            <w:pPr>
              <w:adjustRightInd w:val="0"/>
              <w:snapToGrid w:val="0"/>
              <w:jc w:val="center"/>
              <w:rPr>
                <w:color w:val="auto"/>
                <w:szCs w:val="21"/>
              </w:rPr>
            </w:pPr>
            <w:r>
              <w:rPr>
                <w:color w:val="auto"/>
                <w:szCs w:val="21"/>
              </w:rPr>
              <w:t>营运期</w:t>
            </w:r>
          </w:p>
        </w:tc>
        <w:tc>
          <w:tcPr>
            <w:tcW w:w="1134" w:type="dxa"/>
            <w:vAlign w:val="center"/>
          </w:tcPr>
          <w:p>
            <w:pPr>
              <w:adjustRightInd w:val="0"/>
              <w:snapToGrid w:val="0"/>
              <w:jc w:val="center"/>
              <w:rPr>
                <w:color w:val="auto"/>
                <w:szCs w:val="21"/>
              </w:rPr>
            </w:pPr>
            <w:r>
              <w:rPr>
                <w:color w:val="auto"/>
                <w:szCs w:val="21"/>
              </w:rPr>
              <w:t>生活垃圾</w:t>
            </w:r>
          </w:p>
        </w:tc>
        <w:tc>
          <w:tcPr>
            <w:tcW w:w="1606" w:type="dxa"/>
            <w:vAlign w:val="center"/>
          </w:tcPr>
          <w:p>
            <w:pPr>
              <w:adjustRightInd w:val="0"/>
              <w:snapToGrid w:val="0"/>
              <w:jc w:val="center"/>
              <w:rPr>
                <w:color w:val="auto"/>
                <w:szCs w:val="21"/>
              </w:rPr>
            </w:pPr>
            <w:r>
              <w:rPr>
                <w:color w:val="auto"/>
                <w:szCs w:val="21"/>
              </w:rPr>
              <w:t>生活垃圾</w:t>
            </w:r>
          </w:p>
        </w:tc>
        <w:tc>
          <w:tcPr>
            <w:tcW w:w="2835" w:type="dxa"/>
            <w:vAlign w:val="center"/>
          </w:tcPr>
          <w:p>
            <w:pPr>
              <w:adjustRightInd w:val="0"/>
              <w:snapToGrid w:val="0"/>
              <w:jc w:val="center"/>
              <w:rPr>
                <w:color w:val="auto"/>
                <w:szCs w:val="21"/>
              </w:rPr>
            </w:pPr>
            <w:r>
              <w:rPr>
                <w:color w:val="auto"/>
                <w:szCs w:val="21"/>
              </w:rPr>
              <w:t>定点堆放、交环卫部门清运处理</w:t>
            </w:r>
          </w:p>
        </w:tc>
        <w:tc>
          <w:tcPr>
            <w:tcW w:w="3197" w:type="dxa"/>
            <w:vMerge w:val="continue"/>
            <w:vAlign w:val="center"/>
          </w:tcPr>
          <w:p>
            <w:pPr>
              <w:adjustRightInd w:val="0"/>
              <w:snapToGrid w:val="0"/>
              <w:jc w:val="center"/>
              <w:rPr>
                <w:color w:val="auto"/>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9" w:hRule="atLeast"/>
          <w:jc w:val="center"/>
        </w:trPr>
        <w:tc>
          <w:tcPr>
            <w:tcW w:w="655" w:type="dxa"/>
            <w:vMerge w:val="restart"/>
            <w:vAlign w:val="center"/>
          </w:tcPr>
          <w:p>
            <w:pPr>
              <w:adjustRightInd w:val="0"/>
              <w:snapToGrid w:val="0"/>
              <w:jc w:val="center"/>
              <w:rPr>
                <w:b/>
                <w:color w:val="auto"/>
                <w:szCs w:val="21"/>
              </w:rPr>
            </w:pPr>
            <w:r>
              <w:rPr>
                <w:b/>
                <w:color w:val="auto"/>
                <w:szCs w:val="21"/>
              </w:rPr>
              <w:t>噪</w:t>
            </w:r>
          </w:p>
          <w:p>
            <w:pPr>
              <w:adjustRightInd w:val="0"/>
              <w:snapToGrid w:val="0"/>
              <w:jc w:val="center"/>
              <w:rPr>
                <w:b/>
                <w:color w:val="auto"/>
                <w:szCs w:val="21"/>
              </w:rPr>
            </w:pPr>
            <w:r>
              <w:rPr>
                <w:b/>
                <w:color w:val="auto"/>
                <w:szCs w:val="21"/>
              </w:rPr>
              <w:t>声</w:t>
            </w:r>
          </w:p>
        </w:tc>
        <w:tc>
          <w:tcPr>
            <w:tcW w:w="426" w:type="dxa"/>
            <w:vAlign w:val="center"/>
          </w:tcPr>
          <w:p>
            <w:pPr>
              <w:adjustRightInd w:val="0"/>
              <w:snapToGrid w:val="0"/>
              <w:jc w:val="center"/>
              <w:rPr>
                <w:color w:val="auto"/>
                <w:szCs w:val="21"/>
              </w:rPr>
            </w:pPr>
            <w:r>
              <w:rPr>
                <w:color w:val="auto"/>
                <w:szCs w:val="21"/>
              </w:rPr>
              <w:t>施工期</w:t>
            </w:r>
          </w:p>
        </w:tc>
        <w:tc>
          <w:tcPr>
            <w:tcW w:w="2740" w:type="dxa"/>
            <w:gridSpan w:val="2"/>
            <w:vAlign w:val="center"/>
          </w:tcPr>
          <w:p>
            <w:pPr>
              <w:adjustRightInd w:val="0"/>
              <w:snapToGrid w:val="0"/>
              <w:jc w:val="center"/>
              <w:rPr>
                <w:color w:val="auto"/>
                <w:szCs w:val="21"/>
              </w:rPr>
            </w:pPr>
            <w:r>
              <w:rPr>
                <w:color w:val="auto"/>
                <w:szCs w:val="21"/>
              </w:rPr>
              <w:t>施工噪声</w:t>
            </w:r>
          </w:p>
        </w:tc>
        <w:tc>
          <w:tcPr>
            <w:tcW w:w="2835" w:type="dxa"/>
            <w:vAlign w:val="center"/>
          </w:tcPr>
          <w:p>
            <w:pPr>
              <w:adjustRightInd w:val="0"/>
              <w:snapToGrid w:val="0"/>
              <w:jc w:val="center"/>
              <w:rPr>
                <w:color w:val="auto"/>
                <w:szCs w:val="21"/>
              </w:rPr>
            </w:pPr>
            <w:r>
              <w:rPr>
                <w:color w:val="auto"/>
                <w:szCs w:val="21"/>
              </w:rPr>
              <w:t>合理安排施工时间，选用低噪声设备；施工人员采取配备、使用耳塞、防声头盔等</w:t>
            </w:r>
          </w:p>
        </w:tc>
        <w:tc>
          <w:tcPr>
            <w:tcW w:w="3197" w:type="dxa"/>
            <w:vAlign w:val="center"/>
          </w:tcPr>
          <w:p>
            <w:pPr>
              <w:adjustRightInd w:val="0"/>
              <w:snapToGrid w:val="0"/>
              <w:jc w:val="center"/>
              <w:rPr>
                <w:color w:val="auto"/>
                <w:szCs w:val="21"/>
              </w:rPr>
            </w:pPr>
            <w:r>
              <w:rPr>
                <w:color w:val="auto"/>
                <w:szCs w:val="21"/>
              </w:rPr>
              <w:t>不影响施工人员的身体健康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8" w:hRule="atLeast"/>
          <w:jc w:val="center"/>
        </w:trPr>
        <w:tc>
          <w:tcPr>
            <w:tcW w:w="655" w:type="dxa"/>
            <w:vMerge w:val="continue"/>
            <w:vAlign w:val="center"/>
          </w:tcPr>
          <w:p>
            <w:pPr>
              <w:adjustRightInd w:val="0"/>
              <w:snapToGrid w:val="0"/>
              <w:jc w:val="center"/>
              <w:rPr>
                <w:b/>
                <w:color w:val="auto"/>
                <w:szCs w:val="21"/>
              </w:rPr>
            </w:pPr>
          </w:p>
        </w:tc>
        <w:tc>
          <w:tcPr>
            <w:tcW w:w="426" w:type="dxa"/>
            <w:vAlign w:val="center"/>
          </w:tcPr>
          <w:p>
            <w:pPr>
              <w:adjustRightInd w:val="0"/>
              <w:snapToGrid w:val="0"/>
              <w:jc w:val="center"/>
              <w:rPr>
                <w:color w:val="auto"/>
                <w:szCs w:val="21"/>
              </w:rPr>
            </w:pPr>
            <w:r>
              <w:rPr>
                <w:color w:val="auto"/>
                <w:szCs w:val="21"/>
              </w:rPr>
              <w:t>营运期</w:t>
            </w:r>
          </w:p>
        </w:tc>
        <w:tc>
          <w:tcPr>
            <w:tcW w:w="2740" w:type="dxa"/>
            <w:gridSpan w:val="2"/>
            <w:vAlign w:val="center"/>
          </w:tcPr>
          <w:p>
            <w:pPr>
              <w:adjustRightInd w:val="0"/>
              <w:snapToGrid w:val="0"/>
              <w:jc w:val="center"/>
              <w:rPr>
                <w:color w:val="auto"/>
                <w:szCs w:val="21"/>
              </w:rPr>
            </w:pPr>
            <w:r>
              <w:rPr>
                <w:color w:val="auto"/>
                <w:szCs w:val="21"/>
              </w:rPr>
              <w:t>生产机械设备噪声</w:t>
            </w:r>
          </w:p>
        </w:tc>
        <w:tc>
          <w:tcPr>
            <w:tcW w:w="2835" w:type="dxa"/>
            <w:vAlign w:val="center"/>
          </w:tcPr>
          <w:p>
            <w:pPr>
              <w:adjustRightInd w:val="0"/>
              <w:snapToGrid w:val="0"/>
              <w:jc w:val="center"/>
              <w:rPr>
                <w:color w:val="auto"/>
                <w:szCs w:val="21"/>
              </w:rPr>
            </w:pPr>
            <w:r>
              <w:rPr>
                <w:color w:val="auto"/>
                <w:szCs w:val="21"/>
              </w:rPr>
              <w:t>合理布局、采取隔声、减振、消声措施，加强绿化等措施</w:t>
            </w:r>
          </w:p>
        </w:tc>
        <w:tc>
          <w:tcPr>
            <w:tcW w:w="3197" w:type="dxa"/>
            <w:vAlign w:val="center"/>
          </w:tcPr>
          <w:p>
            <w:pPr>
              <w:adjustRightInd w:val="0"/>
              <w:snapToGrid w:val="0"/>
              <w:jc w:val="center"/>
              <w:rPr>
                <w:color w:val="auto"/>
                <w:szCs w:val="21"/>
              </w:rPr>
            </w:pPr>
            <w:r>
              <w:rPr>
                <w:color w:val="auto"/>
                <w:szCs w:val="21"/>
              </w:rPr>
              <w:t>昼间噪声60dB（A）、夜间50dB（A）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2" w:hRule="atLeast"/>
          <w:jc w:val="center"/>
        </w:trPr>
        <w:tc>
          <w:tcPr>
            <w:tcW w:w="655" w:type="dxa"/>
            <w:vAlign w:val="center"/>
          </w:tcPr>
          <w:p>
            <w:pPr>
              <w:adjustRightInd w:val="0"/>
              <w:snapToGrid w:val="0"/>
              <w:jc w:val="center"/>
              <w:rPr>
                <w:b/>
                <w:color w:val="auto"/>
                <w:szCs w:val="21"/>
              </w:rPr>
            </w:pPr>
            <w:r>
              <w:rPr>
                <w:b/>
                <w:color w:val="auto"/>
                <w:szCs w:val="21"/>
              </w:rPr>
              <w:t>其它</w:t>
            </w:r>
          </w:p>
        </w:tc>
        <w:tc>
          <w:tcPr>
            <w:tcW w:w="9198" w:type="dxa"/>
            <w:gridSpan w:val="5"/>
            <w:vAlign w:val="center"/>
          </w:tcPr>
          <w:p>
            <w:pPr>
              <w:adjustRightInd w:val="0"/>
              <w:snapToGrid w:val="0"/>
              <w:jc w:val="center"/>
              <w:rPr>
                <w:color w:val="auto"/>
                <w:szCs w:val="21"/>
              </w:rPr>
            </w:pPr>
            <w:r>
              <w:rPr>
                <w:color w:val="auto"/>
                <w:szCs w:val="21"/>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7" w:hRule="atLeast"/>
          <w:jc w:val="center"/>
        </w:trPr>
        <w:tc>
          <w:tcPr>
            <w:tcW w:w="9853" w:type="dxa"/>
            <w:gridSpan w:val="6"/>
          </w:tcPr>
          <w:p>
            <w:pPr>
              <w:spacing w:line="360" w:lineRule="auto"/>
              <w:rPr>
                <w:b/>
                <w:bCs/>
                <w:color w:val="auto"/>
                <w:sz w:val="24"/>
                <w:szCs w:val="21"/>
              </w:rPr>
            </w:pPr>
            <w:r>
              <w:rPr>
                <w:b/>
                <w:bCs/>
                <w:color w:val="auto"/>
                <w:sz w:val="24"/>
                <w:szCs w:val="21"/>
              </w:rPr>
              <w:t>生态保护措施及预期效果</w:t>
            </w:r>
          </w:p>
          <w:p>
            <w:pPr>
              <w:spacing w:line="360" w:lineRule="auto"/>
              <w:ind w:firstLine="480" w:firstLineChars="200"/>
              <w:rPr>
                <w:color w:val="auto"/>
                <w:sz w:val="24"/>
                <w:szCs w:val="21"/>
              </w:rPr>
            </w:pPr>
            <w:r>
              <w:rPr>
                <w:color w:val="auto"/>
                <w:sz w:val="24"/>
                <w:szCs w:val="21"/>
              </w:rPr>
              <w:t>1、做好</w:t>
            </w:r>
            <w:r>
              <w:rPr>
                <w:rFonts w:hint="eastAsia"/>
                <w:color w:val="auto"/>
                <w:sz w:val="24"/>
                <w:szCs w:val="21"/>
              </w:rPr>
              <w:t>施工期</w:t>
            </w:r>
            <w:r>
              <w:rPr>
                <w:color w:val="auto"/>
                <w:sz w:val="24"/>
                <w:szCs w:val="21"/>
              </w:rPr>
              <w:t>废水处理、废气、噪声</w:t>
            </w:r>
            <w:r>
              <w:rPr>
                <w:rFonts w:hint="eastAsia"/>
                <w:color w:val="auto"/>
                <w:sz w:val="24"/>
                <w:szCs w:val="21"/>
              </w:rPr>
              <w:t>和固体废物</w:t>
            </w:r>
            <w:r>
              <w:rPr>
                <w:color w:val="auto"/>
                <w:sz w:val="24"/>
                <w:szCs w:val="21"/>
              </w:rPr>
              <w:t>的治理工作，</w:t>
            </w:r>
            <w:r>
              <w:rPr>
                <w:rFonts w:hint="eastAsia"/>
                <w:color w:val="auto"/>
                <w:sz w:val="24"/>
                <w:szCs w:val="21"/>
              </w:rPr>
              <w:t>运营期做好设备定期检修维护工作，</w:t>
            </w:r>
            <w:r>
              <w:rPr>
                <w:color w:val="auto"/>
                <w:sz w:val="24"/>
                <w:szCs w:val="21"/>
              </w:rPr>
              <w:t>减少其对周围</w:t>
            </w:r>
            <w:r>
              <w:rPr>
                <w:rFonts w:hint="eastAsia"/>
                <w:color w:val="auto"/>
                <w:sz w:val="24"/>
                <w:szCs w:val="21"/>
              </w:rPr>
              <w:t>居民生活</w:t>
            </w:r>
            <w:r>
              <w:rPr>
                <w:color w:val="auto"/>
                <w:sz w:val="24"/>
                <w:szCs w:val="21"/>
              </w:rPr>
              <w:t>环境的影响；</w:t>
            </w:r>
          </w:p>
          <w:p>
            <w:pPr>
              <w:spacing w:line="360" w:lineRule="auto"/>
              <w:ind w:firstLine="480" w:firstLineChars="200"/>
              <w:rPr>
                <w:color w:val="auto"/>
                <w:sz w:val="24"/>
              </w:rPr>
            </w:pPr>
            <w:r>
              <w:rPr>
                <w:color w:val="auto"/>
                <w:sz w:val="24"/>
                <w:szCs w:val="21"/>
              </w:rPr>
              <w:t>2、按上述措施对各种污染物进行有效的治理，可降低其对生态环境的影响，并搞好厂区周围的绿化、美化。生活污水、噪声、固废等经治理后，对区域生态环境影响较小。</w:t>
            </w:r>
          </w:p>
        </w:tc>
      </w:tr>
    </w:tbl>
    <w:p>
      <w:pPr>
        <w:tabs>
          <w:tab w:val="left" w:pos="3699"/>
        </w:tabs>
        <w:spacing w:line="300" w:lineRule="auto"/>
        <w:rPr>
          <w:rFonts w:eastAsia="黑体"/>
          <w:color w:val="auto"/>
          <w:sz w:val="30"/>
        </w:rPr>
      </w:pPr>
    </w:p>
    <w:p>
      <w:pPr>
        <w:tabs>
          <w:tab w:val="left" w:pos="3699"/>
        </w:tabs>
        <w:spacing w:line="300" w:lineRule="auto"/>
        <w:rPr>
          <w:rFonts w:eastAsia="黑体"/>
          <w:color w:val="auto"/>
          <w:sz w:val="30"/>
        </w:rPr>
      </w:pPr>
      <w:r>
        <w:rPr>
          <w:rFonts w:eastAsia="黑体"/>
          <w:color w:val="auto"/>
          <w:sz w:val="30"/>
        </w:rPr>
        <w:t>结论与建议</w:t>
      </w:r>
    </w:p>
    <w:tbl>
      <w:tblPr>
        <w:tblStyle w:val="33"/>
        <w:tblW w:w="0" w:type="auto"/>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920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13317" w:hRule="atLeast"/>
        </w:trPr>
        <w:tc>
          <w:tcPr>
            <w:tcW w:w="9206" w:type="dxa"/>
          </w:tcPr>
          <w:p>
            <w:pPr>
              <w:adjustRightInd w:val="0"/>
              <w:snapToGrid w:val="0"/>
              <w:spacing w:line="360" w:lineRule="auto"/>
              <w:ind w:firstLine="482" w:firstLineChars="200"/>
              <w:rPr>
                <w:color w:val="auto"/>
                <w:sz w:val="24"/>
              </w:rPr>
            </w:pPr>
            <w:r>
              <w:rPr>
                <w:b/>
                <w:bCs/>
                <w:color w:val="auto"/>
                <w:sz w:val="24"/>
              </w:rPr>
              <w:t>一、项目概况</w:t>
            </w:r>
          </w:p>
          <w:p>
            <w:pPr>
              <w:spacing w:line="360" w:lineRule="auto"/>
              <w:ind w:firstLine="480" w:firstLineChars="200"/>
              <w:rPr>
                <w:color w:val="auto"/>
                <w:sz w:val="24"/>
              </w:rPr>
            </w:pPr>
            <w:r>
              <w:rPr>
                <w:rFonts w:hint="eastAsia"/>
                <w:color w:val="auto"/>
                <w:sz w:val="24"/>
              </w:rPr>
              <w:t>为缓解周边群众的用水压力，完善梅江区部分区域和梅县区城东镇周边给水网络以及梅州监狱迁建的供水需求，促进农村城市化发展，</w:t>
            </w:r>
            <w:r>
              <w:rPr>
                <w:color w:val="auto"/>
                <w:sz w:val="24"/>
              </w:rPr>
              <w:t>梅州粤海水务有限公司</w:t>
            </w:r>
            <w:r>
              <w:rPr>
                <w:rFonts w:hint="eastAsia"/>
                <w:color w:val="auto"/>
                <w:sz w:val="24"/>
              </w:rPr>
              <w:t>拟投资建设</w:t>
            </w:r>
            <w:r>
              <w:rPr>
                <w:color w:val="auto"/>
                <w:sz w:val="24"/>
              </w:rPr>
              <w:t>梅州市城东片区供水项目</w:t>
            </w:r>
            <w:r>
              <w:rPr>
                <w:rFonts w:hint="eastAsia"/>
                <w:color w:val="auto"/>
                <w:sz w:val="24"/>
              </w:rPr>
              <w:t>。本项目</w:t>
            </w:r>
            <w:r>
              <w:rPr>
                <w:color w:val="auto"/>
                <w:sz w:val="24"/>
              </w:rPr>
              <w:t>总投资4525.6万元</w:t>
            </w:r>
            <w:r>
              <w:rPr>
                <w:rFonts w:hint="eastAsia"/>
                <w:color w:val="auto"/>
                <w:sz w:val="24"/>
              </w:rPr>
              <w:t>。建设内容主要包括加压泵站和管网铺设，加压泵站（管网起点）选址于梅江碧桂园入口东南面（碧桂路旁）</w:t>
            </w:r>
            <w:r>
              <w:rPr>
                <w:color w:val="auto"/>
                <w:sz w:val="24"/>
              </w:rPr>
              <w:t>（</w:t>
            </w:r>
            <w:r>
              <w:rPr>
                <w:rFonts w:hint="eastAsia"/>
                <w:color w:val="auto"/>
                <w:sz w:val="24"/>
              </w:rPr>
              <w:t>经纬度</w:t>
            </w:r>
            <w:r>
              <w:rPr>
                <w:color w:val="auto"/>
                <w:sz w:val="24"/>
              </w:rPr>
              <w:t>24.33655 N</w:t>
            </w:r>
            <w:r>
              <w:rPr>
                <w:rFonts w:hint="eastAsia"/>
                <w:color w:val="auto"/>
                <w:sz w:val="24"/>
              </w:rPr>
              <w:t>，</w:t>
            </w:r>
            <w:r>
              <w:rPr>
                <w:color w:val="auto"/>
                <w:sz w:val="24"/>
              </w:rPr>
              <w:t>116.11936</w:t>
            </w:r>
            <w:r>
              <w:rPr>
                <w:rFonts w:hint="eastAsia"/>
                <w:color w:val="auto"/>
                <w:sz w:val="24"/>
              </w:rPr>
              <w:t xml:space="preserve"> E），管网铺设主要沿国道 205自南向北敷设一条 DN500 供水主管至梅州监狱（管网终点坐标</w:t>
            </w:r>
            <w:r>
              <w:rPr>
                <w:color w:val="auto"/>
                <w:sz w:val="24"/>
              </w:rPr>
              <w:t>24.38007</w:t>
            </w:r>
            <w:r>
              <w:rPr>
                <w:rFonts w:hint="eastAsia"/>
                <w:color w:val="auto"/>
                <w:sz w:val="24"/>
              </w:rPr>
              <w:t>N，</w:t>
            </w:r>
            <w:r>
              <w:rPr>
                <w:color w:val="auto"/>
                <w:sz w:val="24"/>
              </w:rPr>
              <w:t>116.14305</w:t>
            </w:r>
            <w:r>
              <w:rPr>
                <w:rFonts w:hint="eastAsia"/>
                <w:color w:val="auto"/>
                <w:sz w:val="24"/>
              </w:rPr>
              <w:t>E），配套若干支管。</w:t>
            </w:r>
            <w:r>
              <w:rPr>
                <w:rFonts w:hint="eastAsia"/>
                <w:color w:val="auto"/>
                <w:kern w:val="0"/>
                <w:sz w:val="24"/>
              </w:rPr>
              <w:t>项目拟新建供水管合计7840米，其中主管为球墨铸铁管DN500为7000m，钢管700m，DN200PE管140m，相配套若干阀门等，一座20000m³/日二次加压泵房。</w:t>
            </w:r>
          </w:p>
          <w:p>
            <w:pPr>
              <w:adjustRightInd w:val="0"/>
              <w:snapToGrid w:val="0"/>
              <w:spacing w:line="360" w:lineRule="auto"/>
              <w:ind w:firstLine="482" w:firstLineChars="200"/>
              <w:rPr>
                <w:b/>
                <w:bCs/>
                <w:color w:val="auto"/>
                <w:sz w:val="24"/>
              </w:rPr>
            </w:pPr>
            <w:r>
              <w:rPr>
                <w:b/>
                <w:bCs/>
                <w:color w:val="auto"/>
                <w:sz w:val="24"/>
              </w:rPr>
              <w:t>二、环境质量现状</w:t>
            </w:r>
          </w:p>
          <w:p>
            <w:pPr>
              <w:adjustRightInd w:val="0"/>
              <w:snapToGrid w:val="0"/>
              <w:spacing w:line="360" w:lineRule="auto"/>
              <w:ind w:firstLine="480" w:firstLineChars="200"/>
              <w:rPr>
                <w:color w:val="auto"/>
                <w:sz w:val="24"/>
              </w:rPr>
            </w:pPr>
            <w:r>
              <w:rPr>
                <w:rFonts w:hint="eastAsia"/>
                <w:color w:val="auto"/>
                <w:sz w:val="24"/>
              </w:rPr>
              <w:t>项目所在地</w:t>
            </w:r>
            <w:r>
              <w:rPr>
                <w:color w:val="auto"/>
                <w:sz w:val="24"/>
              </w:rPr>
              <w:t>环境空气</w:t>
            </w:r>
            <w:r>
              <w:rPr>
                <w:rFonts w:hint="eastAsia"/>
                <w:color w:val="auto"/>
                <w:sz w:val="24"/>
              </w:rPr>
              <w:t>质量</w:t>
            </w:r>
            <w:r>
              <w:rPr>
                <w:color w:val="auto"/>
                <w:sz w:val="24"/>
              </w:rPr>
              <w:t>符合《环境空气质量标准》(GB3095-2012)及2018年修改单二级标准。</w:t>
            </w:r>
            <w:r>
              <w:rPr>
                <w:rFonts w:hint="eastAsia"/>
                <w:color w:val="auto"/>
                <w:sz w:val="24"/>
              </w:rPr>
              <w:t>项目所在地周溪河水质符合</w:t>
            </w:r>
            <w:r>
              <w:rPr>
                <w:color w:val="auto"/>
                <w:sz w:val="24"/>
              </w:rPr>
              <w:t>《地表水环境质量标准》（GB3838-2002）</w:t>
            </w:r>
            <w:r>
              <w:rPr>
                <w:rFonts w:hint="eastAsia"/>
                <w:color w:val="auto"/>
                <w:sz w:val="24"/>
              </w:rPr>
              <w:t>Ⅲ类</w:t>
            </w:r>
            <w:r>
              <w:rPr>
                <w:color w:val="auto"/>
                <w:sz w:val="24"/>
              </w:rPr>
              <w:t>标准。</w:t>
            </w:r>
            <w:r>
              <w:rPr>
                <w:rFonts w:hint="eastAsia"/>
                <w:bCs/>
                <w:color w:val="auto"/>
                <w:sz w:val="24"/>
              </w:rPr>
              <w:t>项目沿线居民点、金盘医院、城东镇政府</w:t>
            </w:r>
            <w:r>
              <w:rPr>
                <w:bCs/>
                <w:color w:val="auto"/>
                <w:sz w:val="24"/>
              </w:rPr>
              <w:t>监测点</w:t>
            </w:r>
            <w:r>
              <w:rPr>
                <w:rFonts w:hint="eastAsia"/>
                <w:bCs/>
                <w:color w:val="auto"/>
                <w:sz w:val="24"/>
              </w:rPr>
              <w:t>的</w:t>
            </w:r>
            <w:r>
              <w:rPr>
                <w:bCs/>
                <w:color w:val="auto"/>
                <w:sz w:val="24"/>
              </w:rPr>
              <w:t>昼</w:t>
            </w:r>
            <w:r>
              <w:rPr>
                <w:rFonts w:hint="eastAsia"/>
                <w:bCs/>
                <w:color w:val="auto"/>
                <w:sz w:val="24"/>
              </w:rPr>
              <w:t>间环境噪声均</w:t>
            </w:r>
            <w:r>
              <w:rPr>
                <w:bCs/>
                <w:color w:val="auto"/>
                <w:sz w:val="24"/>
              </w:rPr>
              <w:t>符合《声环境质量标准》（GB 3096-2008）</w:t>
            </w:r>
            <w:r>
              <w:rPr>
                <w:rFonts w:hint="eastAsia"/>
                <w:bCs/>
                <w:color w:val="auto"/>
                <w:sz w:val="24"/>
              </w:rPr>
              <w:t>4a类</w:t>
            </w:r>
            <w:r>
              <w:rPr>
                <w:bCs/>
                <w:color w:val="auto"/>
                <w:sz w:val="24"/>
              </w:rPr>
              <w:t>标准</w:t>
            </w:r>
            <w:r>
              <w:rPr>
                <w:rFonts w:hint="eastAsia"/>
                <w:bCs/>
                <w:color w:val="auto"/>
                <w:sz w:val="24"/>
              </w:rPr>
              <w:t>要求，但夜间有一定的超标；梅州市工业学校和谢田卫生站的昼、夜间环境噪声均出现超标</w:t>
            </w:r>
            <w:r>
              <w:rPr>
                <w:bCs/>
                <w:color w:val="auto"/>
                <w:sz w:val="24"/>
              </w:rPr>
              <w:t>。</w:t>
            </w:r>
            <w:r>
              <w:rPr>
                <w:rFonts w:hint="eastAsia"/>
                <w:bCs/>
                <w:color w:val="auto"/>
                <w:sz w:val="24"/>
              </w:rPr>
              <w:t>分析超标原因可能是由于G</w:t>
            </w:r>
            <w:r>
              <w:rPr>
                <w:bCs/>
                <w:color w:val="auto"/>
                <w:sz w:val="24"/>
              </w:rPr>
              <w:t>205</w:t>
            </w:r>
            <w:r>
              <w:rPr>
                <w:rFonts w:hint="eastAsia"/>
                <w:bCs/>
                <w:color w:val="auto"/>
                <w:sz w:val="24"/>
              </w:rPr>
              <w:t>国道为连接梅州城区和城东镇及城东高速出口的主要干道，车流量较大，且夜间较多大型运输车辆经过，故容易出现敏感点噪声超标。</w:t>
            </w:r>
          </w:p>
          <w:p>
            <w:pPr>
              <w:adjustRightInd w:val="0"/>
              <w:snapToGrid w:val="0"/>
              <w:spacing w:line="360" w:lineRule="auto"/>
              <w:ind w:firstLine="482" w:firstLineChars="200"/>
              <w:rPr>
                <w:b/>
                <w:bCs/>
                <w:color w:val="auto"/>
                <w:sz w:val="24"/>
              </w:rPr>
            </w:pPr>
            <w:bookmarkStart w:id="18" w:name="_Toc407028273"/>
            <w:r>
              <w:rPr>
                <w:b/>
                <w:bCs/>
                <w:color w:val="auto"/>
                <w:sz w:val="24"/>
              </w:rPr>
              <w:t>三、环境影响评价结论</w:t>
            </w:r>
          </w:p>
          <w:p>
            <w:pPr>
              <w:spacing w:line="360" w:lineRule="auto"/>
              <w:ind w:firstLine="480" w:firstLineChars="200"/>
              <w:rPr>
                <w:bCs/>
                <w:color w:val="auto"/>
                <w:sz w:val="24"/>
              </w:rPr>
            </w:pPr>
            <w:r>
              <w:rPr>
                <w:rFonts w:hint="eastAsia"/>
                <w:bCs/>
                <w:color w:val="auto"/>
                <w:sz w:val="24"/>
              </w:rPr>
              <w:t>1、施工期</w:t>
            </w:r>
          </w:p>
          <w:p>
            <w:pPr>
              <w:spacing w:line="360" w:lineRule="auto"/>
              <w:ind w:firstLine="480" w:firstLineChars="200"/>
              <w:rPr>
                <w:bCs/>
                <w:color w:val="auto"/>
                <w:sz w:val="24"/>
              </w:rPr>
            </w:pPr>
            <w:r>
              <w:rPr>
                <w:rFonts w:hint="eastAsia"/>
                <w:bCs/>
                <w:color w:val="auto"/>
                <w:sz w:val="24"/>
              </w:rPr>
              <w:t>①大气环境影响</w:t>
            </w:r>
          </w:p>
          <w:p>
            <w:pPr>
              <w:spacing w:line="360" w:lineRule="auto"/>
              <w:ind w:firstLine="480" w:firstLineChars="200"/>
              <w:rPr>
                <w:bCs/>
                <w:color w:val="auto"/>
                <w:sz w:val="24"/>
              </w:rPr>
            </w:pPr>
            <w:r>
              <w:rPr>
                <w:rFonts w:hint="eastAsia"/>
                <w:bCs/>
                <w:color w:val="auto"/>
                <w:sz w:val="24"/>
              </w:rPr>
              <w:t>建设施工期产生的大气环境影响主要来自建筑施工粉尘和扬尘等。建设施工单位应采取一定的预防措施，包括定时洒水，保持地面湿度；及时对道路和施工区域进行清运、清扫，以减少粉尘和二次扬尘的产生；对于装运含尘物料的运输车辆应加盖蓬布，严格控制物料的洒落；车辆进出口设浅水池等，减少施工期废气对周围空气环境的影响。</w:t>
            </w:r>
          </w:p>
          <w:p>
            <w:pPr>
              <w:spacing w:line="360" w:lineRule="auto"/>
              <w:ind w:firstLine="480" w:firstLineChars="200"/>
              <w:rPr>
                <w:bCs/>
                <w:color w:val="auto"/>
                <w:sz w:val="24"/>
              </w:rPr>
            </w:pPr>
            <w:r>
              <w:rPr>
                <w:rFonts w:hint="eastAsia"/>
                <w:bCs/>
                <w:color w:val="auto"/>
                <w:sz w:val="24"/>
              </w:rPr>
              <w:t>②水环境影响</w:t>
            </w:r>
          </w:p>
          <w:p>
            <w:pPr>
              <w:spacing w:line="360" w:lineRule="auto"/>
              <w:ind w:firstLine="480" w:firstLineChars="200"/>
              <w:rPr>
                <w:bCs/>
                <w:color w:val="auto"/>
                <w:sz w:val="24"/>
              </w:rPr>
            </w:pPr>
            <w:r>
              <w:rPr>
                <w:rFonts w:hint="eastAsia"/>
                <w:bCs/>
                <w:color w:val="auto"/>
                <w:sz w:val="24"/>
              </w:rPr>
              <w:t>建设施工期产生的水污染物为施工废水和生活污水，主要污染物是SS、CODcr、BOD等，为减小污水对附近水体的污染，施工废水经过简单的隔油沉淀后回用于施工场地用水，</w:t>
            </w:r>
            <w:r>
              <w:rPr>
                <w:rFonts w:hint="eastAsia"/>
                <w:bCs/>
                <w:color w:val="auto"/>
                <w:sz w:val="24"/>
                <w:szCs w:val="20"/>
              </w:rPr>
              <w:t>项目地点位于城市建成区，周围社会依托条件较好，施工人员就近租用民房和辅助生活设施，员工生活污水依托附近的排水设施</w:t>
            </w:r>
            <w:r>
              <w:rPr>
                <w:rFonts w:hint="eastAsia"/>
                <w:bCs/>
                <w:color w:val="auto"/>
                <w:sz w:val="24"/>
              </w:rPr>
              <w:t>，对周围水环境影响不大。</w:t>
            </w:r>
          </w:p>
          <w:p>
            <w:pPr>
              <w:spacing w:line="360" w:lineRule="auto"/>
              <w:ind w:firstLine="480" w:firstLineChars="200"/>
              <w:rPr>
                <w:bCs/>
                <w:color w:val="auto"/>
                <w:sz w:val="24"/>
              </w:rPr>
            </w:pPr>
            <w:r>
              <w:rPr>
                <w:rFonts w:hint="eastAsia"/>
                <w:bCs/>
                <w:color w:val="auto"/>
                <w:sz w:val="24"/>
              </w:rPr>
              <w:t>③声环境影响</w:t>
            </w:r>
          </w:p>
          <w:p>
            <w:pPr>
              <w:spacing w:line="360" w:lineRule="auto"/>
              <w:ind w:firstLine="480" w:firstLineChars="200"/>
              <w:rPr>
                <w:bCs/>
                <w:color w:val="auto"/>
                <w:sz w:val="24"/>
              </w:rPr>
            </w:pPr>
            <w:r>
              <w:rPr>
                <w:rFonts w:hint="eastAsia"/>
                <w:bCs/>
                <w:color w:val="auto"/>
                <w:sz w:val="24"/>
              </w:rPr>
              <w:t>施工噪声主要来源于施工现场各类机械设备运作时的机械噪声和物料运输的交通噪声。为减小对周围环境敏感点的影响，设施工单位应采取一定的预防措施，包括：加强环境保护部门的管理、监督作用；合理安排施工时间；合理布置施工现场；降低设备声级；减少人为噪声；建立临时声屏障；减少交通噪声等。</w:t>
            </w:r>
          </w:p>
          <w:p>
            <w:pPr>
              <w:spacing w:line="360" w:lineRule="auto"/>
              <w:ind w:firstLine="480" w:firstLineChars="200"/>
              <w:rPr>
                <w:bCs/>
                <w:color w:val="auto"/>
                <w:sz w:val="24"/>
              </w:rPr>
            </w:pPr>
            <w:r>
              <w:rPr>
                <w:rFonts w:hint="eastAsia"/>
                <w:bCs/>
                <w:color w:val="auto"/>
                <w:sz w:val="24"/>
              </w:rPr>
              <w:t>④固体废物影响</w:t>
            </w:r>
          </w:p>
          <w:p>
            <w:pPr>
              <w:spacing w:line="360" w:lineRule="auto"/>
              <w:ind w:firstLine="480" w:firstLineChars="200"/>
              <w:rPr>
                <w:color w:val="auto"/>
                <w:sz w:val="24"/>
              </w:rPr>
            </w:pPr>
            <w:r>
              <w:rPr>
                <w:color w:val="auto"/>
                <w:sz w:val="24"/>
              </w:rPr>
              <w:t>施工期固废主要为施工工程产生的弃土、</w:t>
            </w:r>
            <w:r>
              <w:rPr>
                <w:rFonts w:hint="eastAsia"/>
                <w:color w:val="auto"/>
                <w:sz w:val="24"/>
              </w:rPr>
              <w:t>建筑</w:t>
            </w:r>
            <w:r>
              <w:rPr>
                <w:color w:val="auto"/>
                <w:sz w:val="24"/>
              </w:rPr>
              <w:t>垃圾及</w:t>
            </w:r>
            <w:r>
              <w:rPr>
                <w:bCs/>
                <w:color w:val="auto"/>
                <w:sz w:val="24"/>
                <w:szCs w:val="20"/>
              </w:rPr>
              <w:t>工人</w:t>
            </w:r>
            <w:r>
              <w:rPr>
                <w:color w:val="auto"/>
                <w:sz w:val="24"/>
              </w:rPr>
              <w:t>生活垃圾。本项目弃方</w:t>
            </w:r>
            <w:r>
              <w:rPr>
                <w:rFonts w:hint="eastAsia"/>
                <w:color w:val="auto"/>
                <w:sz w:val="24"/>
              </w:rPr>
              <w:t>量</w:t>
            </w:r>
            <w:r>
              <w:rPr>
                <w:color w:val="auto"/>
                <w:kern w:val="0"/>
                <w:sz w:val="24"/>
              </w:rPr>
              <w:t>2581</w:t>
            </w:r>
            <w:r>
              <w:rPr>
                <w:color w:val="auto"/>
                <w:sz w:val="24"/>
              </w:rPr>
              <w:t>m</w:t>
            </w:r>
            <w:r>
              <w:rPr>
                <w:color w:val="auto"/>
                <w:sz w:val="24"/>
                <w:vertAlign w:val="superscript"/>
              </w:rPr>
              <w:t>3</w:t>
            </w:r>
            <w:r>
              <w:rPr>
                <w:rFonts w:hint="eastAsia"/>
                <w:color w:val="auto"/>
                <w:sz w:val="24"/>
              </w:rPr>
              <w:t>，运往政府指定的余泥渣土受纳点处理</w:t>
            </w:r>
            <w:r>
              <w:rPr>
                <w:color w:val="auto"/>
                <w:sz w:val="24"/>
              </w:rPr>
              <w:t>。</w:t>
            </w:r>
          </w:p>
          <w:p>
            <w:pPr>
              <w:spacing w:line="360" w:lineRule="auto"/>
              <w:ind w:right="162" w:rightChars="77" w:firstLine="480" w:firstLineChars="200"/>
              <w:rPr>
                <w:color w:val="auto"/>
                <w:sz w:val="24"/>
              </w:rPr>
            </w:pPr>
            <w:r>
              <w:rPr>
                <w:color w:val="auto"/>
                <w:sz w:val="24"/>
              </w:rPr>
              <w:t>在进行主体工程和装饰工程时会产生废弃钢材、木材弃料和建材包装袋等建筑垃圾。建筑垃圾产生量共约0.296t。同时，</w:t>
            </w:r>
            <w:r>
              <w:rPr>
                <w:rFonts w:hint="eastAsia"/>
                <w:color w:val="auto"/>
                <w:sz w:val="24"/>
              </w:rPr>
              <w:t>供水管道</w:t>
            </w:r>
            <w:r>
              <w:rPr>
                <w:color w:val="auto"/>
                <w:sz w:val="24"/>
              </w:rPr>
              <w:t>施工过程还会产生废管材</w:t>
            </w:r>
            <w:r>
              <w:rPr>
                <w:rFonts w:hint="eastAsia"/>
                <w:color w:val="auto"/>
                <w:sz w:val="24"/>
              </w:rPr>
              <w:t>、废金属零件</w:t>
            </w:r>
            <w:r>
              <w:rPr>
                <w:color w:val="auto"/>
                <w:sz w:val="24"/>
              </w:rPr>
              <w:t>等</w:t>
            </w:r>
            <w:r>
              <w:rPr>
                <w:rFonts w:hint="eastAsia"/>
                <w:color w:val="auto"/>
                <w:sz w:val="24"/>
              </w:rPr>
              <w:t>施工</w:t>
            </w:r>
            <w:r>
              <w:rPr>
                <w:color w:val="auto"/>
                <w:sz w:val="24"/>
              </w:rPr>
              <w:t>垃圾，</w:t>
            </w:r>
            <w:r>
              <w:rPr>
                <w:rFonts w:hint="eastAsia"/>
                <w:color w:val="auto"/>
                <w:sz w:val="24"/>
              </w:rPr>
              <w:t>均属于一般固体废物，产生量约</w:t>
            </w:r>
            <w:r>
              <w:rPr>
                <w:color w:val="auto"/>
                <w:sz w:val="24"/>
              </w:rPr>
              <w:t>2.5t。</w:t>
            </w:r>
          </w:p>
          <w:p>
            <w:pPr>
              <w:spacing w:line="360" w:lineRule="auto"/>
              <w:ind w:right="162" w:rightChars="77" w:firstLine="480" w:firstLineChars="200"/>
              <w:rPr>
                <w:color w:val="auto"/>
                <w:sz w:val="24"/>
              </w:rPr>
            </w:pPr>
            <w:r>
              <w:rPr>
                <w:color w:val="auto"/>
                <w:sz w:val="24"/>
              </w:rPr>
              <w:t>施工产生的废料首先应考虑回收利用，对钢筋、钢板、木材等下角料可分类回收，交废物收购站处理；对不能回收的建筑垃圾，如混凝土废料、含砖、石、砂的杂土等应集中堆放，定时清运到指定建筑垃圾处置地点。为确保废弃物处置措施有效落实，建设单位在与建筑垃圾清运公司签订清运合同时，应要求建筑垃圾清运公司提供废弃物去向的证明材料，严禁随意倾倒、填埋，造成二次污染。</w:t>
            </w:r>
          </w:p>
          <w:p>
            <w:pPr>
              <w:spacing w:line="360" w:lineRule="auto"/>
              <w:ind w:firstLine="480" w:firstLineChars="200"/>
              <w:rPr>
                <w:bCs/>
                <w:color w:val="auto"/>
                <w:sz w:val="24"/>
              </w:rPr>
            </w:pPr>
            <w:r>
              <w:rPr>
                <w:color w:val="auto"/>
                <w:sz w:val="24"/>
              </w:rPr>
              <w:t>施工人员生活垃圾量约4.5</w:t>
            </w:r>
            <w:r>
              <w:rPr>
                <w:rFonts w:hint="eastAsia"/>
                <w:color w:val="auto"/>
                <w:sz w:val="24"/>
              </w:rPr>
              <w:t>t，收集后交由环卫部门统一清运处理。</w:t>
            </w:r>
          </w:p>
          <w:p>
            <w:pPr>
              <w:spacing w:line="360" w:lineRule="auto"/>
              <w:ind w:firstLine="480" w:firstLineChars="200"/>
              <w:rPr>
                <w:bCs/>
                <w:color w:val="auto"/>
                <w:sz w:val="24"/>
              </w:rPr>
            </w:pPr>
            <w:r>
              <w:rPr>
                <w:color w:val="auto"/>
                <w:sz w:val="24"/>
              </w:rPr>
              <w:t>环评要求施工单位严格采取上述固废处置措施，确保施工期固废得到资源化处置和清洁处理，不造成二次污染。</w:t>
            </w:r>
            <w:r>
              <w:rPr>
                <w:rFonts w:hint="eastAsia"/>
                <w:bCs/>
                <w:color w:val="auto"/>
                <w:sz w:val="24"/>
              </w:rPr>
              <w:t>由于施工期的环境影响是暂时的，通过加强对施工现场的管理，文明施工该阶段对环境的影响可控制到最小。随施工的结束，施工期的影响也将随之消失。</w:t>
            </w:r>
          </w:p>
          <w:p>
            <w:pPr>
              <w:spacing w:line="360" w:lineRule="auto"/>
              <w:ind w:firstLine="480" w:firstLineChars="200"/>
              <w:rPr>
                <w:bCs/>
                <w:color w:val="auto"/>
                <w:sz w:val="24"/>
              </w:rPr>
            </w:pPr>
            <w:r>
              <w:rPr>
                <w:bCs/>
                <w:color w:val="auto"/>
                <w:sz w:val="24"/>
              </w:rPr>
              <w:t>2</w:t>
            </w:r>
            <w:r>
              <w:rPr>
                <w:rFonts w:hint="eastAsia"/>
                <w:bCs/>
                <w:color w:val="auto"/>
                <w:sz w:val="24"/>
              </w:rPr>
              <w:t>、运营期</w:t>
            </w:r>
          </w:p>
          <w:p>
            <w:pPr>
              <w:spacing w:line="360" w:lineRule="auto"/>
              <w:ind w:firstLine="480" w:firstLineChars="200"/>
              <w:rPr>
                <w:bCs/>
                <w:color w:val="auto"/>
                <w:sz w:val="24"/>
              </w:rPr>
            </w:pPr>
            <w:r>
              <w:rPr>
                <w:rFonts w:hint="eastAsia"/>
                <w:bCs/>
                <w:color w:val="auto"/>
                <w:sz w:val="24"/>
              </w:rPr>
              <w:t>本项目为加压泵站和供水管网铺设工程，运营期供水管道埋于地下，且本身属于洁净的自来水供应输送，一般情况下不会产生对外环境的污染影响。建设单位在施工前应该重视管材的质量，选用优质管材，减少管材破裂的几率，做好管线周边的防渗工程，同时，运营期间应加强对管线的巡查，一旦发现下渗或漫溢现象，及时进行抢修，将项目潜在对环境不利的影响降到最低。</w:t>
            </w:r>
          </w:p>
          <w:p>
            <w:pPr>
              <w:pStyle w:val="3"/>
              <w:snapToGrid w:val="0"/>
              <w:spacing w:before="0" w:after="0" w:line="360" w:lineRule="auto"/>
              <w:ind w:firstLine="480" w:firstLineChars="200"/>
              <w:rPr>
                <w:rFonts w:ascii="Times New Roman" w:hAnsi="Times New Roman" w:eastAsia="宋体"/>
                <w:b w:val="0"/>
                <w:bCs/>
                <w:color w:val="auto"/>
                <w:szCs w:val="24"/>
              </w:rPr>
            </w:pPr>
            <w:r>
              <w:rPr>
                <w:rFonts w:hint="eastAsia" w:ascii="Times New Roman" w:hAnsi="Times New Roman" w:eastAsia="宋体"/>
                <w:b w:val="0"/>
                <w:bCs/>
                <w:color w:val="auto"/>
                <w:szCs w:val="24"/>
              </w:rPr>
              <w:t>加压泵站在运营过程中不产生废水、废气和固体废物污染，主要污染是泵房内的水泵在运行过程中产生的噪声污染。此外，加压泵站内不设置办公室，仅设置一个值班室，由1名运维人员在工作中会产生少量的生活污水和生活垃圾。生活污水经三级化粪池处理达到《农田灌溉水质标准》（GB</w:t>
            </w:r>
            <w:r>
              <w:rPr>
                <w:rFonts w:ascii="Times New Roman" w:hAnsi="Times New Roman" w:eastAsia="宋体"/>
                <w:b w:val="0"/>
                <w:bCs/>
                <w:color w:val="auto"/>
                <w:szCs w:val="24"/>
              </w:rPr>
              <w:t>5084-2005</w:t>
            </w:r>
            <w:r>
              <w:rPr>
                <w:rFonts w:hint="eastAsia" w:ascii="Times New Roman" w:hAnsi="Times New Roman" w:eastAsia="宋体"/>
                <w:b w:val="0"/>
                <w:bCs/>
                <w:color w:val="auto"/>
                <w:szCs w:val="24"/>
              </w:rPr>
              <w:t>）旱作标准后回用于绿化浇灌，生活垃圾产生量为</w:t>
            </w:r>
            <w:r>
              <w:rPr>
                <w:rFonts w:ascii="Times New Roman" w:hAnsi="Times New Roman" w:eastAsia="宋体"/>
                <w:b w:val="0"/>
                <w:bCs/>
                <w:color w:val="auto"/>
                <w:szCs w:val="24"/>
              </w:rPr>
              <w:t>0.18</w:t>
            </w:r>
            <w:r>
              <w:rPr>
                <w:rFonts w:hint="eastAsia" w:ascii="Times New Roman" w:hAnsi="Times New Roman" w:eastAsia="宋体"/>
                <w:b w:val="0"/>
                <w:bCs/>
                <w:color w:val="auto"/>
                <w:szCs w:val="24"/>
              </w:rPr>
              <w:t>t/a，收集后交由环卫部门统一处置。</w:t>
            </w:r>
          </w:p>
          <w:p>
            <w:pPr>
              <w:spacing w:line="360" w:lineRule="auto"/>
              <w:ind w:firstLine="480" w:firstLineChars="200"/>
              <w:rPr>
                <w:color w:val="auto"/>
                <w:sz w:val="24"/>
              </w:rPr>
            </w:pPr>
            <w:r>
              <w:rPr>
                <w:rFonts w:hint="eastAsia"/>
                <w:color w:val="auto"/>
                <w:sz w:val="24"/>
              </w:rPr>
              <w:t>本项目运营期主要污染为加压泵站在运行过程中产生的设备噪声对周边敏感点造成的影响，经噪声预测，加压泵站对西面居民点（梅江碧桂园小区）的日间和夜间噪声贡献叠加现状值后，居民点噪声值分别在5</w:t>
            </w:r>
            <w:r>
              <w:rPr>
                <w:color w:val="auto"/>
                <w:sz w:val="24"/>
              </w:rPr>
              <w:t>8.5dB(A)</w:t>
            </w:r>
            <w:r>
              <w:rPr>
                <w:rFonts w:hint="eastAsia"/>
                <w:color w:val="auto"/>
                <w:sz w:val="24"/>
              </w:rPr>
              <w:t>和</w:t>
            </w:r>
            <w:r>
              <w:rPr>
                <w:color w:val="auto"/>
                <w:sz w:val="24"/>
              </w:rPr>
              <w:t>50dB(A)</w:t>
            </w:r>
            <w:r>
              <w:rPr>
                <w:rFonts w:hint="eastAsia"/>
                <w:color w:val="auto"/>
                <w:sz w:val="24"/>
              </w:rPr>
              <w:t>以下，能够满足《声环境质量标准》（GB3096-2008）</w:t>
            </w:r>
            <w:r>
              <w:rPr>
                <w:color w:val="auto"/>
                <w:sz w:val="24"/>
              </w:rPr>
              <w:t>2</w:t>
            </w:r>
            <w:r>
              <w:rPr>
                <w:rFonts w:hint="eastAsia"/>
                <w:color w:val="auto"/>
                <w:sz w:val="24"/>
              </w:rPr>
              <w:t>类标准（昼间&lt;</w:t>
            </w:r>
            <w:r>
              <w:rPr>
                <w:color w:val="auto"/>
                <w:sz w:val="24"/>
              </w:rPr>
              <w:t>60dB(A)</w:t>
            </w:r>
            <w:r>
              <w:rPr>
                <w:rFonts w:hint="eastAsia"/>
                <w:color w:val="auto"/>
                <w:sz w:val="24"/>
              </w:rPr>
              <w:t>，夜间&lt;</w:t>
            </w:r>
            <w:r>
              <w:rPr>
                <w:color w:val="auto"/>
                <w:sz w:val="24"/>
              </w:rPr>
              <w:t>50dB(A)</w:t>
            </w:r>
            <w:r>
              <w:rPr>
                <w:rFonts w:hint="eastAsia"/>
                <w:color w:val="auto"/>
                <w:sz w:val="24"/>
              </w:rPr>
              <w:t>）要求。</w:t>
            </w:r>
          </w:p>
          <w:p>
            <w:pPr>
              <w:spacing w:line="360" w:lineRule="auto"/>
              <w:ind w:firstLine="480" w:firstLineChars="200"/>
              <w:rPr>
                <w:color w:val="auto"/>
              </w:rPr>
            </w:pPr>
            <w:r>
              <w:rPr>
                <w:bCs/>
                <w:color w:val="auto"/>
                <w:sz w:val="24"/>
              </w:rPr>
              <w:t>为确保</w:t>
            </w:r>
            <w:r>
              <w:rPr>
                <w:rFonts w:hint="eastAsia"/>
                <w:bCs/>
                <w:color w:val="auto"/>
                <w:sz w:val="24"/>
              </w:rPr>
              <w:t>泵站边</w:t>
            </w:r>
            <w:r>
              <w:rPr>
                <w:bCs/>
                <w:color w:val="auto"/>
                <w:sz w:val="24"/>
              </w:rPr>
              <w:t>界的噪声达标排放，</w:t>
            </w:r>
            <w:r>
              <w:rPr>
                <w:rFonts w:hint="eastAsia"/>
                <w:bCs/>
                <w:color w:val="auto"/>
                <w:sz w:val="24"/>
              </w:rPr>
              <w:t>建设单位拟采取</w:t>
            </w:r>
            <w:r>
              <w:rPr>
                <w:bCs/>
                <w:color w:val="auto"/>
                <w:sz w:val="24"/>
              </w:rPr>
              <w:t>以下措施：</w:t>
            </w:r>
          </w:p>
          <w:p>
            <w:pPr>
              <w:spacing w:line="360" w:lineRule="auto"/>
              <w:ind w:firstLine="480" w:firstLineChars="200"/>
              <w:rPr>
                <w:color w:val="auto"/>
                <w:lang w:val="zh-CN"/>
              </w:rPr>
            </w:pPr>
            <w:r>
              <w:rPr>
                <w:rFonts w:hint="eastAsia" w:cs="宋体"/>
                <w:bCs/>
                <w:color w:val="auto"/>
                <w:sz w:val="24"/>
              </w:rPr>
              <w:t>①</w:t>
            </w:r>
            <w:r>
              <w:rPr>
                <w:bCs/>
                <w:color w:val="auto"/>
                <w:sz w:val="24"/>
              </w:rPr>
              <w:t>选用先进的低噪声设备，对高噪声设备</w:t>
            </w:r>
            <w:r>
              <w:rPr>
                <w:bCs/>
                <w:color w:val="auto"/>
                <w:sz w:val="24"/>
                <w:lang w:val="zh-CN"/>
              </w:rPr>
              <w:t>安装消声器，底部设防振垫</w:t>
            </w:r>
            <w:r>
              <w:rPr>
                <w:color w:val="auto"/>
                <w:kern w:val="0"/>
                <w:sz w:val="24"/>
              </w:rPr>
              <w:t>；</w:t>
            </w:r>
            <w:r>
              <w:rPr>
                <w:bCs/>
                <w:color w:val="auto"/>
                <w:sz w:val="24"/>
              </w:rPr>
              <w:t>建立设备定期维护、保养的管理制度，</w:t>
            </w:r>
            <w:r>
              <w:rPr>
                <w:color w:val="auto"/>
                <w:kern w:val="0"/>
                <w:sz w:val="24"/>
              </w:rPr>
              <w:t>加强设备维护保养，及时淘汰破旧设备，减少设备非正常运行噪声。员工佩戴耳罩等防护用品，减少噪声对员工身体健康的影响</w:t>
            </w:r>
            <w:r>
              <w:rPr>
                <w:bCs/>
                <w:color w:val="auto"/>
                <w:sz w:val="24"/>
                <w:lang w:val="zh-CN"/>
              </w:rPr>
              <w:t>。</w:t>
            </w:r>
          </w:p>
          <w:p>
            <w:pPr>
              <w:spacing w:line="360" w:lineRule="auto"/>
              <w:ind w:firstLine="480" w:firstLineChars="200"/>
              <w:rPr>
                <w:color w:val="auto"/>
                <w:lang w:val="zh-CN"/>
              </w:rPr>
            </w:pPr>
            <w:r>
              <w:rPr>
                <w:rFonts w:hint="eastAsia" w:cs="宋体"/>
                <w:bCs/>
                <w:color w:val="auto"/>
                <w:sz w:val="24"/>
              </w:rPr>
              <w:t>②</w:t>
            </w:r>
            <w:r>
              <w:rPr>
                <w:color w:val="auto"/>
                <w:kern w:val="0"/>
                <w:sz w:val="24"/>
              </w:rPr>
              <w:t>合理布局生产设备，同时项目位置四周建设围墙，并于内部加强绿化，墙体、植被具有一定的隔声作用。</w:t>
            </w:r>
          </w:p>
          <w:p>
            <w:pPr>
              <w:adjustRightInd w:val="0"/>
              <w:snapToGrid w:val="0"/>
              <w:spacing w:line="360" w:lineRule="auto"/>
              <w:ind w:firstLine="480" w:firstLineChars="200"/>
              <w:rPr>
                <w:color w:val="auto"/>
              </w:rPr>
            </w:pPr>
            <w:r>
              <w:rPr>
                <w:rFonts w:hint="eastAsia" w:cs="宋体"/>
                <w:bCs/>
                <w:color w:val="auto"/>
                <w:sz w:val="24"/>
              </w:rPr>
              <w:t>③</w:t>
            </w:r>
            <w:r>
              <w:rPr>
                <w:bCs/>
                <w:color w:val="auto"/>
                <w:sz w:val="24"/>
              </w:rPr>
              <w:t>加强职工环</w:t>
            </w:r>
            <w:r>
              <w:rPr>
                <w:rFonts w:hint="eastAsia" w:cs="宋体"/>
                <w:bCs/>
                <w:color w:val="auto"/>
                <w:sz w:val="24"/>
              </w:rPr>
              <w:t>保意识教育，提倡文明生产，防止人为噪声；强化行车管理制度，设置降噪标准，严禁鸣号，进入场区低速行驶，最大限度减少流动噪声源。</w:t>
            </w:r>
          </w:p>
          <w:p>
            <w:pPr>
              <w:spacing w:line="360" w:lineRule="auto"/>
              <w:ind w:firstLine="480" w:firstLineChars="200"/>
              <w:rPr>
                <w:bCs/>
                <w:color w:val="auto"/>
                <w:sz w:val="24"/>
              </w:rPr>
            </w:pPr>
            <w:r>
              <w:rPr>
                <w:rFonts w:hint="eastAsia" w:cs="宋体"/>
                <w:bCs/>
                <w:color w:val="auto"/>
                <w:sz w:val="24"/>
              </w:rPr>
              <w:t>通过以上降噪措施处理后，使噪声对厂区环境和厂界外环境的污染影响减至最小并控制在《工业企业厂界环境噪声排放标准》（</w:t>
            </w:r>
            <w:r>
              <w:rPr>
                <w:bCs/>
                <w:color w:val="auto"/>
                <w:sz w:val="24"/>
              </w:rPr>
              <w:t>GB12348-2008</w:t>
            </w:r>
            <w:r>
              <w:rPr>
                <w:rFonts w:hint="eastAsia" w:cs="宋体"/>
                <w:bCs/>
                <w:color w:val="auto"/>
                <w:sz w:val="24"/>
              </w:rPr>
              <w:t>）</w:t>
            </w:r>
            <w:r>
              <w:rPr>
                <w:rFonts w:hint="eastAsia"/>
                <w:bCs/>
                <w:color w:val="auto"/>
                <w:sz w:val="24"/>
              </w:rPr>
              <w:t>2，4类</w:t>
            </w:r>
            <w:r>
              <w:rPr>
                <w:rFonts w:hint="eastAsia" w:cs="宋体"/>
                <w:bCs/>
                <w:color w:val="auto"/>
                <w:sz w:val="24"/>
              </w:rPr>
              <w:t>标准限值。</w:t>
            </w:r>
          </w:p>
          <w:bookmarkEnd w:id="18"/>
          <w:p>
            <w:pPr>
              <w:adjustRightInd w:val="0"/>
              <w:snapToGrid w:val="0"/>
              <w:spacing w:line="360" w:lineRule="auto"/>
              <w:ind w:firstLine="482" w:firstLineChars="200"/>
              <w:rPr>
                <w:b/>
                <w:bCs/>
                <w:color w:val="auto"/>
                <w:sz w:val="24"/>
              </w:rPr>
            </w:pPr>
            <w:r>
              <w:rPr>
                <w:rFonts w:hint="eastAsia"/>
                <w:b/>
                <w:bCs/>
                <w:color w:val="auto"/>
                <w:sz w:val="24"/>
              </w:rPr>
              <w:t>3</w:t>
            </w:r>
            <w:r>
              <w:rPr>
                <w:b/>
                <w:bCs/>
                <w:color w:val="auto"/>
                <w:sz w:val="24"/>
              </w:rPr>
              <w:t>、项目选址可行性结论</w:t>
            </w:r>
          </w:p>
          <w:p>
            <w:pPr>
              <w:spacing w:line="360" w:lineRule="auto"/>
              <w:ind w:firstLine="420" w:firstLineChars="175"/>
              <w:rPr>
                <w:rFonts w:ascii="宋体" w:hAnsi="宋体"/>
                <w:color w:val="auto"/>
                <w:kern w:val="0"/>
                <w:sz w:val="24"/>
              </w:rPr>
            </w:pPr>
            <w:r>
              <w:rPr>
                <w:rFonts w:hint="eastAsia" w:ascii="宋体" w:hAnsi="宋体"/>
                <w:color w:val="auto"/>
                <w:kern w:val="0"/>
                <w:sz w:val="24"/>
              </w:rPr>
              <w:t>本项目加压泵站位于</w:t>
            </w:r>
            <w:r>
              <w:rPr>
                <w:rFonts w:hint="eastAsia"/>
                <w:color w:val="auto"/>
                <w:sz w:val="24"/>
              </w:rPr>
              <w:t>梅江区金山街道碧桂路旁，管道铺设由泵站沿G</w:t>
            </w:r>
            <w:r>
              <w:rPr>
                <w:color w:val="auto"/>
                <w:sz w:val="24"/>
              </w:rPr>
              <w:t>205</w:t>
            </w:r>
            <w:r>
              <w:rPr>
                <w:rFonts w:hint="eastAsia"/>
                <w:color w:val="auto"/>
                <w:sz w:val="24"/>
              </w:rPr>
              <w:t>国道自南向北至梅州监狱</w:t>
            </w:r>
            <w:r>
              <w:rPr>
                <w:color w:val="auto"/>
                <w:sz w:val="24"/>
              </w:rPr>
              <w:t>，</w:t>
            </w:r>
            <w:r>
              <w:rPr>
                <w:rFonts w:hint="eastAsia"/>
                <w:color w:val="auto"/>
                <w:sz w:val="24"/>
              </w:rPr>
              <w:t>供水范围包括梅江区和梅县区部分区域，选址</w:t>
            </w:r>
            <w:r>
              <w:rPr>
                <w:rFonts w:hint="eastAsia" w:ascii="宋体" w:hAnsi="宋体"/>
                <w:color w:val="auto"/>
                <w:kern w:val="0"/>
                <w:sz w:val="24"/>
              </w:rPr>
              <w:t>不在《梅州市环境保护规划（</w:t>
            </w:r>
            <w:r>
              <w:rPr>
                <w:rFonts w:hint="eastAsia" w:eastAsia="Times New Roman"/>
                <w:color w:val="auto"/>
                <w:kern w:val="0"/>
                <w:sz w:val="24"/>
              </w:rPr>
              <w:t>2007-2020</w:t>
            </w:r>
            <w:r>
              <w:rPr>
                <w:rFonts w:hint="eastAsia" w:eastAsia="Times New Roman"/>
                <w:color w:val="auto"/>
                <w:spacing w:val="-2"/>
                <w:kern w:val="0"/>
                <w:sz w:val="24"/>
              </w:rPr>
              <w:t xml:space="preserve"> </w:t>
            </w:r>
            <w:r>
              <w:rPr>
                <w:rFonts w:hint="eastAsia" w:ascii="宋体" w:hAnsi="宋体"/>
                <w:color w:val="auto"/>
                <w:kern w:val="0"/>
                <w:sz w:val="24"/>
              </w:rPr>
              <w:t>年）》划定的严格控制区内，</w:t>
            </w:r>
            <w:r>
              <w:rPr>
                <w:rFonts w:hint="eastAsia" w:ascii="宋体" w:hAnsi="宋体"/>
                <w:color w:val="auto"/>
                <w:spacing w:val="-6"/>
                <w:kern w:val="0"/>
                <w:sz w:val="24"/>
              </w:rPr>
              <w:t>符合梅州市生态功能区划要求。该选址不涉及自然保护区、风景名胜区、饮用水源保护区、</w:t>
            </w:r>
            <w:r>
              <w:rPr>
                <w:rFonts w:hint="eastAsia" w:ascii="宋体" w:hAnsi="宋体"/>
                <w:color w:val="auto"/>
                <w:spacing w:val="-109"/>
                <w:kern w:val="0"/>
                <w:sz w:val="24"/>
              </w:rPr>
              <w:t xml:space="preserve"> </w:t>
            </w:r>
            <w:r>
              <w:rPr>
                <w:rFonts w:hint="eastAsia" w:ascii="宋体" w:hAnsi="宋体"/>
                <w:color w:val="auto"/>
                <w:kern w:val="0"/>
                <w:sz w:val="24"/>
              </w:rPr>
              <w:t>基本农田保护区及其它需要特殊保护的敏感区域，</w:t>
            </w:r>
            <w:r>
              <w:rPr>
                <w:rFonts w:hint="eastAsia" w:ascii="宋体" w:hAnsi="宋体"/>
                <w:color w:val="auto"/>
                <w:spacing w:val="-3"/>
                <w:kern w:val="0"/>
                <w:sz w:val="24"/>
              </w:rPr>
              <w:t>项目区域为大气环境二类功能区，声环境为</w:t>
            </w:r>
            <w:r>
              <w:rPr>
                <w:rFonts w:eastAsia="Times New Roman"/>
                <w:color w:val="auto"/>
                <w:kern w:val="0"/>
                <w:sz w:val="24"/>
              </w:rPr>
              <w:t>2</w:t>
            </w:r>
            <w:r>
              <w:rPr>
                <w:rFonts w:hint="eastAsia" w:eastAsiaTheme="minorEastAsia"/>
                <w:color w:val="auto"/>
                <w:kern w:val="0"/>
                <w:sz w:val="24"/>
              </w:rPr>
              <w:t>，4a</w:t>
            </w:r>
            <w:r>
              <w:rPr>
                <w:rFonts w:hint="eastAsia" w:ascii="宋体" w:hAnsi="宋体" w:cs="宋体"/>
                <w:color w:val="auto"/>
                <w:kern w:val="0"/>
                <w:sz w:val="24"/>
              </w:rPr>
              <w:t>类</w:t>
            </w:r>
            <w:r>
              <w:rPr>
                <w:rFonts w:hint="eastAsia" w:ascii="宋体" w:hAnsi="宋体"/>
                <w:color w:val="auto"/>
                <w:spacing w:val="-6"/>
                <w:kern w:val="0"/>
                <w:sz w:val="24"/>
              </w:rPr>
              <w:t>功能区，本项</w:t>
            </w:r>
            <w:r>
              <w:rPr>
                <w:rFonts w:hint="eastAsia" w:ascii="宋体" w:hAnsi="宋体"/>
                <w:color w:val="auto"/>
                <w:spacing w:val="-107"/>
                <w:kern w:val="0"/>
                <w:sz w:val="24"/>
              </w:rPr>
              <w:t xml:space="preserve"> </w:t>
            </w:r>
            <w:r>
              <w:rPr>
                <w:rFonts w:hint="eastAsia" w:ascii="宋体" w:hAnsi="宋体"/>
                <w:color w:val="auto"/>
                <w:spacing w:val="-3"/>
                <w:kern w:val="0"/>
                <w:sz w:val="24"/>
              </w:rPr>
              <w:t>目在确保各种环保及安全措施得到落实和正常运作的情况下，不会改变区域的环境功能现</w:t>
            </w:r>
            <w:r>
              <w:rPr>
                <w:rFonts w:hint="eastAsia" w:ascii="宋体" w:hAnsi="宋体"/>
                <w:color w:val="auto"/>
                <w:spacing w:val="-111"/>
                <w:kern w:val="0"/>
                <w:sz w:val="24"/>
              </w:rPr>
              <w:t xml:space="preserve"> </w:t>
            </w:r>
            <w:r>
              <w:rPr>
                <w:rFonts w:hint="eastAsia" w:ascii="宋体" w:hAnsi="宋体"/>
                <w:color w:val="auto"/>
                <w:kern w:val="0"/>
                <w:sz w:val="24"/>
              </w:rPr>
              <w:t>状。因此，本项目选址是合理合法的。</w:t>
            </w:r>
          </w:p>
          <w:p>
            <w:pPr>
              <w:pStyle w:val="3"/>
              <w:snapToGrid w:val="0"/>
              <w:spacing w:before="0" w:after="0" w:line="360" w:lineRule="auto"/>
              <w:ind w:firstLine="482" w:firstLineChars="200"/>
              <w:rPr>
                <w:rFonts w:ascii="Times New Roman" w:hAnsi="Times New Roman" w:eastAsia="宋体"/>
                <w:color w:val="auto"/>
                <w:szCs w:val="24"/>
              </w:rPr>
            </w:pPr>
            <w:r>
              <w:rPr>
                <w:rFonts w:hint="eastAsia" w:ascii="Times New Roman" w:hAnsi="Times New Roman" w:eastAsia="宋体"/>
                <w:color w:val="auto"/>
                <w:szCs w:val="24"/>
              </w:rPr>
              <w:t>4</w:t>
            </w:r>
            <w:r>
              <w:rPr>
                <w:rFonts w:ascii="Times New Roman" w:hAnsi="Times New Roman" w:eastAsia="宋体"/>
                <w:color w:val="auto"/>
                <w:szCs w:val="24"/>
              </w:rPr>
              <w:t>、项目产业政策符合性结论</w:t>
            </w:r>
          </w:p>
          <w:p>
            <w:pPr>
              <w:spacing w:line="360" w:lineRule="auto"/>
              <w:ind w:firstLine="420" w:firstLineChars="175"/>
              <w:rPr>
                <w:rFonts w:ascii="宋体" w:hAnsi="宋体"/>
                <w:color w:val="auto"/>
                <w:kern w:val="0"/>
                <w:sz w:val="24"/>
              </w:rPr>
            </w:pPr>
            <w:r>
              <w:rPr>
                <w:color w:val="auto"/>
                <w:sz w:val="24"/>
              </w:rPr>
              <w:t>本项目</w:t>
            </w:r>
            <w:r>
              <w:rPr>
                <w:rFonts w:hint="eastAsia"/>
                <w:color w:val="auto"/>
                <w:sz w:val="24"/>
              </w:rPr>
              <w:t>属于自来水生产和供应行业</w:t>
            </w:r>
            <w:r>
              <w:rPr>
                <w:color w:val="auto"/>
                <w:sz w:val="24"/>
              </w:rPr>
              <w:t>，</w:t>
            </w:r>
            <w:r>
              <w:rPr>
                <w:rFonts w:hint="eastAsia" w:ascii="宋体" w:hAnsi="宋体"/>
                <w:color w:val="auto"/>
                <w:kern w:val="0"/>
                <w:sz w:val="24"/>
              </w:rPr>
              <w:t>依据《产业结构调整指导目录（</w:t>
            </w:r>
            <w:r>
              <w:rPr>
                <w:rFonts w:hint="eastAsia" w:eastAsia="Times New Roman"/>
                <w:color w:val="auto"/>
                <w:kern w:val="0"/>
                <w:sz w:val="24"/>
              </w:rPr>
              <w:t>2019</w:t>
            </w:r>
            <w:r>
              <w:rPr>
                <w:rFonts w:hint="eastAsia" w:ascii="宋体" w:hAnsi="宋体" w:cs="宋体"/>
                <w:color w:val="auto"/>
                <w:kern w:val="0"/>
                <w:sz w:val="24"/>
              </w:rPr>
              <w:t>年本</w:t>
            </w:r>
            <w:r>
              <w:rPr>
                <w:rFonts w:hint="eastAsia" w:ascii="宋体" w:hAnsi="宋体"/>
                <w:color w:val="auto"/>
                <w:kern w:val="0"/>
                <w:sz w:val="24"/>
              </w:rPr>
              <w:t>）》，本项目不属于限制类、淘汰类，</w:t>
            </w:r>
            <w:r>
              <w:rPr>
                <w:color w:val="auto"/>
                <w:kern w:val="0"/>
                <w:sz w:val="24"/>
              </w:rPr>
              <w:t>为允许类</w:t>
            </w:r>
            <w:r>
              <w:rPr>
                <w:rFonts w:hint="eastAsia"/>
                <w:color w:val="auto"/>
                <w:kern w:val="0"/>
                <w:sz w:val="24"/>
              </w:rPr>
              <w:t>；对照</w:t>
            </w:r>
            <w:r>
              <w:rPr>
                <w:color w:val="auto"/>
                <w:kern w:val="0"/>
                <w:sz w:val="24"/>
              </w:rPr>
              <w:t>《</w:t>
            </w:r>
            <w:r>
              <w:rPr>
                <w:rFonts w:hint="eastAsia"/>
                <w:color w:val="auto"/>
                <w:kern w:val="0"/>
                <w:sz w:val="24"/>
              </w:rPr>
              <w:t>市场</w:t>
            </w:r>
            <w:r>
              <w:rPr>
                <w:color w:val="auto"/>
                <w:kern w:val="0"/>
                <w:sz w:val="24"/>
              </w:rPr>
              <w:t>准入负面清单（</w:t>
            </w:r>
            <w:r>
              <w:rPr>
                <w:rFonts w:eastAsia="Times New Roman"/>
                <w:color w:val="auto"/>
                <w:kern w:val="0"/>
                <w:sz w:val="24"/>
              </w:rPr>
              <w:t>2019</w:t>
            </w:r>
            <w:r>
              <w:rPr>
                <w:color w:val="auto"/>
                <w:kern w:val="0"/>
                <w:sz w:val="24"/>
              </w:rPr>
              <w:t>年本）》</w:t>
            </w:r>
            <w:r>
              <w:rPr>
                <w:rFonts w:hint="eastAsia"/>
                <w:color w:val="auto"/>
                <w:kern w:val="0"/>
                <w:sz w:val="24"/>
              </w:rPr>
              <w:t>，本项目也不属于负面清单中禁止的项目，因此，本</w:t>
            </w:r>
            <w:r>
              <w:rPr>
                <w:color w:val="auto"/>
                <w:kern w:val="0"/>
                <w:sz w:val="24"/>
              </w:rPr>
              <w:t>项目建设符合国家有关法律、法规和政策规定</w:t>
            </w:r>
            <w:r>
              <w:rPr>
                <w:rFonts w:hint="eastAsia" w:ascii="宋体" w:hAnsi="宋体"/>
                <w:color w:val="auto"/>
                <w:kern w:val="0"/>
                <w:sz w:val="24"/>
              </w:rPr>
              <w:t>，符合国家及地方现行产业政策要求。</w:t>
            </w:r>
          </w:p>
          <w:p>
            <w:pPr>
              <w:adjustRightInd w:val="0"/>
              <w:snapToGrid w:val="0"/>
              <w:spacing w:line="360" w:lineRule="auto"/>
              <w:ind w:firstLine="482" w:firstLineChars="200"/>
              <w:rPr>
                <w:b/>
                <w:color w:val="auto"/>
                <w:sz w:val="24"/>
              </w:rPr>
            </w:pPr>
            <w:r>
              <w:rPr>
                <w:b/>
                <w:bCs/>
                <w:color w:val="auto"/>
                <w:sz w:val="24"/>
              </w:rPr>
              <w:t>四、</w:t>
            </w:r>
            <w:r>
              <w:rPr>
                <w:b/>
                <w:color w:val="auto"/>
                <w:sz w:val="24"/>
              </w:rPr>
              <w:t>总量控制结论</w:t>
            </w:r>
          </w:p>
          <w:p>
            <w:pPr>
              <w:adjustRightInd w:val="0"/>
              <w:snapToGrid w:val="0"/>
              <w:spacing w:line="360" w:lineRule="auto"/>
              <w:ind w:firstLine="480" w:firstLineChars="200"/>
              <w:rPr>
                <w:rFonts w:ascii="宋体" w:hAnsi="宋体" w:cs="宋体"/>
                <w:color w:val="auto"/>
                <w:sz w:val="24"/>
              </w:rPr>
            </w:pPr>
            <w:r>
              <w:rPr>
                <w:rFonts w:hint="eastAsia" w:ascii="宋体" w:hAnsi="宋体" w:cs="宋体"/>
                <w:color w:val="auto"/>
                <w:sz w:val="24"/>
              </w:rPr>
              <w:t>本项目属于加压泵站和市政供水管网建设工程，主要的环境影响发生在施工期阶段，营运期基本没有污染物产生，因此本项目不分配总量指标。</w:t>
            </w:r>
          </w:p>
          <w:p>
            <w:pPr>
              <w:adjustRightInd w:val="0"/>
              <w:snapToGrid w:val="0"/>
              <w:spacing w:line="360" w:lineRule="auto"/>
              <w:ind w:firstLine="482" w:firstLineChars="200"/>
              <w:rPr>
                <w:b/>
                <w:color w:val="auto"/>
                <w:sz w:val="24"/>
              </w:rPr>
            </w:pPr>
            <w:r>
              <w:rPr>
                <w:rFonts w:hint="eastAsia"/>
                <w:b/>
                <w:color w:val="auto"/>
                <w:sz w:val="24"/>
              </w:rPr>
              <w:t>五</w:t>
            </w:r>
            <w:r>
              <w:rPr>
                <w:b/>
                <w:color w:val="auto"/>
                <w:sz w:val="24"/>
              </w:rPr>
              <w:t xml:space="preserve">、综合结论 </w:t>
            </w:r>
          </w:p>
          <w:p>
            <w:pPr>
              <w:pStyle w:val="112"/>
              <w:spacing w:line="360" w:lineRule="auto"/>
              <w:ind w:left="0" w:right="0" w:firstLine="540" w:firstLineChars="225"/>
              <w:jc w:val="both"/>
              <w:rPr>
                <w:color w:val="auto"/>
              </w:rPr>
            </w:pPr>
            <w:r>
              <w:rPr>
                <w:color w:val="auto"/>
              </w:rPr>
              <w:t>通过上述分析，按现有报建功能和规模，项目有利于当地经济的发展，具有较好的经济和社会效益。本项目符合国家和地方产业政策，符合当地城市规划和环境保护规划，贯彻了“清洁生产、总量控制和达标排放”的原则，采取的“三废”治理措施经济技术可行、有效，工程实施后可满足当地环境质量要求。评价认为，在确保各项污染治理措施“三同时”和外排污染物达标的前提下，从环境保护角度而言本项目建设是可行的。</w:t>
            </w:r>
          </w:p>
          <w:p>
            <w:pPr>
              <w:adjustRightInd w:val="0"/>
              <w:snapToGrid w:val="0"/>
              <w:spacing w:line="360" w:lineRule="auto"/>
              <w:ind w:firstLine="482" w:firstLineChars="200"/>
              <w:rPr>
                <w:b/>
                <w:bCs/>
                <w:color w:val="auto"/>
                <w:sz w:val="24"/>
              </w:rPr>
            </w:pPr>
            <w:r>
              <w:rPr>
                <w:rFonts w:hint="eastAsia"/>
                <w:b/>
                <w:bCs/>
                <w:color w:val="auto"/>
                <w:sz w:val="24"/>
              </w:rPr>
              <w:t>六</w:t>
            </w:r>
            <w:r>
              <w:rPr>
                <w:b/>
                <w:bCs/>
                <w:color w:val="auto"/>
                <w:sz w:val="24"/>
              </w:rPr>
              <w:t>、建议</w:t>
            </w:r>
          </w:p>
          <w:p>
            <w:pPr>
              <w:spacing w:line="360" w:lineRule="auto"/>
              <w:ind w:firstLine="480" w:firstLineChars="200"/>
              <w:rPr>
                <w:color w:val="auto"/>
                <w:sz w:val="24"/>
              </w:rPr>
            </w:pPr>
            <w:r>
              <w:rPr>
                <w:color w:val="auto"/>
                <w:sz w:val="24"/>
              </w:rPr>
              <w:t>1、根据环评要求，落实“三废治理”费用，做到专款专用，项目实施后应保证足够的环保资金，确保污染防治措施有效地运行，保证污染物达标排放；</w:t>
            </w:r>
          </w:p>
          <w:p>
            <w:pPr>
              <w:spacing w:line="360" w:lineRule="auto"/>
              <w:ind w:firstLine="480" w:firstLineChars="200"/>
              <w:rPr>
                <w:color w:val="auto"/>
                <w:sz w:val="24"/>
              </w:rPr>
            </w:pPr>
            <w:r>
              <w:rPr>
                <w:color w:val="auto"/>
                <w:sz w:val="24"/>
              </w:rPr>
              <w:t>2、搞好</w:t>
            </w:r>
            <w:r>
              <w:rPr>
                <w:rFonts w:hint="eastAsia"/>
                <w:color w:val="auto"/>
                <w:sz w:val="24"/>
              </w:rPr>
              <w:t>场</w:t>
            </w:r>
            <w:r>
              <w:rPr>
                <w:color w:val="auto"/>
                <w:sz w:val="24"/>
              </w:rPr>
              <w:t>区的绿化、美化、净化工作；</w:t>
            </w:r>
          </w:p>
          <w:p>
            <w:pPr>
              <w:spacing w:line="360" w:lineRule="auto"/>
              <w:ind w:firstLine="480" w:firstLineChars="200"/>
              <w:rPr>
                <w:color w:val="auto"/>
                <w:sz w:val="24"/>
              </w:rPr>
            </w:pPr>
            <w:r>
              <w:rPr>
                <w:color w:val="auto"/>
                <w:sz w:val="24"/>
              </w:rPr>
              <w:t>3、今后若</w:t>
            </w:r>
            <w:r>
              <w:rPr>
                <w:rFonts w:hint="eastAsia"/>
                <w:color w:val="auto"/>
                <w:sz w:val="24"/>
              </w:rPr>
              <w:t>项目涉及重大变动情形</w:t>
            </w:r>
            <w:r>
              <w:rPr>
                <w:color w:val="auto"/>
                <w:sz w:val="24"/>
              </w:rPr>
              <w:t>，都必须重新进行环境影响评价，并</w:t>
            </w:r>
            <w:r>
              <w:rPr>
                <w:rFonts w:hint="eastAsia"/>
                <w:color w:val="auto"/>
                <w:sz w:val="24"/>
              </w:rPr>
              <w:t>经生态环境</w:t>
            </w:r>
            <w:r>
              <w:rPr>
                <w:color w:val="auto"/>
                <w:sz w:val="24"/>
              </w:rPr>
              <w:t>部门审批同意后方可实施。</w:t>
            </w:r>
          </w:p>
          <w:p>
            <w:pPr>
              <w:spacing w:line="360" w:lineRule="auto"/>
              <w:ind w:firstLine="480" w:firstLineChars="200"/>
              <w:rPr>
                <w:color w:val="auto"/>
                <w:sz w:val="24"/>
              </w:rPr>
            </w:pPr>
            <w:r>
              <w:rPr>
                <w:color w:val="auto"/>
                <w:sz w:val="24"/>
              </w:rPr>
              <w:t>4</w:t>
            </w:r>
            <w:r>
              <w:rPr>
                <w:rFonts w:hint="eastAsia"/>
                <w:color w:val="auto"/>
                <w:sz w:val="24"/>
              </w:rPr>
              <w:t>、建设项目竣工环境保护验收应当在建设项目竣工6个月内完成。建设项目环境保护设施需要调试的，验收可适当延期，但总期限最长不得超过9个月。</w:t>
            </w:r>
          </w:p>
          <w:p>
            <w:pPr>
              <w:spacing w:line="360" w:lineRule="auto"/>
              <w:ind w:firstLine="480" w:firstLineChars="200"/>
              <w:rPr>
                <w:color w:val="auto"/>
                <w:sz w:val="24"/>
              </w:rPr>
            </w:pPr>
            <w:r>
              <w:rPr>
                <w:color w:val="auto"/>
                <w:sz w:val="24"/>
              </w:rPr>
              <w:t>5</w:t>
            </w:r>
            <w:r>
              <w:rPr>
                <w:rFonts w:hint="eastAsia"/>
                <w:color w:val="auto"/>
                <w:sz w:val="24"/>
              </w:rPr>
              <w:t>、除按照国家规定需要保密的情形外，建设单位应当在出具验收合格的意见后5个工作日内，通过网站或者其他便于公众知悉的方式，依法向社会公开验收报告和验收意见，公开的期限不得少于1个月。验收报告公示期满后 5 个工作日内，建设单位应当登录全国建设项目竣工环境保护验收信息平台，填报建设项目基本信息、环境保护设施验收情况等相关信息，环境保护主管部门对上述信息予以公开。</w:t>
            </w:r>
          </w:p>
          <w:p>
            <w:pPr>
              <w:spacing w:line="360" w:lineRule="auto"/>
              <w:ind w:firstLine="480" w:firstLineChars="200"/>
              <w:rPr>
                <w:color w:val="auto"/>
                <w:sz w:val="24"/>
              </w:rPr>
            </w:pPr>
            <w:r>
              <w:rPr>
                <w:rFonts w:hint="eastAsia"/>
                <w:color w:val="auto"/>
                <w:sz w:val="24"/>
              </w:rPr>
              <w:t>建设单位应当将验收报告以及其他档案资料存档备查。</w:t>
            </w:r>
          </w:p>
        </w:tc>
      </w:tr>
    </w:tbl>
    <w:p>
      <w:pPr>
        <w:rPr>
          <w:color w:val="auto"/>
        </w:rPr>
        <w:sectPr>
          <w:footerReference r:id="rId6" w:type="default"/>
          <w:pgSz w:w="11907" w:h="16840"/>
          <w:pgMar w:top="1531" w:right="1134" w:bottom="1134" w:left="1418" w:header="907" w:footer="907" w:gutter="0"/>
          <w:cols w:space="720" w:num="1"/>
          <w:docGrid w:linePitch="326" w:charSpace="-4916"/>
        </w:sectPr>
      </w:pPr>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86" w:hRule="atLeast"/>
        </w:trPr>
        <w:tc>
          <w:tcPr>
            <w:tcW w:w="9288" w:type="dxa"/>
          </w:tcPr>
          <w:p>
            <w:pPr>
              <w:pStyle w:val="66"/>
              <w:spacing w:before="200" w:line="240" w:lineRule="auto"/>
              <w:ind w:firstLine="0"/>
              <w:rPr>
                <w:rFonts w:eastAsia="宋体"/>
                <w:color w:val="auto"/>
                <w:sz w:val="28"/>
              </w:rPr>
            </w:pPr>
            <w:r>
              <w:rPr>
                <w:rFonts w:eastAsia="宋体"/>
                <w:b/>
                <w:bCs/>
                <w:color w:val="auto"/>
                <w:sz w:val="28"/>
              </w:rPr>
              <w:t>预审意见：</w:t>
            </w:r>
          </w:p>
          <w:p>
            <w:pPr>
              <w:pStyle w:val="66"/>
              <w:spacing w:before="200" w:line="240" w:lineRule="auto"/>
              <w:ind w:firstLine="0"/>
              <w:rPr>
                <w:rFonts w:eastAsia="宋体"/>
                <w:color w:val="auto"/>
              </w:rPr>
            </w:pPr>
          </w:p>
          <w:p>
            <w:pPr>
              <w:pStyle w:val="66"/>
              <w:spacing w:before="200" w:line="240" w:lineRule="auto"/>
              <w:ind w:firstLine="0"/>
              <w:rPr>
                <w:rFonts w:eastAsia="宋体"/>
                <w:color w:val="auto"/>
              </w:rPr>
            </w:pPr>
          </w:p>
          <w:p>
            <w:pPr>
              <w:pStyle w:val="66"/>
              <w:spacing w:before="200" w:line="240" w:lineRule="auto"/>
              <w:ind w:firstLine="0"/>
              <w:rPr>
                <w:rFonts w:eastAsia="宋体"/>
                <w:color w:val="auto"/>
              </w:rPr>
            </w:pPr>
          </w:p>
          <w:p>
            <w:pPr>
              <w:pStyle w:val="66"/>
              <w:spacing w:before="200" w:line="240" w:lineRule="auto"/>
              <w:ind w:firstLine="0"/>
              <w:rPr>
                <w:rFonts w:eastAsia="宋体"/>
                <w:color w:val="auto"/>
              </w:rPr>
            </w:pPr>
          </w:p>
          <w:p>
            <w:pPr>
              <w:pStyle w:val="66"/>
              <w:spacing w:before="200" w:line="240" w:lineRule="auto"/>
              <w:ind w:firstLine="0"/>
              <w:rPr>
                <w:rFonts w:eastAsia="宋体"/>
                <w:color w:val="auto"/>
              </w:rPr>
            </w:pPr>
          </w:p>
          <w:p>
            <w:pPr>
              <w:pStyle w:val="66"/>
              <w:spacing w:before="200" w:line="240" w:lineRule="auto"/>
              <w:ind w:firstLine="0"/>
              <w:rPr>
                <w:rFonts w:eastAsia="宋体"/>
                <w:color w:val="auto"/>
              </w:rPr>
            </w:pPr>
          </w:p>
          <w:p>
            <w:pPr>
              <w:pStyle w:val="66"/>
              <w:spacing w:before="200" w:line="240" w:lineRule="auto"/>
              <w:ind w:firstLine="0"/>
              <w:rPr>
                <w:rFonts w:eastAsia="宋体"/>
                <w:color w:val="auto"/>
              </w:rPr>
            </w:pPr>
          </w:p>
          <w:p>
            <w:pPr>
              <w:pStyle w:val="66"/>
              <w:spacing w:before="200" w:line="240" w:lineRule="auto"/>
              <w:ind w:firstLine="0"/>
              <w:rPr>
                <w:rFonts w:eastAsia="宋体"/>
                <w:color w:val="auto"/>
              </w:rPr>
            </w:pPr>
          </w:p>
          <w:p>
            <w:pPr>
              <w:pStyle w:val="66"/>
              <w:spacing w:before="200" w:line="240" w:lineRule="auto"/>
              <w:ind w:firstLine="0"/>
              <w:rPr>
                <w:rFonts w:eastAsia="宋体"/>
                <w:color w:val="auto"/>
              </w:rPr>
            </w:pPr>
          </w:p>
          <w:p>
            <w:pPr>
              <w:pStyle w:val="66"/>
              <w:spacing w:before="200" w:line="240" w:lineRule="auto"/>
              <w:ind w:firstLine="0"/>
              <w:rPr>
                <w:rFonts w:eastAsia="宋体"/>
                <w:color w:val="auto"/>
              </w:rPr>
            </w:pPr>
          </w:p>
          <w:p>
            <w:pPr>
              <w:pStyle w:val="66"/>
              <w:spacing w:before="200" w:line="240" w:lineRule="auto"/>
              <w:ind w:firstLine="0"/>
              <w:rPr>
                <w:rFonts w:eastAsia="宋体"/>
                <w:color w:val="auto"/>
              </w:rPr>
            </w:pPr>
            <w:r>
              <w:rPr>
                <w:rFonts w:eastAsia="宋体"/>
                <w:color w:val="auto"/>
              </w:rPr>
              <w:t>　　　　　　　　　　　　　　　　　　　　　　　　　　　　　　　公　章</w:t>
            </w:r>
          </w:p>
          <w:p>
            <w:pPr>
              <w:pStyle w:val="66"/>
              <w:spacing w:before="200" w:line="240" w:lineRule="auto"/>
              <w:ind w:firstLine="0"/>
              <w:rPr>
                <w:rFonts w:eastAsia="宋体"/>
                <w:color w:val="auto"/>
              </w:rPr>
            </w:pPr>
            <w:r>
              <w:rPr>
                <w:rFonts w:eastAsia="宋体"/>
                <w:color w:val="auto"/>
              </w:rPr>
              <w:t>经办人：　　　　　　　　　　　　　　　　　　　　　　　　　  年　　月　　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1" w:hRule="atLeast"/>
        </w:trPr>
        <w:tc>
          <w:tcPr>
            <w:tcW w:w="9288" w:type="dxa"/>
          </w:tcPr>
          <w:p>
            <w:pPr>
              <w:pStyle w:val="66"/>
              <w:spacing w:before="200" w:line="240" w:lineRule="auto"/>
              <w:ind w:firstLine="0"/>
              <w:rPr>
                <w:rFonts w:eastAsia="宋体"/>
                <w:b/>
                <w:bCs/>
                <w:color w:val="auto"/>
                <w:sz w:val="28"/>
              </w:rPr>
            </w:pPr>
            <w:r>
              <w:rPr>
                <w:rFonts w:eastAsia="宋体"/>
                <w:b/>
                <w:bCs/>
                <w:color w:val="auto"/>
                <w:sz w:val="28"/>
              </w:rPr>
              <w:t>下一级环境保护行政主管部门审查意见</w:t>
            </w:r>
            <w:r>
              <w:rPr>
                <w:rFonts w:eastAsia="宋体"/>
                <w:color w:val="auto"/>
                <w:sz w:val="28"/>
              </w:rPr>
              <w:t>：</w:t>
            </w:r>
          </w:p>
          <w:p>
            <w:pPr>
              <w:pStyle w:val="66"/>
              <w:spacing w:before="200" w:line="240" w:lineRule="auto"/>
              <w:ind w:firstLine="0"/>
              <w:rPr>
                <w:rFonts w:eastAsia="宋体"/>
                <w:color w:val="auto"/>
              </w:rPr>
            </w:pPr>
          </w:p>
          <w:p>
            <w:pPr>
              <w:pStyle w:val="66"/>
              <w:spacing w:before="200" w:line="240" w:lineRule="auto"/>
              <w:ind w:firstLine="0"/>
              <w:rPr>
                <w:rFonts w:eastAsia="宋体"/>
                <w:color w:val="auto"/>
              </w:rPr>
            </w:pPr>
          </w:p>
          <w:p>
            <w:pPr>
              <w:pStyle w:val="66"/>
              <w:spacing w:before="200" w:line="240" w:lineRule="auto"/>
              <w:ind w:firstLine="0"/>
              <w:rPr>
                <w:rFonts w:eastAsia="宋体"/>
                <w:color w:val="auto"/>
              </w:rPr>
            </w:pPr>
          </w:p>
          <w:p>
            <w:pPr>
              <w:pStyle w:val="66"/>
              <w:spacing w:before="200" w:line="240" w:lineRule="auto"/>
              <w:ind w:firstLine="0"/>
              <w:rPr>
                <w:rFonts w:eastAsia="宋体"/>
                <w:color w:val="auto"/>
              </w:rPr>
            </w:pPr>
          </w:p>
          <w:p>
            <w:pPr>
              <w:pStyle w:val="66"/>
              <w:spacing w:before="200" w:line="240" w:lineRule="auto"/>
              <w:ind w:firstLine="0"/>
              <w:rPr>
                <w:rFonts w:eastAsia="宋体"/>
                <w:color w:val="auto"/>
              </w:rPr>
            </w:pPr>
          </w:p>
          <w:p>
            <w:pPr>
              <w:pStyle w:val="66"/>
              <w:spacing w:before="200" w:line="240" w:lineRule="auto"/>
              <w:ind w:firstLine="0"/>
              <w:rPr>
                <w:rFonts w:eastAsia="宋体"/>
                <w:color w:val="auto"/>
              </w:rPr>
            </w:pPr>
          </w:p>
          <w:p>
            <w:pPr>
              <w:pStyle w:val="66"/>
              <w:spacing w:before="200" w:line="240" w:lineRule="auto"/>
              <w:ind w:firstLine="0"/>
              <w:rPr>
                <w:rFonts w:eastAsia="宋体"/>
                <w:color w:val="auto"/>
              </w:rPr>
            </w:pPr>
          </w:p>
          <w:p>
            <w:pPr>
              <w:pStyle w:val="66"/>
              <w:spacing w:before="200" w:line="240" w:lineRule="auto"/>
              <w:ind w:firstLine="0"/>
              <w:rPr>
                <w:rFonts w:eastAsia="宋体"/>
                <w:color w:val="auto"/>
              </w:rPr>
            </w:pPr>
          </w:p>
          <w:p>
            <w:pPr>
              <w:pStyle w:val="66"/>
              <w:spacing w:before="200" w:line="240" w:lineRule="auto"/>
              <w:ind w:firstLine="0"/>
              <w:rPr>
                <w:rFonts w:eastAsia="宋体"/>
                <w:color w:val="auto"/>
              </w:rPr>
            </w:pPr>
          </w:p>
          <w:p>
            <w:pPr>
              <w:pStyle w:val="66"/>
              <w:spacing w:before="200" w:line="240" w:lineRule="auto"/>
              <w:ind w:firstLine="0"/>
              <w:rPr>
                <w:rFonts w:eastAsia="宋体"/>
                <w:color w:val="auto"/>
              </w:rPr>
            </w:pPr>
          </w:p>
          <w:p>
            <w:pPr>
              <w:pStyle w:val="66"/>
              <w:spacing w:before="200" w:line="240" w:lineRule="auto"/>
              <w:ind w:firstLine="0"/>
              <w:rPr>
                <w:rFonts w:eastAsia="宋体"/>
                <w:color w:val="auto"/>
              </w:rPr>
            </w:pPr>
            <w:r>
              <w:rPr>
                <w:rFonts w:eastAsia="宋体"/>
                <w:color w:val="auto"/>
              </w:rPr>
              <w:t>　　　　　　　　　　　　　　　　　　　　　　　　　　　　　　　公　章</w:t>
            </w:r>
          </w:p>
          <w:p>
            <w:pPr>
              <w:pStyle w:val="66"/>
              <w:spacing w:before="200" w:line="240" w:lineRule="auto"/>
              <w:ind w:firstLine="0"/>
              <w:rPr>
                <w:rFonts w:eastAsia="宋体"/>
                <w:color w:val="auto"/>
              </w:rPr>
            </w:pPr>
            <w:r>
              <w:rPr>
                <w:rFonts w:eastAsia="宋体"/>
                <w:color w:val="auto"/>
              </w:rPr>
              <w:t>经办人：　　　　　　　　　　　　　　　　　　　　　　　　　　年　　月　　日</w:t>
            </w:r>
          </w:p>
          <w:p>
            <w:pPr>
              <w:pStyle w:val="66"/>
              <w:spacing w:before="200" w:line="240" w:lineRule="auto"/>
              <w:ind w:firstLine="0"/>
              <w:rPr>
                <w:rFonts w:eastAsia="宋体"/>
                <w:color w:val="auto"/>
              </w:rPr>
            </w:pPr>
          </w:p>
          <w:p>
            <w:pPr>
              <w:pStyle w:val="66"/>
              <w:spacing w:before="200" w:line="240" w:lineRule="auto"/>
              <w:ind w:firstLine="0"/>
              <w:rPr>
                <w:rFonts w:eastAsia="宋体"/>
                <w:color w:val="auto"/>
              </w:rPr>
            </w:pPr>
          </w:p>
        </w:tc>
      </w:tr>
    </w:tbl>
    <w:p>
      <w:pPr>
        <w:pStyle w:val="66"/>
        <w:spacing w:before="200" w:line="240" w:lineRule="auto"/>
        <w:ind w:firstLine="0"/>
        <w:rPr>
          <w:rFonts w:eastAsia="宋体"/>
          <w:b/>
          <w:bCs/>
          <w:color w:val="auto"/>
          <w:sz w:val="28"/>
        </w:rPr>
        <w:sectPr>
          <w:footerReference r:id="rId7" w:type="default"/>
          <w:pgSz w:w="11906" w:h="16838"/>
          <w:pgMar w:top="1134" w:right="1191" w:bottom="1463" w:left="1418" w:header="907" w:footer="907" w:gutter="0"/>
          <w:cols w:space="720" w:num="1"/>
          <w:docGrid w:linePitch="326" w:charSpace="0"/>
        </w:sectPr>
      </w:pPr>
    </w:p>
    <w:tbl>
      <w:tblPr>
        <w:tblStyle w:val="33"/>
        <w:tblpPr w:leftFromText="180" w:rightFromText="180" w:horzAnchor="margin" w:tblpY="3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49" w:hRule="atLeast"/>
        </w:trPr>
        <w:tc>
          <w:tcPr>
            <w:tcW w:w="9288" w:type="dxa"/>
            <w:tcBorders>
              <w:bottom w:val="single" w:color="auto" w:sz="4" w:space="0"/>
            </w:tcBorders>
          </w:tcPr>
          <w:p>
            <w:pPr>
              <w:pStyle w:val="66"/>
              <w:spacing w:before="200" w:line="240" w:lineRule="auto"/>
              <w:ind w:firstLine="0"/>
              <w:rPr>
                <w:rFonts w:eastAsia="宋体"/>
                <w:b/>
                <w:bCs/>
                <w:color w:val="auto"/>
                <w:sz w:val="28"/>
              </w:rPr>
            </w:pPr>
            <w:r>
              <w:rPr>
                <w:rFonts w:eastAsia="宋体"/>
                <w:b/>
                <w:bCs/>
                <w:color w:val="auto"/>
                <w:sz w:val="28"/>
              </w:rPr>
              <w:t>审批意见：</w:t>
            </w:r>
          </w:p>
          <w:p>
            <w:pPr>
              <w:pStyle w:val="66"/>
              <w:spacing w:before="200" w:line="240" w:lineRule="auto"/>
              <w:ind w:firstLine="0"/>
              <w:rPr>
                <w:rFonts w:eastAsia="宋体"/>
                <w:color w:val="auto"/>
              </w:rPr>
            </w:pPr>
          </w:p>
          <w:p>
            <w:pPr>
              <w:pStyle w:val="66"/>
              <w:spacing w:before="200" w:line="240" w:lineRule="auto"/>
              <w:ind w:firstLine="0"/>
              <w:rPr>
                <w:rFonts w:eastAsia="宋体"/>
                <w:color w:val="auto"/>
              </w:rPr>
            </w:pPr>
          </w:p>
          <w:p>
            <w:pPr>
              <w:pStyle w:val="66"/>
              <w:spacing w:before="200" w:line="240" w:lineRule="auto"/>
              <w:ind w:firstLine="0"/>
              <w:rPr>
                <w:rFonts w:eastAsia="宋体"/>
                <w:color w:val="auto"/>
              </w:rPr>
            </w:pPr>
          </w:p>
          <w:p>
            <w:pPr>
              <w:pStyle w:val="66"/>
              <w:spacing w:before="200" w:line="240" w:lineRule="auto"/>
              <w:ind w:firstLine="0"/>
              <w:rPr>
                <w:rFonts w:eastAsia="宋体"/>
                <w:color w:val="auto"/>
              </w:rPr>
            </w:pPr>
          </w:p>
          <w:p>
            <w:pPr>
              <w:pStyle w:val="66"/>
              <w:spacing w:before="200" w:line="240" w:lineRule="auto"/>
              <w:ind w:firstLine="0"/>
              <w:rPr>
                <w:rFonts w:eastAsia="宋体"/>
                <w:color w:val="auto"/>
              </w:rPr>
            </w:pPr>
          </w:p>
          <w:p>
            <w:pPr>
              <w:pStyle w:val="66"/>
              <w:spacing w:before="200" w:line="240" w:lineRule="auto"/>
              <w:ind w:firstLine="0"/>
              <w:rPr>
                <w:rFonts w:eastAsia="宋体"/>
                <w:color w:val="auto"/>
              </w:rPr>
            </w:pPr>
          </w:p>
          <w:p>
            <w:pPr>
              <w:pStyle w:val="66"/>
              <w:spacing w:before="200" w:line="240" w:lineRule="auto"/>
              <w:ind w:firstLine="0"/>
              <w:rPr>
                <w:rFonts w:eastAsia="宋体"/>
                <w:color w:val="auto"/>
              </w:rPr>
            </w:pPr>
          </w:p>
          <w:p>
            <w:pPr>
              <w:pStyle w:val="66"/>
              <w:spacing w:before="200" w:line="240" w:lineRule="auto"/>
              <w:ind w:firstLine="0"/>
              <w:rPr>
                <w:rFonts w:eastAsia="宋体"/>
                <w:color w:val="auto"/>
              </w:rPr>
            </w:pPr>
          </w:p>
          <w:p>
            <w:pPr>
              <w:pStyle w:val="66"/>
              <w:spacing w:before="200" w:line="240" w:lineRule="auto"/>
              <w:ind w:firstLine="0"/>
              <w:rPr>
                <w:rFonts w:eastAsia="宋体"/>
                <w:color w:val="auto"/>
              </w:rPr>
            </w:pPr>
          </w:p>
          <w:p>
            <w:pPr>
              <w:pStyle w:val="66"/>
              <w:spacing w:before="200" w:line="240" w:lineRule="auto"/>
              <w:ind w:firstLine="0"/>
              <w:rPr>
                <w:rFonts w:eastAsia="宋体"/>
                <w:color w:val="auto"/>
              </w:rPr>
            </w:pPr>
          </w:p>
          <w:p>
            <w:pPr>
              <w:pStyle w:val="66"/>
              <w:spacing w:before="200" w:line="240" w:lineRule="auto"/>
              <w:ind w:firstLine="0"/>
              <w:rPr>
                <w:rFonts w:eastAsia="宋体"/>
                <w:color w:val="auto"/>
              </w:rPr>
            </w:pPr>
          </w:p>
          <w:p>
            <w:pPr>
              <w:pStyle w:val="66"/>
              <w:spacing w:before="200" w:line="240" w:lineRule="auto"/>
              <w:ind w:firstLine="0"/>
              <w:rPr>
                <w:rFonts w:eastAsia="宋体"/>
                <w:color w:val="auto"/>
              </w:rPr>
            </w:pPr>
          </w:p>
          <w:p>
            <w:pPr>
              <w:pStyle w:val="66"/>
              <w:spacing w:before="200" w:line="240" w:lineRule="auto"/>
              <w:ind w:firstLine="0"/>
              <w:rPr>
                <w:rFonts w:eastAsia="宋体"/>
                <w:color w:val="auto"/>
              </w:rPr>
            </w:pPr>
          </w:p>
          <w:p>
            <w:pPr>
              <w:pStyle w:val="66"/>
              <w:spacing w:before="200" w:line="240" w:lineRule="auto"/>
              <w:ind w:firstLine="0"/>
              <w:rPr>
                <w:rFonts w:eastAsia="宋体"/>
                <w:color w:val="auto"/>
              </w:rPr>
            </w:pPr>
          </w:p>
          <w:p>
            <w:pPr>
              <w:pStyle w:val="66"/>
              <w:spacing w:before="200" w:line="240" w:lineRule="auto"/>
              <w:ind w:firstLine="0"/>
              <w:rPr>
                <w:rFonts w:eastAsia="宋体"/>
                <w:color w:val="auto"/>
              </w:rPr>
            </w:pPr>
          </w:p>
          <w:p>
            <w:pPr>
              <w:pStyle w:val="66"/>
              <w:spacing w:before="200" w:line="240" w:lineRule="auto"/>
              <w:ind w:firstLine="0"/>
              <w:rPr>
                <w:rFonts w:eastAsia="宋体"/>
                <w:color w:val="auto"/>
              </w:rPr>
            </w:pPr>
          </w:p>
          <w:p>
            <w:pPr>
              <w:pStyle w:val="66"/>
              <w:spacing w:before="200" w:line="240" w:lineRule="auto"/>
              <w:ind w:firstLine="0"/>
              <w:rPr>
                <w:rFonts w:eastAsia="宋体"/>
                <w:color w:val="auto"/>
              </w:rPr>
            </w:pPr>
          </w:p>
          <w:p>
            <w:pPr>
              <w:pStyle w:val="66"/>
              <w:spacing w:before="200" w:line="240" w:lineRule="auto"/>
              <w:ind w:firstLine="0"/>
              <w:rPr>
                <w:rFonts w:eastAsia="宋体"/>
                <w:color w:val="auto"/>
              </w:rPr>
            </w:pPr>
          </w:p>
          <w:p>
            <w:pPr>
              <w:pStyle w:val="66"/>
              <w:spacing w:before="200" w:line="240" w:lineRule="auto"/>
              <w:ind w:firstLine="0"/>
              <w:rPr>
                <w:rFonts w:eastAsia="宋体"/>
                <w:color w:val="auto"/>
              </w:rPr>
            </w:pPr>
          </w:p>
          <w:p>
            <w:pPr>
              <w:pStyle w:val="66"/>
              <w:spacing w:before="200" w:line="240" w:lineRule="auto"/>
              <w:ind w:firstLine="0"/>
              <w:rPr>
                <w:rFonts w:eastAsia="宋体"/>
                <w:color w:val="auto"/>
              </w:rPr>
            </w:pPr>
          </w:p>
          <w:p>
            <w:pPr>
              <w:pStyle w:val="66"/>
              <w:spacing w:before="200" w:line="240" w:lineRule="auto"/>
              <w:ind w:firstLine="0"/>
              <w:rPr>
                <w:rFonts w:eastAsia="宋体"/>
                <w:color w:val="auto"/>
              </w:rPr>
            </w:pPr>
          </w:p>
          <w:p>
            <w:pPr>
              <w:pStyle w:val="66"/>
              <w:spacing w:before="200" w:line="240" w:lineRule="auto"/>
              <w:ind w:firstLine="0"/>
              <w:rPr>
                <w:rFonts w:eastAsia="宋体"/>
                <w:color w:val="auto"/>
              </w:rPr>
            </w:pPr>
          </w:p>
          <w:p>
            <w:pPr>
              <w:pStyle w:val="66"/>
              <w:spacing w:before="200" w:line="240" w:lineRule="auto"/>
              <w:ind w:firstLine="0"/>
              <w:rPr>
                <w:rFonts w:eastAsia="宋体"/>
                <w:color w:val="auto"/>
              </w:rPr>
            </w:pPr>
          </w:p>
          <w:p>
            <w:pPr>
              <w:pStyle w:val="66"/>
              <w:spacing w:before="200" w:line="240" w:lineRule="auto"/>
              <w:ind w:firstLine="0"/>
              <w:rPr>
                <w:rFonts w:eastAsia="宋体"/>
                <w:color w:val="auto"/>
              </w:rPr>
            </w:pPr>
            <w:r>
              <w:rPr>
                <w:rFonts w:eastAsia="宋体"/>
                <w:color w:val="auto"/>
              </w:rPr>
              <w:t>　　　　　　　　　　　　　　　　　　　　　　　　　　　　　　　公　章</w:t>
            </w:r>
          </w:p>
          <w:p>
            <w:pPr>
              <w:pStyle w:val="66"/>
              <w:spacing w:before="200" w:line="240" w:lineRule="auto"/>
              <w:ind w:firstLine="0"/>
              <w:rPr>
                <w:rFonts w:eastAsia="宋体"/>
                <w:color w:val="auto"/>
              </w:rPr>
            </w:pPr>
            <w:r>
              <w:rPr>
                <w:rFonts w:eastAsia="宋体"/>
                <w:color w:val="auto"/>
              </w:rPr>
              <w:t>经办人：　　　　　　　　　　　　　　　　　　　　　　　　　　　年　　月　　日</w:t>
            </w:r>
          </w:p>
        </w:tc>
      </w:tr>
    </w:tbl>
    <w:p>
      <w:pPr>
        <w:spacing w:before="240" w:after="120"/>
        <w:rPr>
          <w:color w:val="auto"/>
          <w:sz w:val="28"/>
        </w:rPr>
        <w:sectPr>
          <w:pgSz w:w="11906" w:h="16838"/>
          <w:pgMar w:top="1134" w:right="1191" w:bottom="1463" w:left="1418" w:header="907" w:footer="907" w:gutter="0"/>
          <w:cols w:space="720" w:num="1"/>
          <w:docGrid w:linePitch="326" w:charSpace="0"/>
        </w:sectPr>
      </w:pPr>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71" w:type="dxa"/>
          </w:tcPr>
          <w:p>
            <w:pPr>
              <w:spacing w:line="360" w:lineRule="auto"/>
              <w:jc w:val="center"/>
              <w:rPr>
                <w:color w:val="auto"/>
                <w:sz w:val="24"/>
              </w:rPr>
            </w:pPr>
            <w:r>
              <w:rPr>
                <w:color w:val="auto"/>
                <w:sz w:val="24"/>
              </w:rPr>
              <w:t>注          释</w:t>
            </w:r>
          </w:p>
          <w:p>
            <w:pPr>
              <w:spacing w:line="360" w:lineRule="auto"/>
              <w:ind w:firstLine="480" w:firstLineChars="200"/>
              <w:jc w:val="left"/>
              <w:rPr>
                <w:color w:val="auto"/>
                <w:sz w:val="24"/>
              </w:rPr>
            </w:pPr>
            <w:r>
              <w:rPr>
                <w:color w:val="auto"/>
                <w:sz w:val="24"/>
              </w:rPr>
              <w:t>一、本报告表应附以下附图：</w:t>
            </w:r>
          </w:p>
          <w:p>
            <w:pPr>
              <w:spacing w:line="360" w:lineRule="auto"/>
              <w:ind w:firstLine="480" w:firstLineChars="200"/>
              <w:jc w:val="left"/>
              <w:rPr>
                <w:color w:val="auto"/>
                <w:sz w:val="24"/>
              </w:rPr>
            </w:pPr>
            <w:r>
              <w:rPr>
                <w:color w:val="auto"/>
                <w:sz w:val="24"/>
              </w:rPr>
              <w:t xml:space="preserve">附图1  </w:t>
            </w:r>
            <w:r>
              <w:rPr>
                <w:rFonts w:hint="eastAsia"/>
                <w:color w:val="auto"/>
                <w:sz w:val="24"/>
              </w:rPr>
              <w:t>项目地理位置、敏感点分布及监测点位布设图（1）</w:t>
            </w:r>
          </w:p>
          <w:p>
            <w:pPr>
              <w:spacing w:line="360" w:lineRule="auto"/>
              <w:ind w:firstLine="480" w:firstLineChars="200"/>
              <w:jc w:val="left"/>
              <w:rPr>
                <w:color w:val="auto"/>
                <w:sz w:val="24"/>
              </w:rPr>
            </w:pPr>
            <w:r>
              <w:rPr>
                <w:rFonts w:hint="eastAsia"/>
                <w:color w:val="auto"/>
                <w:sz w:val="24"/>
              </w:rPr>
              <w:t>附图2  项目地理位置、敏感点分布及监测点位布设图（2）</w:t>
            </w:r>
          </w:p>
          <w:p>
            <w:pPr>
              <w:spacing w:line="360" w:lineRule="auto"/>
              <w:ind w:firstLine="480" w:firstLineChars="200"/>
              <w:jc w:val="left"/>
              <w:rPr>
                <w:color w:val="auto"/>
                <w:sz w:val="24"/>
              </w:rPr>
            </w:pPr>
            <w:r>
              <w:rPr>
                <w:color w:val="auto"/>
                <w:sz w:val="24"/>
              </w:rPr>
              <w:t xml:space="preserve">附图3  </w:t>
            </w:r>
            <w:r>
              <w:rPr>
                <w:rFonts w:hint="eastAsia"/>
                <w:color w:val="auto"/>
                <w:sz w:val="24"/>
              </w:rPr>
              <w:t>加压泵站总平面布置、四至情况及监测点位图</w:t>
            </w:r>
          </w:p>
          <w:p>
            <w:pPr>
              <w:spacing w:line="360" w:lineRule="auto"/>
              <w:ind w:firstLine="480" w:firstLineChars="200"/>
              <w:jc w:val="left"/>
              <w:rPr>
                <w:color w:val="auto"/>
                <w:sz w:val="24"/>
              </w:rPr>
            </w:pPr>
            <w:r>
              <w:rPr>
                <w:rFonts w:hint="eastAsia"/>
                <w:color w:val="auto"/>
                <w:sz w:val="24"/>
              </w:rPr>
              <w:t>附图4  加压泵站四至情况及噪声监测点位图</w:t>
            </w:r>
          </w:p>
          <w:p>
            <w:pPr>
              <w:spacing w:line="360" w:lineRule="auto"/>
              <w:ind w:firstLine="470" w:firstLineChars="196"/>
              <w:jc w:val="left"/>
              <w:rPr>
                <w:color w:val="auto"/>
                <w:sz w:val="24"/>
              </w:rPr>
            </w:pPr>
            <w:r>
              <w:rPr>
                <w:color w:val="auto"/>
                <w:sz w:val="24"/>
              </w:rPr>
              <w:t xml:space="preserve">附件1  项目委托书 </w:t>
            </w:r>
          </w:p>
          <w:p>
            <w:pPr>
              <w:spacing w:line="360" w:lineRule="auto"/>
              <w:ind w:firstLine="480" w:firstLineChars="200"/>
              <w:jc w:val="left"/>
              <w:rPr>
                <w:color w:val="auto"/>
                <w:sz w:val="24"/>
              </w:rPr>
            </w:pPr>
            <w:r>
              <w:rPr>
                <w:color w:val="auto"/>
                <w:sz w:val="24"/>
              </w:rPr>
              <w:t xml:space="preserve">附件2  </w:t>
            </w:r>
            <w:r>
              <w:rPr>
                <w:rFonts w:hint="eastAsia"/>
                <w:color w:val="auto"/>
                <w:sz w:val="24"/>
              </w:rPr>
              <w:t>监测报告</w:t>
            </w:r>
          </w:p>
          <w:p>
            <w:pPr>
              <w:spacing w:line="360" w:lineRule="auto"/>
              <w:ind w:firstLine="480" w:firstLineChars="200"/>
              <w:jc w:val="left"/>
              <w:rPr>
                <w:color w:val="auto"/>
                <w:sz w:val="24"/>
              </w:rPr>
            </w:pPr>
            <w:r>
              <w:rPr>
                <w:color w:val="auto"/>
                <w:sz w:val="24"/>
              </w:rPr>
              <w:t xml:space="preserve">附件3  </w:t>
            </w:r>
            <w:r>
              <w:rPr>
                <w:rFonts w:hint="eastAsia"/>
                <w:color w:val="auto"/>
                <w:sz w:val="24"/>
              </w:rPr>
              <w:t>营业执照</w:t>
            </w:r>
          </w:p>
          <w:p>
            <w:pPr>
              <w:spacing w:line="360" w:lineRule="auto"/>
              <w:ind w:firstLine="480" w:firstLineChars="200"/>
              <w:jc w:val="left"/>
              <w:rPr>
                <w:color w:val="auto"/>
                <w:sz w:val="24"/>
              </w:rPr>
            </w:pPr>
            <w:r>
              <w:rPr>
                <w:color w:val="auto"/>
                <w:sz w:val="24"/>
              </w:rPr>
              <w:t>附件</w:t>
            </w:r>
            <w:r>
              <w:rPr>
                <w:rFonts w:hint="eastAsia"/>
                <w:color w:val="auto"/>
                <w:sz w:val="24"/>
              </w:rPr>
              <w:t>4</w:t>
            </w:r>
            <w:r>
              <w:rPr>
                <w:color w:val="auto"/>
                <w:sz w:val="24"/>
              </w:rPr>
              <w:t xml:space="preserve">  </w:t>
            </w:r>
            <w:r>
              <w:rPr>
                <w:rFonts w:hint="eastAsia"/>
                <w:color w:val="auto"/>
                <w:sz w:val="24"/>
              </w:rPr>
              <w:t>法人身份证</w:t>
            </w:r>
          </w:p>
          <w:p>
            <w:pPr>
              <w:spacing w:line="360" w:lineRule="auto"/>
              <w:ind w:firstLine="480" w:firstLineChars="200"/>
              <w:jc w:val="left"/>
              <w:rPr>
                <w:color w:val="auto"/>
                <w:sz w:val="24"/>
              </w:rPr>
            </w:pPr>
            <w:r>
              <w:rPr>
                <w:color w:val="auto"/>
                <w:sz w:val="24"/>
              </w:rPr>
              <w:t>附件</w:t>
            </w:r>
            <w:r>
              <w:rPr>
                <w:rFonts w:hint="eastAsia"/>
                <w:color w:val="auto"/>
                <w:sz w:val="24"/>
              </w:rPr>
              <w:t>5</w:t>
            </w:r>
            <w:r>
              <w:rPr>
                <w:color w:val="auto"/>
                <w:sz w:val="24"/>
              </w:rPr>
              <w:t xml:space="preserve">  </w:t>
            </w:r>
            <w:r>
              <w:rPr>
                <w:rFonts w:hint="eastAsia"/>
                <w:color w:val="auto"/>
                <w:sz w:val="24"/>
              </w:rPr>
              <w:t>市政府常务会议决定事项通知书</w:t>
            </w:r>
          </w:p>
          <w:p>
            <w:pPr>
              <w:spacing w:line="360" w:lineRule="auto"/>
              <w:ind w:firstLine="480" w:firstLineChars="200"/>
              <w:jc w:val="left"/>
              <w:rPr>
                <w:color w:val="auto"/>
                <w:sz w:val="24"/>
              </w:rPr>
            </w:pPr>
            <w:r>
              <w:rPr>
                <w:rFonts w:hint="eastAsia"/>
                <w:color w:val="auto"/>
                <w:sz w:val="24"/>
              </w:rPr>
              <w:t>附件6  市委领导批示事项办理通知书</w:t>
            </w:r>
          </w:p>
          <w:p>
            <w:pPr>
              <w:spacing w:line="360" w:lineRule="auto"/>
              <w:ind w:firstLine="480" w:firstLineChars="200"/>
              <w:jc w:val="left"/>
              <w:rPr>
                <w:color w:val="auto"/>
                <w:sz w:val="24"/>
              </w:rPr>
            </w:pPr>
          </w:p>
          <w:p>
            <w:pPr>
              <w:spacing w:line="360" w:lineRule="auto"/>
              <w:ind w:firstLine="480" w:firstLineChars="200"/>
              <w:jc w:val="left"/>
              <w:rPr>
                <w:color w:val="auto"/>
                <w:sz w:val="24"/>
              </w:rPr>
            </w:pPr>
          </w:p>
          <w:p>
            <w:pPr>
              <w:spacing w:line="360" w:lineRule="auto"/>
              <w:ind w:firstLine="480" w:firstLineChars="200"/>
              <w:jc w:val="left"/>
              <w:rPr>
                <w:color w:val="auto"/>
                <w:sz w:val="24"/>
              </w:rPr>
            </w:pPr>
            <w:r>
              <w:rPr>
                <w:color w:val="auto"/>
                <w:sz w:val="24"/>
              </w:rPr>
              <w:t>二、如果本报告表不能说明项目产生的污染及对环境造成的影响，应进行专项评价。根据建设项目的特点和当地环境特征，应选下列1-2项进行专项评价。</w:t>
            </w:r>
          </w:p>
          <w:p>
            <w:pPr>
              <w:spacing w:line="360" w:lineRule="auto"/>
              <w:ind w:firstLine="480" w:firstLineChars="200"/>
              <w:jc w:val="left"/>
              <w:rPr>
                <w:color w:val="auto"/>
                <w:sz w:val="24"/>
              </w:rPr>
            </w:pPr>
            <w:r>
              <w:rPr>
                <w:color w:val="auto"/>
                <w:sz w:val="24"/>
              </w:rPr>
              <w:t>1、大气环境影响专项评价</w:t>
            </w:r>
          </w:p>
          <w:p>
            <w:pPr>
              <w:spacing w:line="360" w:lineRule="auto"/>
              <w:ind w:firstLine="480" w:firstLineChars="200"/>
              <w:jc w:val="left"/>
              <w:rPr>
                <w:color w:val="auto"/>
                <w:sz w:val="24"/>
              </w:rPr>
            </w:pPr>
            <w:r>
              <w:rPr>
                <w:color w:val="auto"/>
                <w:sz w:val="24"/>
              </w:rPr>
              <w:t>2、水环境影响专项评价（包括地面水和地下水）</w:t>
            </w:r>
          </w:p>
          <w:p>
            <w:pPr>
              <w:spacing w:line="360" w:lineRule="auto"/>
              <w:ind w:firstLine="480" w:firstLineChars="200"/>
              <w:jc w:val="left"/>
              <w:rPr>
                <w:color w:val="auto"/>
                <w:sz w:val="24"/>
              </w:rPr>
            </w:pPr>
            <w:r>
              <w:rPr>
                <w:color w:val="auto"/>
                <w:sz w:val="24"/>
              </w:rPr>
              <w:t>3、生态影响专项评价</w:t>
            </w:r>
          </w:p>
          <w:p>
            <w:pPr>
              <w:spacing w:line="360" w:lineRule="auto"/>
              <w:ind w:firstLine="480" w:firstLineChars="200"/>
              <w:jc w:val="left"/>
              <w:rPr>
                <w:color w:val="auto"/>
                <w:sz w:val="24"/>
              </w:rPr>
            </w:pPr>
            <w:r>
              <w:rPr>
                <w:color w:val="auto"/>
                <w:sz w:val="24"/>
              </w:rPr>
              <w:t>4、声影响专项评价</w:t>
            </w:r>
          </w:p>
          <w:p>
            <w:pPr>
              <w:spacing w:line="360" w:lineRule="auto"/>
              <w:ind w:firstLine="480" w:firstLineChars="200"/>
              <w:jc w:val="left"/>
              <w:rPr>
                <w:color w:val="auto"/>
                <w:sz w:val="24"/>
              </w:rPr>
            </w:pPr>
            <w:r>
              <w:rPr>
                <w:color w:val="auto"/>
                <w:sz w:val="24"/>
              </w:rPr>
              <w:t>5、土壤影响专项评价</w:t>
            </w:r>
          </w:p>
          <w:p>
            <w:pPr>
              <w:spacing w:line="360" w:lineRule="auto"/>
              <w:ind w:firstLine="480" w:firstLineChars="200"/>
              <w:jc w:val="left"/>
              <w:rPr>
                <w:color w:val="auto"/>
                <w:sz w:val="24"/>
              </w:rPr>
            </w:pPr>
            <w:r>
              <w:rPr>
                <w:color w:val="auto"/>
                <w:sz w:val="24"/>
              </w:rPr>
              <w:t>6、固体废弃物影响专项评价</w:t>
            </w:r>
          </w:p>
          <w:p>
            <w:pPr>
              <w:tabs>
                <w:tab w:val="left" w:pos="2625"/>
              </w:tabs>
              <w:spacing w:line="360" w:lineRule="auto"/>
              <w:ind w:firstLine="480" w:firstLineChars="200"/>
              <w:jc w:val="left"/>
              <w:rPr>
                <w:color w:val="auto"/>
                <w:sz w:val="24"/>
              </w:rPr>
            </w:pPr>
            <w:r>
              <w:rPr>
                <w:color w:val="auto"/>
                <w:sz w:val="24"/>
              </w:rPr>
              <w:t>以上专项评价未包括的可另列专项，专项评价按照《环境影响评价技术导则》中的要求进行。</w:t>
            </w:r>
          </w:p>
          <w:p>
            <w:pPr>
              <w:tabs>
                <w:tab w:val="left" w:pos="2625"/>
              </w:tabs>
              <w:spacing w:line="360" w:lineRule="auto"/>
              <w:ind w:firstLine="480" w:firstLineChars="200"/>
              <w:jc w:val="center"/>
              <w:rPr>
                <w:color w:val="auto"/>
                <w:sz w:val="24"/>
              </w:rPr>
            </w:pPr>
          </w:p>
          <w:p>
            <w:pPr>
              <w:tabs>
                <w:tab w:val="left" w:pos="2625"/>
              </w:tabs>
              <w:spacing w:line="360" w:lineRule="auto"/>
              <w:rPr>
                <w:color w:val="auto"/>
                <w:sz w:val="24"/>
              </w:rPr>
            </w:pPr>
          </w:p>
          <w:p>
            <w:pPr>
              <w:tabs>
                <w:tab w:val="left" w:pos="2625"/>
              </w:tabs>
              <w:spacing w:line="360" w:lineRule="auto"/>
              <w:ind w:firstLine="480" w:firstLineChars="200"/>
              <w:jc w:val="center"/>
              <w:rPr>
                <w:color w:val="auto"/>
                <w:sz w:val="24"/>
              </w:rPr>
            </w:pPr>
          </w:p>
          <w:p>
            <w:pPr>
              <w:tabs>
                <w:tab w:val="left" w:pos="2625"/>
              </w:tabs>
              <w:spacing w:line="360" w:lineRule="auto"/>
              <w:ind w:firstLine="480" w:firstLineChars="200"/>
              <w:jc w:val="center"/>
              <w:rPr>
                <w:color w:val="auto"/>
                <w:sz w:val="24"/>
              </w:rPr>
            </w:pPr>
          </w:p>
          <w:p>
            <w:pPr>
              <w:tabs>
                <w:tab w:val="left" w:pos="2625"/>
              </w:tabs>
              <w:spacing w:line="360" w:lineRule="auto"/>
              <w:ind w:firstLine="480" w:firstLineChars="200"/>
              <w:jc w:val="center"/>
              <w:rPr>
                <w:color w:val="auto"/>
                <w:sz w:val="24"/>
              </w:rPr>
            </w:pPr>
          </w:p>
          <w:p>
            <w:pPr>
              <w:tabs>
                <w:tab w:val="left" w:pos="2625"/>
              </w:tabs>
              <w:spacing w:line="360" w:lineRule="auto"/>
              <w:ind w:firstLine="480" w:firstLineChars="200"/>
              <w:jc w:val="center"/>
              <w:rPr>
                <w:color w:val="auto"/>
                <w:sz w:val="24"/>
              </w:rPr>
            </w:pPr>
          </w:p>
          <w:p>
            <w:pPr>
              <w:rPr>
                <w:color w:val="auto"/>
              </w:rPr>
            </w:pPr>
          </w:p>
        </w:tc>
      </w:tr>
    </w:tbl>
    <w:p>
      <w:pPr>
        <w:jc w:val="center"/>
        <w:rPr>
          <w:color w:val="auto"/>
        </w:rPr>
      </w:pPr>
    </w:p>
    <w:p>
      <w:pPr>
        <w:jc w:val="center"/>
        <w:rPr>
          <w:color w:val="FF0000"/>
        </w:rPr>
        <w:sectPr>
          <w:footerReference r:id="rId8" w:type="default"/>
          <w:pgSz w:w="11907" w:h="16840"/>
          <w:pgMar w:top="1134" w:right="1418" w:bottom="1531" w:left="1134" w:header="907" w:footer="907" w:gutter="0"/>
          <w:cols w:space="720" w:num="1"/>
          <w:docGrid w:linePitch="326" w:charSpace="-4916"/>
        </w:sectPr>
      </w:pPr>
    </w:p>
    <w:p>
      <w:pPr>
        <w:jc w:val="center"/>
      </w:pPr>
      <w:r>
        <mc:AlternateContent>
          <mc:Choice Requires="wps">
            <w:drawing>
              <wp:anchor distT="0" distB="0" distL="114300" distR="114300" simplePos="0" relativeHeight="251666432" behindDoc="0" locked="0" layoutInCell="1" allowOverlap="1">
                <wp:simplePos x="0" y="0"/>
                <wp:positionH relativeFrom="column">
                  <wp:posOffset>1929130</wp:posOffset>
                </wp:positionH>
                <wp:positionV relativeFrom="paragraph">
                  <wp:posOffset>4364990</wp:posOffset>
                </wp:positionV>
                <wp:extent cx="1271270" cy="534670"/>
                <wp:effectExtent l="9525" t="12700" r="319405" b="433705"/>
                <wp:wrapNone/>
                <wp:docPr id="43" name="AutoShape 121"/>
                <wp:cNvGraphicFramePr/>
                <a:graphic xmlns:a="http://schemas.openxmlformats.org/drawingml/2006/main">
                  <a:graphicData uri="http://schemas.microsoft.com/office/word/2010/wordprocessingShape">
                    <wps:wsp>
                      <wps:cNvSpPr>
                        <a:spLocks noChangeArrowheads="1"/>
                      </wps:cNvSpPr>
                      <wps:spPr bwMode="auto">
                        <a:xfrm>
                          <a:off x="0" y="0"/>
                          <a:ext cx="1271270" cy="534670"/>
                        </a:xfrm>
                        <a:prstGeom prst="wedgeRoundRectCallout">
                          <a:avLst>
                            <a:gd name="adj1" fmla="val 71778"/>
                            <a:gd name="adj2" fmla="val 125060"/>
                            <a:gd name="adj3" fmla="val 16667"/>
                          </a:avLst>
                        </a:prstGeom>
                        <a:solidFill>
                          <a:srgbClr val="FFFFFF"/>
                        </a:solidFill>
                        <a:ln w="9525">
                          <a:solidFill>
                            <a:srgbClr val="000000"/>
                          </a:solidFill>
                          <a:miter lim="800000"/>
                        </a:ln>
                      </wps:spPr>
                      <wps:txbx>
                        <w:txbxContent>
                          <w:p>
                            <w:pPr>
                              <w:jc w:val="center"/>
                            </w:pPr>
                            <w:r>
                              <w:rPr>
                                <w:rFonts w:hint="eastAsia"/>
                              </w:rPr>
                              <w:t>加压泵站位置</w:t>
                            </w:r>
                          </w:p>
                          <w:p>
                            <w:pPr>
                              <w:jc w:val="center"/>
                            </w:pPr>
                            <w:r>
                              <w:rPr>
                                <w:rFonts w:hint="eastAsia"/>
                              </w:rPr>
                              <w:t>(起点</w:t>
                            </w:r>
                            <w:r>
                              <w:t>)</w:t>
                            </w:r>
                          </w:p>
                        </w:txbxContent>
                      </wps:txbx>
                      <wps:bodyPr rot="0" vert="horz" wrap="square" lIns="91440" tIns="45720" rIns="91440" bIns="45720" anchor="t" anchorCtr="0" upright="1">
                        <a:noAutofit/>
                      </wps:bodyPr>
                    </wps:wsp>
                  </a:graphicData>
                </a:graphic>
              </wp:anchor>
            </w:drawing>
          </mc:Choice>
          <mc:Fallback>
            <w:pict>
              <v:shape id="AutoShape 121" o:spid="_x0000_s1026" o:spt="62" type="#_x0000_t62" style="position:absolute;left:0pt;margin-left:151.9pt;margin-top:343.7pt;height:42.1pt;width:100.1pt;z-index:251666432;mso-width-relative:page;mso-height-relative:page;" fillcolor="#FFFFFF" filled="t" stroked="t" coordsize="21600,21600" o:gfxdata="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Dwzy+V3AAAAAsBAAAP&#10;AAAAAAAAAAEAIAAAACIAAABkcnMvZG93bnJldi54bWxQSwECFAAUAAAACACHTuJASW6D5E0CAAC5&#10;BAAADgAAAAAAAAABACAAAAArAQAAZHJzL2Uyb0RvYy54bWxQSwUGAAAAAAYABgBZAQAA6gUAAAAA&#10;" adj="26304,37813,14400">
                <v:fill on="t" focussize="0,0"/>
                <v:stroke color="#000000" miterlimit="8" joinstyle="miter"/>
                <v:imagedata o:title=""/>
                <o:lock v:ext="edit" aspectratio="f"/>
                <v:textbox>
                  <w:txbxContent>
                    <w:p>
                      <w:pPr>
                        <w:jc w:val="center"/>
                      </w:pPr>
                      <w:r>
                        <w:rPr>
                          <w:rFonts w:hint="eastAsia"/>
                        </w:rPr>
                        <w:t>加压泵站位置</w:t>
                      </w:r>
                    </w:p>
                    <w:p>
                      <w:pPr>
                        <w:jc w:val="center"/>
                      </w:pPr>
                      <w:r>
                        <w:rPr>
                          <w:rFonts w:hint="eastAsia"/>
                        </w:rPr>
                        <w:t>(起点</w:t>
                      </w:r>
                      <w:r>
                        <w:t>)</w:t>
                      </w:r>
                    </w:p>
                  </w:txbxContent>
                </v:textbox>
              </v:shape>
            </w:pict>
          </mc:Fallback>
        </mc:AlternateContent>
      </w:r>
      <w:r>
        <mc:AlternateContent>
          <mc:Choice Requires="wps">
            <w:drawing>
              <wp:anchor distT="0" distB="0" distL="114300" distR="114300" simplePos="0" relativeHeight="251670528" behindDoc="0" locked="0" layoutInCell="1" allowOverlap="1">
                <wp:simplePos x="0" y="0"/>
                <wp:positionH relativeFrom="column">
                  <wp:posOffset>3719195</wp:posOffset>
                </wp:positionH>
                <wp:positionV relativeFrom="paragraph">
                  <wp:posOffset>5233670</wp:posOffset>
                </wp:positionV>
                <wp:extent cx="137795" cy="119380"/>
                <wp:effectExtent l="15240" t="22860" r="18415" b="10160"/>
                <wp:wrapNone/>
                <wp:docPr id="58" name="AutoShape 125"/>
                <wp:cNvGraphicFramePr/>
                <a:graphic xmlns:a="http://schemas.openxmlformats.org/drawingml/2006/main">
                  <a:graphicData uri="http://schemas.microsoft.com/office/word/2010/wordprocessingShape">
                    <wps:wsp>
                      <wps:cNvSpPr>
                        <a:spLocks noChangeArrowheads="1"/>
                      </wps:cNvSpPr>
                      <wps:spPr bwMode="auto">
                        <a:xfrm>
                          <a:off x="0" y="0"/>
                          <a:ext cx="137795" cy="119380"/>
                        </a:xfrm>
                        <a:prstGeom prst="triangle">
                          <a:avLst>
                            <a:gd name="adj" fmla="val 50000"/>
                          </a:avLst>
                        </a:prstGeom>
                        <a:solidFill>
                          <a:srgbClr val="FFFF00"/>
                        </a:solidFill>
                        <a:ln w="9525">
                          <a:solidFill>
                            <a:srgbClr val="000000"/>
                          </a:solidFill>
                          <a:miter lim="800000"/>
                        </a:ln>
                      </wps:spPr>
                      <wps:txbx>
                        <w:txbxContent>
                          <w:p>
                            <w:pPr>
                              <w:jc w:val="center"/>
                            </w:pPr>
                          </w:p>
                        </w:txbxContent>
                      </wps:txbx>
                      <wps:bodyPr rot="0" vert="horz" wrap="square" lIns="91440" tIns="45720" rIns="91440" bIns="45720" anchor="t" anchorCtr="0" upright="1">
                        <a:noAutofit/>
                      </wps:bodyPr>
                    </wps:wsp>
                  </a:graphicData>
                </a:graphic>
              </wp:anchor>
            </w:drawing>
          </mc:Choice>
          <mc:Fallback>
            <w:pict>
              <v:shape id="AutoShape 125" o:spid="_x0000_s1026" o:spt="5" type="#_x0000_t5" style="position:absolute;left:0pt;margin-left:292.85pt;margin-top:412.1pt;height:9.4pt;width:10.85pt;z-index:251670528;mso-width-relative:page;mso-height-relative:page;" fillcolor="#FFFF00" filled="t" stroked="t" coordsize="21600,21600" o:gfxdata="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Asr5ALbAAAACwEAAA8AAAAAAAAAAQAgAAAAIgAAAGRycy9kb3ducmV2LnhtbFBLAQIUABQAAAAI&#10;AIdO4kAr28dsIwIAAGEEAAAOAAAAAAAAAAEAIAAAACoBAABkcnMvZTJvRG9jLnhtbFBLBQYAAAAA&#10;BgAGAFkBAAC/BQAAAAA=&#10;" adj="10800">
                <v:fill on="t" focussize="0,0"/>
                <v:stroke color="#000000" miterlimit="8" joinstyle="miter"/>
                <v:imagedata o:title=""/>
                <o:lock v:ext="edit" aspectratio="f"/>
                <v:textbox>
                  <w:txbxContent>
                    <w:p>
                      <w:pPr>
                        <w:jc w:val="center"/>
                      </w:pPr>
                    </w:p>
                  </w:txbxContent>
                </v:textbox>
              </v:shape>
            </w:pict>
          </mc:Fallback>
        </mc:AlternateContent>
      </w:r>
      <w:r>
        <mc:AlternateContent>
          <mc:Choice Requires="wps">
            <w:drawing>
              <wp:anchor distT="0" distB="0" distL="114300" distR="114300" simplePos="0" relativeHeight="251674624" behindDoc="0" locked="0" layoutInCell="1" allowOverlap="1">
                <wp:simplePos x="0" y="0"/>
                <wp:positionH relativeFrom="column">
                  <wp:posOffset>3804920</wp:posOffset>
                </wp:positionH>
                <wp:positionV relativeFrom="paragraph">
                  <wp:posOffset>5158740</wp:posOffset>
                </wp:positionV>
                <wp:extent cx="424815" cy="267970"/>
                <wp:effectExtent l="0" t="0" r="0" b="1270"/>
                <wp:wrapNone/>
                <wp:docPr id="57" name="Rectangle 129"/>
                <wp:cNvGraphicFramePr/>
                <a:graphic xmlns:a="http://schemas.openxmlformats.org/drawingml/2006/main">
                  <a:graphicData uri="http://schemas.microsoft.com/office/word/2010/wordprocessingShape">
                    <wps:wsp>
                      <wps:cNvSpPr>
                        <a:spLocks noChangeArrowheads="1"/>
                      </wps:cNvSpPr>
                      <wps:spPr bwMode="auto">
                        <a:xfrm>
                          <a:off x="0" y="0"/>
                          <a:ext cx="424815" cy="267970"/>
                        </a:xfrm>
                        <a:prstGeom prst="rect">
                          <a:avLst/>
                        </a:prstGeom>
                        <a:noFill/>
                        <a:ln>
                          <a:noFill/>
                        </a:ln>
                      </wps:spPr>
                      <wps:txbx>
                        <w:txbxContent>
                          <w:p>
                            <w:r>
                              <w:rPr>
                                <w:rFonts w:hint="eastAsia"/>
                              </w:rPr>
                              <w:t>N</w:t>
                            </w:r>
                            <w:r>
                              <w:t>1</w:t>
                            </w:r>
                          </w:p>
                        </w:txbxContent>
                      </wps:txbx>
                      <wps:bodyPr rot="0" vert="horz" wrap="square" lIns="91440" tIns="45720" rIns="91440" bIns="45720" anchor="t" anchorCtr="0" upright="1">
                        <a:noAutofit/>
                      </wps:bodyPr>
                    </wps:wsp>
                  </a:graphicData>
                </a:graphic>
              </wp:anchor>
            </w:drawing>
          </mc:Choice>
          <mc:Fallback>
            <w:pict>
              <v:rect id="Rectangle 129" o:spid="_x0000_s1026" o:spt="1" style="position:absolute;left:0pt;margin-left:299.6pt;margin-top:406.2pt;height:21.1pt;width:33.45pt;z-index:251674624;mso-width-relative:page;mso-height-relative:page;" filled="f" stroked="f" coordsize="21600,21600" o:gfxdata="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BmSeIk3AAAAAsBAAAPAAAAAAAAAAEAIAAAACIAAABkcnMvZG93bnJldi54bWxQSwECFAAUAAAA&#10;CACHTuJAusgl8+oBAAC/AwAADgAAAAAAAAABACAAAAArAQAAZHJzL2Uyb0RvYy54bWxQSwUGAAAA&#10;AAYABgBZAQAAhwUAAAAA&#10;">
                <v:fill on="f" focussize="0,0"/>
                <v:stroke on="f"/>
                <v:imagedata o:title=""/>
                <o:lock v:ext="edit" aspectratio="f"/>
                <v:textbox>
                  <w:txbxContent>
                    <w:p>
                      <w:r>
                        <w:rPr>
                          <w:rFonts w:hint="eastAsia"/>
                        </w:rPr>
                        <w:t>N</w:t>
                      </w:r>
                      <w:r>
                        <w:t>1</w:t>
                      </w:r>
                    </w:p>
                  </w:txbxContent>
                </v:textbox>
              </v:rect>
            </w:pict>
          </mc:Fallback>
        </mc:AlternateContent>
      </w:r>
      <w:r>
        <mc:AlternateContent>
          <mc:Choice Requires="wps">
            <w:drawing>
              <wp:anchor distT="0" distB="0" distL="114300" distR="114300" simplePos="0" relativeHeight="251675648" behindDoc="0" locked="0" layoutInCell="1" allowOverlap="1">
                <wp:simplePos x="0" y="0"/>
                <wp:positionH relativeFrom="column">
                  <wp:posOffset>3307715</wp:posOffset>
                </wp:positionH>
                <wp:positionV relativeFrom="paragraph">
                  <wp:posOffset>4749165</wp:posOffset>
                </wp:positionV>
                <wp:extent cx="499110" cy="267970"/>
                <wp:effectExtent l="3810" t="3175" r="1905" b="0"/>
                <wp:wrapNone/>
                <wp:docPr id="54" name="Rectangle 130"/>
                <wp:cNvGraphicFramePr/>
                <a:graphic xmlns:a="http://schemas.openxmlformats.org/drawingml/2006/main">
                  <a:graphicData uri="http://schemas.microsoft.com/office/word/2010/wordprocessingShape">
                    <wps:wsp>
                      <wps:cNvSpPr>
                        <a:spLocks noChangeArrowheads="1"/>
                      </wps:cNvSpPr>
                      <wps:spPr bwMode="auto">
                        <a:xfrm>
                          <a:off x="0" y="0"/>
                          <a:ext cx="499110" cy="267970"/>
                        </a:xfrm>
                        <a:prstGeom prst="rect">
                          <a:avLst/>
                        </a:prstGeom>
                        <a:noFill/>
                        <a:ln>
                          <a:noFill/>
                        </a:ln>
                      </wps:spPr>
                      <wps:txbx>
                        <w:txbxContent>
                          <w:p>
                            <w:r>
                              <w:rPr>
                                <w:rFonts w:hint="eastAsia"/>
                              </w:rPr>
                              <w:t>N</w:t>
                            </w:r>
                            <w:r>
                              <w:t>2</w:t>
                            </w:r>
                          </w:p>
                        </w:txbxContent>
                      </wps:txbx>
                      <wps:bodyPr rot="0" vert="horz" wrap="square" lIns="91440" tIns="45720" rIns="91440" bIns="45720" anchor="t" anchorCtr="0" upright="1">
                        <a:noAutofit/>
                      </wps:bodyPr>
                    </wps:wsp>
                  </a:graphicData>
                </a:graphic>
              </wp:anchor>
            </w:drawing>
          </mc:Choice>
          <mc:Fallback>
            <w:pict>
              <v:rect id="Rectangle 130" o:spid="_x0000_s1026" o:spt="1" style="position:absolute;left:0pt;margin-left:260.45pt;margin-top:373.95pt;height:21.1pt;width:39.3pt;z-index:251675648;mso-width-relative:page;mso-height-relative:page;" filled="f" stroked="f" coordsize="21600,21600" o:gfxdata="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O5ClejbAAAACwEAAA8AAAAAAAAAAQAgAAAAIgAAAGRycy9kb3ducmV2LnhtbFBLAQIUABQAAAAI&#10;AIdO4kBNg/TR6gEAAL8DAAAOAAAAAAAAAAEAIAAAACoBAABkcnMvZTJvRG9jLnhtbFBLBQYAAAAA&#10;BgAGAFkBAACGBQAAAAA=&#10;">
                <v:fill on="f" focussize="0,0"/>
                <v:stroke on="f"/>
                <v:imagedata o:title=""/>
                <o:lock v:ext="edit" aspectratio="f"/>
                <v:textbox>
                  <w:txbxContent>
                    <w:p>
                      <w:r>
                        <w:rPr>
                          <w:rFonts w:hint="eastAsia"/>
                        </w:rPr>
                        <w:t>N</w:t>
                      </w:r>
                      <w:r>
                        <w:t>2</w:t>
                      </w:r>
                    </w:p>
                  </w:txbxContent>
                </v:textbox>
              </v:rect>
            </w:pict>
          </mc:Fallback>
        </mc:AlternateContent>
      </w:r>
      <w:r>
        <mc:AlternateContent>
          <mc:Choice Requires="wps">
            <w:drawing>
              <wp:anchor distT="0" distB="0" distL="114300" distR="114300" simplePos="0" relativeHeight="251672576" behindDoc="0" locked="0" layoutInCell="1" allowOverlap="1">
                <wp:simplePos x="0" y="0"/>
                <wp:positionH relativeFrom="column">
                  <wp:posOffset>3524250</wp:posOffset>
                </wp:positionH>
                <wp:positionV relativeFrom="paragraph">
                  <wp:posOffset>4911725</wp:posOffset>
                </wp:positionV>
                <wp:extent cx="137795" cy="119380"/>
                <wp:effectExtent l="15240" t="19050" r="18415" b="13970"/>
                <wp:wrapNone/>
                <wp:docPr id="44" name="AutoShape 127"/>
                <wp:cNvGraphicFramePr/>
                <a:graphic xmlns:a="http://schemas.openxmlformats.org/drawingml/2006/main">
                  <a:graphicData uri="http://schemas.microsoft.com/office/word/2010/wordprocessingShape">
                    <wps:wsp>
                      <wps:cNvSpPr>
                        <a:spLocks noChangeArrowheads="1"/>
                      </wps:cNvSpPr>
                      <wps:spPr bwMode="auto">
                        <a:xfrm>
                          <a:off x="0" y="0"/>
                          <a:ext cx="137795" cy="119380"/>
                        </a:xfrm>
                        <a:prstGeom prst="triangle">
                          <a:avLst>
                            <a:gd name="adj" fmla="val 50000"/>
                          </a:avLst>
                        </a:prstGeom>
                        <a:solidFill>
                          <a:srgbClr val="FFFF00"/>
                        </a:solidFill>
                        <a:ln w="9525">
                          <a:solidFill>
                            <a:srgbClr val="000000"/>
                          </a:solidFill>
                          <a:miter lim="800000"/>
                        </a:ln>
                      </wps:spPr>
                      <wps:txbx>
                        <w:txbxContent>
                          <w:p>
                            <w:pPr>
                              <w:jc w:val="center"/>
                            </w:pPr>
                          </w:p>
                        </w:txbxContent>
                      </wps:txbx>
                      <wps:bodyPr rot="0" vert="horz" wrap="square" lIns="91440" tIns="45720" rIns="91440" bIns="45720" anchor="t" anchorCtr="0" upright="1">
                        <a:noAutofit/>
                      </wps:bodyPr>
                    </wps:wsp>
                  </a:graphicData>
                </a:graphic>
              </wp:anchor>
            </w:drawing>
          </mc:Choice>
          <mc:Fallback>
            <w:pict>
              <v:shape id="AutoShape 127" o:spid="_x0000_s1026" o:spt="5" type="#_x0000_t5" style="position:absolute;left:0pt;margin-left:277.5pt;margin-top:386.75pt;height:9.4pt;width:10.85pt;z-index:251672576;mso-width-relative:page;mso-height-relative:page;" fillcolor="#FFFF00" filled="t" stroked="t" coordsize="21600,21600" o:gfxdata="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AdcDAj3AAAAAsBAAAPAAAAAAAAAAEAIAAAACIAAABkcnMvZG93bnJldi54bWxQSwECFAAU&#10;AAAACACHTuJAbR1e9yYCAABhBAAADgAAAAAAAAABACAAAAArAQAAZHJzL2Uyb0RvYy54bWxQSwUG&#10;AAAAAAYABgBZAQAAwwUAAAAA&#10;" adj="10800">
                <v:fill on="t" focussize="0,0"/>
                <v:stroke color="#000000" miterlimit="8" joinstyle="miter"/>
                <v:imagedata o:title=""/>
                <o:lock v:ext="edit" aspectratio="f"/>
                <v:textbox>
                  <w:txbxContent>
                    <w:p>
                      <w:pPr>
                        <w:jc w:val="center"/>
                      </w:pPr>
                    </w:p>
                  </w:txbxContent>
                </v:textbox>
              </v:shape>
            </w:pict>
          </mc:Fallback>
        </mc:AlternateContent>
      </w:r>
      <w:r>
        <mc:AlternateContent>
          <mc:Choice Requires="wps">
            <w:drawing>
              <wp:anchor distT="0" distB="0" distL="114300" distR="114300" simplePos="0" relativeHeight="251657216" behindDoc="0" locked="0" layoutInCell="1" allowOverlap="1">
                <wp:simplePos x="0" y="0"/>
                <wp:positionH relativeFrom="column">
                  <wp:posOffset>3460750</wp:posOffset>
                </wp:positionH>
                <wp:positionV relativeFrom="paragraph">
                  <wp:posOffset>5299710</wp:posOffset>
                </wp:positionV>
                <wp:extent cx="235585" cy="55245"/>
                <wp:effectExtent l="0" t="19050" r="12700" b="20955"/>
                <wp:wrapNone/>
                <wp:docPr id="87" name="任意多边形: 形状 87"/>
                <wp:cNvGraphicFramePr/>
                <a:graphic xmlns:a="http://schemas.openxmlformats.org/drawingml/2006/main">
                  <a:graphicData uri="http://schemas.microsoft.com/office/word/2010/wordprocessingShape">
                    <wps:wsp>
                      <wps:cNvSpPr/>
                      <wps:spPr>
                        <a:xfrm>
                          <a:off x="0" y="0"/>
                          <a:ext cx="235527" cy="55418"/>
                        </a:xfrm>
                        <a:custGeom>
                          <a:avLst/>
                          <a:gdLst>
                            <a:gd name="connsiteX0" fmla="*/ 0 w 235527"/>
                            <a:gd name="connsiteY0" fmla="*/ 55418 h 55418"/>
                            <a:gd name="connsiteX1" fmla="*/ 103909 w 235527"/>
                            <a:gd name="connsiteY1" fmla="*/ 55418 h 55418"/>
                            <a:gd name="connsiteX2" fmla="*/ 187036 w 235527"/>
                            <a:gd name="connsiteY2" fmla="*/ 27709 h 55418"/>
                            <a:gd name="connsiteX3" fmla="*/ 235527 w 235527"/>
                            <a:gd name="connsiteY3" fmla="*/ 0 h 55418"/>
                          </a:gdLst>
                          <a:ahLst/>
                          <a:cxnLst>
                            <a:cxn ang="0">
                              <a:pos x="connsiteX0" y="connsiteY0"/>
                            </a:cxn>
                            <a:cxn ang="0">
                              <a:pos x="connsiteX1" y="connsiteY1"/>
                            </a:cxn>
                            <a:cxn ang="0">
                              <a:pos x="connsiteX2" y="connsiteY2"/>
                            </a:cxn>
                            <a:cxn ang="0">
                              <a:pos x="connsiteX3" y="connsiteY3"/>
                            </a:cxn>
                          </a:cxnLst>
                          <a:rect l="l" t="t" r="r" b="b"/>
                          <a:pathLst>
                            <a:path w="235527" h="55418">
                              <a:moveTo>
                                <a:pt x="0" y="55418"/>
                              </a:moveTo>
                              <a:lnTo>
                                <a:pt x="103909" y="55418"/>
                              </a:lnTo>
                              <a:lnTo>
                                <a:pt x="187036" y="27709"/>
                              </a:lnTo>
                              <a:lnTo>
                                <a:pt x="235527" y="0"/>
                              </a:lnTo>
                            </a:path>
                          </a:pathLst>
                        </a:cu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87" o:spid="_x0000_s1026" o:spt="100" style="position:absolute;left:0pt;margin-left:272.5pt;margin-top:417.3pt;height:4.35pt;width:18.55pt;z-index:251657216;v-text-anchor:middle;mso-width-relative:page;mso-height-relative:page;" filled="f" stroked="t" coordsize="235527,55418" o:gfxdata="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" path="m0,55418l103909,55418,187036,27709,235527,0e">
                <v:path o:connectlocs="0,55418;103909,55418;187036,27709;235527,0" o:connectangles="0,0,0,0"/>
                <v:fill on="f" focussize="0,0"/>
                <v:stroke weight="2.25pt" color="#FF0000 [3204]" miterlimit="8" joinstyle="miter"/>
                <v:imagedata o:title=""/>
                <o:lock v:ext="edit" aspectratio="f"/>
              </v:shape>
            </w:pict>
          </mc:Fallback>
        </mc:AlternateContent>
      </w:r>
      <w:r>
        <mc:AlternateContent>
          <mc:Choice Requires="wps">
            <w:drawing>
              <wp:anchor distT="0" distB="0" distL="114300" distR="114300" simplePos="0" relativeHeight="251698176" behindDoc="0" locked="0" layoutInCell="1" allowOverlap="1">
                <wp:simplePos x="0" y="0"/>
                <wp:positionH relativeFrom="column">
                  <wp:posOffset>5007610</wp:posOffset>
                </wp:positionH>
                <wp:positionV relativeFrom="paragraph">
                  <wp:posOffset>2910205</wp:posOffset>
                </wp:positionV>
                <wp:extent cx="734695" cy="313055"/>
                <wp:effectExtent l="0" t="0" r="0" b="0"/>
                <wp:wrapNone/>
                <wp:docPr id="62" name="Rectangle 132"/>
                <wp:cNvGraphicFramePr/>
                <a:graphic xmlns:a="http://schemas.openxmlformats.org/drawingml/2006/main">
                  <a:graphicData uri="http://schemas.microsoft.com/office/word/2010/wordprocessingShape">
                    <wps:wsp>
                      <wps:cNvSpPr>
                        <a:spLocks noChangeArrowheads="1"/>
                      </wps:cNvSpPr>
                      <wps:spPr bwMode="auto">
                        <a:xfrm>
                          <a:off x="0" y="0"/>
                          <a:ext cx="734464" cy="312766"/>
                        </a:xfrm>
                        <a:prstGeom prst="rect">
                          <a:avLst/>
                        </a:prstGeom>
                        <a:noFill/>
                        <a:ln>
                          <a:noFill/>
                        </a:ln>
                      </wps:spPr>
                      <wps:txbx>
                        <w:txbxContent>
                          <w:p>
                            <w:pPr>
                              <w:rPr>
                                <w:b/>
                                <w:bCs/>
                                <w:color w:val="0070C0"/>
                              </w:rPr>
                            </w:pPr>
                            <w:r>
                              <w:rPr>
                                <w:rFonts w:hint="eastAsia"/>
                                <w:b/>
                                <w:bCs/>
                                <w:color w:val="0070C0"/>
                              </w:rPr>
                              <w:t>周溪河</w:t>
                            </w:r>
                          </w:p>
                        </w:txbxContent>
                      </wps:txbx>
                      <wps:bodyPr rot="0" vert="horz" wrap="square" lIns="91440" tIns="45720" rIns="91440" bIns="45720" anchor="t" anchorCtr="0" upright="1">
                        <a:noAutofit/>
                      </wps:bodyPr>
                    </wps:wsp>
                  </a:graphicData>
                </a:graphic>
              </wp:anchor>
            </w:drawing>
          </mc:Choice>
          <mc:Fallback>
            <w:pict>
              <v:rect id="Rectangle 132" o:spid="_x0000_s1026" o:spt="1" style="position:absolute;left:0pt;margin-left:394.3pt;margin-top:229.15pt;height:24.65pt;width:57.85pt;z-index:251698176;mso-width-relative:page;mso-height-relative:page;" filled="f" stroked="f" coordsize="21600,21600" o:gfxdata="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Bu38Za3AAAAAsBAAAPAAAAAAAAAAEAIAAAACIAAABkcnMvZG93bnJldi54bWxQSwECFAAUAAAA&#10;CACHTuJAPW9OCeoBAAC/AwAADgAAAAAAAAABACAAAAArAQAAZHJzL2Uyb0RvYy54bWxQSwUGAAAA&#10;AAYABgBZAQAAhwUAAAAA&#10;">
                <v:fill on="f" focussize="0,0"/>
                <v:stroke on="f"/>
                <v:imagedata o:title=""/>
                <o:lock v:ext="edit" aspectratio="f"/>
                <v:textbox>
                  <w:txbxContent>
                    <w:p>
                      <w:pPr>
                        <w:rPr>
                          <w:b/>
                          <w:bCs/>
                          <w:color w:val="0070C0"/>
                        </w:rPr>
                      </w:pPr>
                      <w:r>
                        <w:rPr>
                          <w:rFonts w:hint="eastAsia"/>
                          <w:b/>
                          <w:bCs/>
                          <w:color w:val="0070C0"/>
                        </w:rPr>
                        <w:t>周溪河</w:t>
                      </w:r>
                    </w:p>
                  </w:txbxContent>
                </v:textbox>
              </v:rect>
            </w:pict>
          </mc:Fallback>
        </mc:AlternateContent>
      </w:r>
      <w:r>
        <mc:AlternateContent>
          <mc:Choice Requires="wps">
            <w:drawing>
              <wp:anchor distT="0" distB="0" distL="114300" distR="114300" simplePos="0" relativeHeight="251699200" behindDoc="0" locked="0" layoutInCell="1" allowOverlap="1">
                <wp:simplePos x="0" y="0"/>
                <wp:positionH relativeFrom="column">
                  <wp:posOffset>4919980</wp:posOffset>
                </wp:positionH>
                <wp:positionV relativeFrom="paragraph">
                  <wp:posOffset>4276090</wp:posOffset>
                </wp:positionV>
                <wp:extent cx="103505" cy="415290"/>
                <wp:effectExtent l="0" t="0" r="68580" b="60960"/>
                <wp:wrapNone/>
                <wp:docPr id="63" name="直接箭头连接符 63"/>
                <wp:cNvGraphicFramePr/>
                <a:graphic xmlns:a="http://schemas.openxmlformats.org/drawingml/2006/main">
                  <a:graphicData uri="http://schemas.microsoft.com/office/word/2010/wordprocessingShape">
                    <wps:wsp>
                      <wps:cNvCnPr/>
                      <wps:spPr>
                        <a:xfrm>
                          <a:off x="0" y="0"/>
                          <a:ext cx="103331" cy="41534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387.4pt;margin-top:336.7pt;height:32.7pt;width:8.15pt;z-index:251699200;mso-width-relative:page;mso-height-relative:page;" filled="f" stroked="t" coordsize="21600,21600" o:gfxdata="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K8GzatsAAAALAQAADwAAAAAAAAABACAAAAAiAAAAZHJzL2Rvd25yZXYueG1sUEsB&#10;AhQAFAAAAAgAh07iQHbhoBzyAQAAmQMAAA4AAAAAAAAAAQAgAAAAKgEAAGRycy9lMm9Eb2MueG1s&#10;UEsFBgAAAAAGAAYAWQEAAI4FAAAAAA==&#10;">
                <v:fill on="f" focussize="0,0"/>
                <v:stroke weight="0.5pt" color="#4472C4 [3204]" miterlimit="8" joinstyle="miter" endarrow="block"/>
                <v:imagedata o:title=""/>
                <o:lock v:ext="edit" aspectratio="f"/>
              </v:shape>
            </w:pict>
          </mc:Fallback>
        </mc:AlternateContent>
      </w:r>
      <w:r>
        <mc:AlternateContent>
          <mc:Choice Requires="wps">
            <w:drawing>
              <wp:anchor distT="0" distB="0" distL="114300" distR="114300" simplePos="0" relativeHeight="251701248" behindDoc="0" locked="0" layoutInCell="1" allowOverlap="1">
                <wp:simplePos x="0" y="0"/>
                <wp:positionH relativeFrom="column">
                  <wp:posOffset>4689475</wp:posOffset>
                </wp:positionH>
                <wp:positionV relativeFrom="paragraph">
                  <wp:posOffset>2576830</wp:posOffset>
                </wp:positionV>
                <wp:extent cx="295275" cy="396875"/>
                <wp:effectExtent l="0" t="0" r="47625" b="60325"/>
                <wp:wrapNone/>
                <wp:docPr id="64" name="直接箭头连接符 64"/>
                <wp:cNvGraphicFramePr/>
                <a:graphic xmlns:a="http://schemas.openxmlformats.org/drawingml/2006/main">
                  <a:graphicData uri="http://schemas.microsoft.com/office/word/2010/wordprocessingShape">
                    <wps:wsp>
                      <wps:cNvCnPr/>
                      <wps:spPr>
                        <a:xfrm>
                          <a:off x="0" y="0"/>
                          <a:ext cx="295564" cy="39716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369.25pt;margin-top:202.9pt;height:31.25pt;width:23.25pt;z-index:251701248;mso-width-relative:page;mso-height-relative:page;" filled="f" stroked="t" coordsize="21600,21600" o:gfxdata="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8w3/5tsAAAALAQAADwAAAAAAAAABACAAAAAiAAAAZHJzL2Rvd25yZXYueG1sUEsB&#10;AhQAFAAAAAgAh07iQAKwHMHyAQAAmQMAAA4AAAAAAAAAAQAgAAAAKgEAAGRycy9lMm9Eb2MueG1s&#10;UEsFBgAAAAAGAAYAWQEAAI4FAAAAAA==&#10;">
                <v:fill on="f" focussize="0,0"/>
                <v:stroke weight="0.5pt" color="#4472C4 [3204]" miterlimit="8" joinstyle="miter" endarrow="block"/>
                <v:imagedata o:title=""/>
                <o:lock v:ext="edit" aspectratio="f"/>
              </v:shape>
            </w:pict>
          </mc:Fallback>
        </mc:AlternateContent>
      </w:r>
      <w:r>
        <mc:AlternateContent>
          <mc:Choice Requires="wps">
            <w:drawing>
              <wp:anchor distT="0" distB="0" distL="114300" distR="114300" simplePos="0" relativeHeight="251667456" behindDoc="0" locked="0" layoutInCell="1" allowOverlap="1">
                <wp:simplePos x="0" y="0"/>
                <wp:positionH relativeFrom="column">
                  <wp:posOffset>5299075</wp:posOffset>
                </wp:positionH>
                <wp:positionV relativeFrom="paragraph">
                  <wp:posOffset>1230630</wp:posOffset>
                </wp:positionV>
                <wp:extent cx="958850" cy="327660"/>
                <wp:effectExtent l="699135" t="7620" r="8890" b="64770"/>
                <wp:wrapNone/>
                <wp:docPr id="61" name="AutoShape 122"/>
                <wp:cNvGraphicFramePr/>
                <a:graphic xmlns:a="http://schemas.openxmlformats.org/drawingml/2006/main">
                  <a:graphicData uri="http://schemas.microsoft.com/office/word/2010/wordprocessingShape">
                    <wps:wsp>
                      <wps:cNvSpPr>
                        <a:spLocks noChangeArrowheads="1"/>
                      </wps:cNvSpPr>
                      <wps:spPr bwMode="auto">
                        <a:xfrm>
                          <a:off x="0" y="0"/>
                          <a:ext cx="958850" cy="327660"/>
                        </a:xfrm>
                        <a:prstGeom prst="wedgeRoundRectCallout">
                          <a:avLst>
                            <a:gd name="adj1" fmla="val -114106"/>
                            <a:gd name="adj2" fmla="val 61046"/>
                            <a:gd name="adj3" fmla="val 16667"/>
                          </a:avLst>
                        </a:prstGeom>
                        <a:solidFill>
                          <a:srgbClr val="FFFFFF"/>
                        </a:solidFill>
                        <a:ln w="9525">
                          <a:solidFill>
                            <a:srgbClr val="000000"/>
                          </a:solidFill>
                          <a:miter lim="800000"/>
                        </a:ln>
                      </wps:spPr>
                      <wps:txbx>
                        <w:txbxContent>
                          <w:p>
                            <w:pPr>
                              <w:jc w:val="center"/>
                            </w:pPr>
                            <w:r>
                              <w:rPr>
                                <w:rFonts w:hint="eastAsia"/>
                              </w:rPr>
                              <w:t>管网走向</w:t>
                            </w:r>
                          </w:p>
                        </w:txbxContent>
                      </wps:txbx>
                      <wps:bodyPr rot="0" vert="horz" wrap="square" lIns="91440" tIns="45720" rIns="91440" bIns="45720" anchor="t" anchorCtr="0" upright="1">
                        <a:noAutofit/>
                      </wps:bodyPr>
                    </wps:wsp>
                  </a:graphicData>
                </a:graphic>
              </wp:anchor>
            </w:drawing>
          </mc:Choice>
          <mc:Fallback>
            <w:pict>
              <v:shape id="AutoShape 122" o:spid="_x0000_s1026" o:spt="62" type="#_x0000_t62" style="position:absolute;left:0pt;margin-left:417.25pt;margin-top:96.9pt;height:25.8pt;width:75.5pt;z-index:251667456;mso-width-relative:page;mso-height-relative:page;" fillcolor="#FFFFFF" filled="t" stroked="t" coordsize="21600,21600" o:gfxdata="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vU4ix2wAAAAsBAAAPAAAAAAAA&#10;AAEAIAAAACIAAABkcnMvZG93bnJldi54bWxQSwECFAAUAAAACACHTuJA3XTv90gCAAC5BAAADgAA&#10;AAAAAAABACAAAAAqAQAAZHJzL2Uyb0RvYy54bWxQSwUGAAAAAAYABgBZAQAA5AUAAAAA&#10;" adj="-13847,23986,14400">
                <v:fill on="t" focussize="0,0"/>
                <v:stroke color="#000000" miterlimit="8" joinstyle="miter"/>
                <v:imagedata o:title=""/>
                <o:lock v:ext="edit" aspectratio="f"/>
                <v:textbox>
                  <w:txbxContent>
                    <w:p>
                      <w:pPr>
                        <w:jc w:val="center"/>
                      </w:pPr>
                      <w:r>
                        <w:rPr>
                          <w:rFonts w:hint="eastAsia"/>
                        </w:rPr>
                        <w:t>管网走向</w:t>
                      </w:r>
                    </w:p>
                  </w:txbxContent>
                </v:textbox>
              </v:shape>
            </w:pict>
          </mc:Fallback>
        </mc:AlternateContent>
      </w:r>
      <w:r>
        <w:rPr>
          <w:color w:val="FF0000"/>
        </w:rPr>
        <w:drawing>
          <wp:anchor distT="0" distB="0" distL="114300" distR="114300" simplePos="0" relativeHeight="251658240" behindDoc="0" locked="0" layoutInCell="1" allowOverlap="1">
            <wp:simplePos x="0" y="0"/>
            <wp:positionH relativeFrom="column">
              <wp:posOffset>7377430</wp:posOffset>
            </wp:positionH>
            <wp:positionV relativeFrom="paragraph">
              <wp:posOffset>130175</wp:posOffset>
            </wp:positionV>
            <wp:extent cx="868045" cy="973455"/>
            <wp:effectExtent l="19050" t="19050" r="8255" b="0"/>
            <wp:wrapNone/>
            <wp:docPr id="35" name="图片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89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868045" cy="973455"/>
                    </a:xfrm>
                    <a:prstGeom prst="rect">
                      <a:avLst/>
                    </a:prstGeom>
                    <a:noFill/>
                    <a:ln w="6350">
                      <a:solidFill>
                        <a:srgbClr val="000000"/>
                      </a:solidFill>
                      <a:miter lim="800000"/>
                      <a:headEnd/>
                      <a:tailEnd/>
                    </a:ln>
                  </pic:spPr>
                </pic:pic>
              </a:graphicData>
            </a:graphic>
          </wp:anchor>
        </w:drawing>
      </w:r>
      <w:r>
        <w:rPr>
          <w:color w:val="FF0000"/>
        </w:rPr>
        <w:t xml:space="preserve"> </w:t>
      </w:r>
      <w:r>
        <mc:AlternateContent>
          <mc:Choice Requires="wps">
            <w:drawing>
              <wp:anchor distT="0" distB="0" distL="114300" distR="114300" simplePos="0" relativeHeight="251678720" behindDoc="0" locked="0" layoutInCell="1" allowOverlap="1">
                <wp:simplePos x="0" y="0"/>
                <wp:positionH relativeFrom="column">
                  <wp:posOffset>3382010</wp:posOffset>
                </wp:positionH>
                <wp:positionV relativeFrom="paragraph">
                  <wp:posOffset>2265045</wp:posOffset>
                </wp:positionV>
                <wp:extent cx="424815" cy="267970"/>
                <wp:effectExtent l="1270" t="3810" r="2540" b="4445"/>
                <wp:wrapNone/>
                <wp:docPr id="60" name="Rectangle 133"/>
                <wp:cNvGraphicFramePr/>
                <a:graphic xmlns:a="http://schemas.openxmlformats.org/drawingml/2006/main">
                  <a:graphicData uri="http://schemas.microsoft.com/office/word/2010/wordprocessingShape">
                    <wps:wsp>
                      <wps:cNvSpPr>
                        <a:spLocks noChangeArrowheads="1"/>
                      </wps:cNvSpPr>
                      <wps:spPr bwMode="auto">
                        <a:xfrm>
                          <a:off x="0" y="0"/>
                          <a:ext cx="424815" cy="267970"/>
                        </a:xfrm>
                        <a:prstGeom prst="rect">
                          <a:avLst/>
                        </a:prstGeom>
                        <a:noFill/>
                        <a:ln>
                          <a:noFill/>
                        </a:ln>
                      </wps:spPr>
                      <wps:txbx>
                        <w:txbxContent>
                          <w:p>
                            <w:r>
                              <w:t>N5</w:t>
                            </w:r>
                          </w:p>
                        </w:txbxContent>
                      </wps:txbx>
                      <wps:bodyPr rot="0" vert="horz" wrap="square" lIns="91440" tIns="45720" rIns="91440" bIns="45720" anchor="t" anchorCtr="0" upright="1">
                        <a:noAutofit/>
                      </wps:bodyPr>
                    </wps:wsp>
                  </a:graphicData>
                </a:graphic>
              </wp:anchor>
            </w:drawing>
          </mc:Choice>
          <mc:Fallback>
            <w:pict>
              <v:rect id="Rectangle 133" o:spid="_x0000_s1026" o:spt="1" style="position:absolute;left:0pt;margin-left:266.3pt;margin-top:178.35pt;height:21.1pt;width:33.45pt;z-index:251678720;mso-width-relative:page;mso-height-relative:page;" filled="f" stroked="f" coordsize="21600,21600" o:gfxdata="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BHkkpY3AAAAAsBAAAPAAAAAAAAAAEAIAAAACIAAABkcnMvZG93bnJldi54bWxQSwECFAAUAAAA&#10;CACHTuJAQXvjh+oBAAC/AwAADgAAAAAAAAABACAAAAArAQAAZHJzL2Uyb0RvYy54bWxQSwUGAAAA&#10;AAYABgBZAQAAhwUAAAAA&#10;">
                <v:fill on="f" focussize="0,0"/>
                <v:stroke on="f"/>
                <v:imagedata o:title=""/>
                <o:lock v:ext="edit" aspectratio="f"/>
                <v:textbox>
                  <w:txbxContent>
                    <w:p>
                      <w:r>
                        <w:t>N5</w:t>
                      </w:r>
                    </w:p>
                  </w:txbxContent>
                </v:textbox>
              </v:rect>
            </w:pict>
          </mc:Fallback>
        </mc:AlternateContent>
      </w:r>
      <w:r>
        <mc:AlternateContent>
          <mc:Choice Requires="wps">
            <w:drawing>
              <wp:anchor distT="0" distB="0" distL="114300" distR="114300" simplePos="0" relativeHeight="251673600" behindDoc="0" locked="0" layoutInCell="1" allowOverlap="1">
                <wp:simplePos x="0" y="0"/>
                <wp:positionH relativeFrom="column">
                  <wp:posOffset>3669030</wp:posOffset>
                </wp:positionH>
                <wp:positionV relativeFrom="paragraph">
                  <wp:posOffset>2319655</wp:posOffset>
                </wp:positionV>
                <wp:extent cx="137795" cy="119380"/>
                <wp:effectExtent l="21590" t="20320" r="21590" b="12700"/>
                <wp:wrapNone/>
                <wp:docPr id="59" name="AutoShape 128"/>
                <wp:cNvGraphicFramePr/>
                <a:graphic xmlns:a="http://schemas.openxmlformats.org/drawingml/2006/main">
                  <a:graphicData uri="http://schemas.microsoft.com/office/word/2010/wordprocessingShape">
                    <wps:wsp>
                      <wps:cNvSpPr>
                        <a:spLocks noChangeArrowheads="1"/>
                      </wps:cNvSpPr>
                      <wps:spPr bwMode="auto">
                        <a:xfrm>
                          <a:off x="0" y="0"/>
                          <a:ext cx="137795" cy="119380"/>
                        </a:xfrm>
                        <a:prstGeom prst="triangle">
                          <a:avLst>
                            <a:gd name="adj" fmla="val 50000"/>
                          </a:avLst>
                        </a:prstGeom>
                        <a:solidFill>
                          <a:srgbClr val="FFFF00"/>
                        </a:solidFill>
                        <a:ln w="9525">
                          <a:solidFill>
                            <a:srgbClr val="000000"/>
                          </a:solidFill>
                          <a:miter lim="800000"/>
                        </a:ln>
                      </wps:spPr>
                      <wps:txbx>
                        <w:txbxContent>
                          <w:p>
                            <w:pPr>
                              <w:jc w:val="center"/>
                            </w:pPr>
                          </w:p>
                        </w:txbxContent>
                      </wps:txbx>
                      <wps:bodyPr rot="0" vert="horz" wrap="square" lIns="91440" tIns="45720" rIns="91440" bIns="45720" anchor="t" anchorCtr="0" upright="1">
                        <a:noAutofit/>
                      </wps:bodyPr>
                    </wps:wsp>
                  </a:graphicData>
                </a:graphic>
              </wp:anchor>
            </w:drawing>
          </mc:Choice>
          <mc:Fallback>
            <w:pict>
              <v:shape id="AutoShape 128" o:spid="_x0000_s1026" o:spt="5" type="#_x0000_t5" style="position:absolute;left:0pt;margin-left:288.9pt;margin-top:182.65pt;height:9.4pt;width:10.85pt;z-index:251673600;mso-width-relative:page;mso-height-relative:page;" fillcolor="#FFFF00" filled="t" stroked="t" coordsize="21600,21600" o:gfxdata="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jsByu3AAAAAsBAAAPAAAAAAAAAAEAIAAAACIAAABkcnMvZG93bnJldi54bWxQSwECFAAU&#10;AAAACACHTuJACEWshSYCAABhBAAADgAAAAAAAAABACAAAAArAQAAZHJzL2Uyb0RvYy54bWxQSwUG&#10;AAAAAAYABgBZAQAAwwUAAAAA&#10;" adj="10800">
                <v:fill on="t" focussize="0,0"/>
                <v:stroke color="#000000" miterlimit="8" joinstyle="miter"/>
                <v:imagedata o:title=""/>
                <o:lock v:ext="edit" aspectratio="f"/>
                <v:textbox>
                  <w:txbxContent>
                    <w:p>
                      <w:pPr>
                        <w:jc w:val="center"/>
                      </w:pPr>
                    </w:p>
                  </w:txbxContent>
                </v:textbox>
              </v:shape>
            </w:pict>
          </mc:Fallback>
        </mc:AlternateContent>
      </w:r>
      <w:r>
        <mc:AlternateContent>
          <mc:Choice Requires="wps">
            <w:drawing>
              <wp:anchor distT="0" distB="0" distL="114300" distR="114300" simplePos="0" relativeHeight="251679744" behindDoc="0" locked="0" layoutInCell="1" allowOverlap="1">
                <wp:simplePos x="0" y="0"/>
                <wp:positionH relativeFrom="column">
                  <wp:posOffset>4551680</wp:posOffset>
                </wp:positionH>
                <wp:positionV relativeFrom="paragraph">
                  <wp:posOffset>1685925</wp:posOffset>
                </wp:positionV>
                <wp:extent cx="424815" cy="267970"/>
                <wp:effectExtent l="0" t="0" r="4445" b="2540"/>
                <wp:wrapNone/>
                <wp:docPr id="55" name="Rectangle 134"/>
                <wp:cNvGraphicFramePr/>
                <a:graphic xmlns:a="http://schemas.openxmlformats.org/drawingml/2006/main">
                  <a:graphicData uri="http://schemas.microsoft.com/office/word/2010/wordprocessingShape">
                    <wps:wsp>
                      <wps:cNvSpPr>
                        <a:spLocks noChangeArrowheads="1"/>
                      </wps:cNvSpPr>
                      <wps:spPr bwMode="auto">
                        <a:xfrm>
                          <a:off x="0" y="0"/>
                          <a:ext cx="424815" cy="267970"/>
                        </a:xfrm>
                        <a:prstGeom prst="rect">
                          <a:avLst/>
                        </a:prstGeom>
                        <a:noFill/>
                        <a:ln>
                          <a:noFill/>
                        </a:ln>
                      </wps:spPr>
                      <wps:txbx>
                        <w:txbxContent>
                          <w:p>
                            <w:r>
                              <w:rPr>
                                <w:rFonts w:hint="eastAsia"/>
                              </w:rPr>
                              <w:t>N6</w:t>
                            </w:r>
                          </w:p>
                        </w:txbxContent>
                      </wps:txbx>
                      <wps:bodyPr rot="0" vert="horz" wrap="square" lIns="91440" tIns="45720" rIns="91440" bIns="45720" anchor="t" anchorCtr="0" upright="1">
                        <a:noAutofit/>
                      </wps:bodyPr>
                    </wps:wsp>
                  </a:graphicData>
                </a:graphic>
              </wp:anchor>
            </w:drawing>
          </mc:Choice>
          <mc:Fallback>
            <w:pict>
              <v:rect id="Rectangle 134" o:spid="_x0000_s1026" o:spt="1" style="position:absolute;left:0pt;margin-left:358.4pt;margin-top:132.75pt;height:21.1pt;width:33.45pt;z-index:251679744;mso-width-relative:page;mso-height-relative:page;" filled="f" stroked="f" coordsize="21600,21600" o:gfxdata="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D9Qmz43AAAAAsBAAAPAAAAAAAAAAEAIAAAACIAAABkcnMvZG93bnJldi54bWxQSwECFAAUAAAA&#10;CACHTuJA0HxsxOoBAAC/AwAADgAAAAAAAAABACAAAAArAQAAZHJzL2Uyb0RvYy54bWxQSwUGAAAA&#10;AAYABgBZAQAAhwUAAAAA&#10;">
                <v:fill on="f" focussize="0,0"/>
                <v:stroke on="f"/>
                <v:imagedata o:title=""/>
                <o:lock v:ext="edit" aspectratio="f"/>
                <v:textbox>
                  <w:txbxContent>
                    <w:p>
                      <w:r>
                        <w:rPr>
                          <w:rFonts w:hint="eastAsia"/>
                        </w:rPr>
                        <w:t>N6</w:t>
                      </w:r>
                    </w:p>
                  </w:txbxContent>
                </v:textbox>
              </v:rect>
            </w:pict>
          </mc:Fallback>
        </mc:AlternateContent>
      </w:r>
      <w:r>
        <mc:AlternateContent>
          <mc:Choice Requires="wps">
            <w:drawing>
              <wp:anchor distT="0" distB="0" distL="114300" distR="114300" simplePos="0" relativeHeight="251685888" behindDoc="0" locked="0" layoutInCell="1" allowOverlap="1">
                <wp:simplePos x="0" y="0"/>
                <wp:positionH relativeFrom="column">
                  <wp:posOffset>4645660</wp:posOffset>
                </wp:positionH>
                <wp:positionV relativeFrom="paragraph">
                  <wp:posOffset>4888230</wp:posOffset>
                </wp:positionV>
                <wp:extent cx="424815" cy="267970"/>
                <wp:effectExtent l="0" t="0" r="0" b="635"/>
                <wp:wrapNone/>
                <wp:docPr id="53" name="Rectangle 140"/>
                <wp:cNvGraphicFramePr/>
                <a:graphic xmlns:a="http://schemas.openxmlformats.org/drawingml/2006/main">
                  <a:graphicData uri="http://schemas.microsoft.com/office/word/2010/wordprocessingShape">
                    <wps:wsp>
                      <wps:cNvSpPr>
                        <a:spLocks noChangeArrowheads="1"/>
                      </wps:cNvSpPr>
                      <wps:spPr bwMode="auto">
                        <a:xfrm>
                          <a:off x="0" y="0"/>
                          <a:ext cx="424815" cy="267970"/>
                        </a:xfrm>
                        <a:prstGeom prst="rect">
                          <a:avLst/>
                        </a:prstGeom>
                        <a:noFill/>
                        <a:ln>
                          <a:noFill/>
                        </a:ln>
                      </wps:spPr>
                      <wps:txbx>
                        <w:txbxContent>
                          <w:p>
                            <w:r>
                              <w:rPr>
                                <w:rFonts w:hint="eastAsia"/>
                              </w:rPr>
                              <w:t>W1</w:t>
                            </w:r>
                          </w:p>
                        </w:txbxContent>
                      </wps:txbx>
                      <wps:bodyPr rot="0" vert="horz" wrap="square" lIns="91440" tIns="45720" rIns="91440" bIns="45720" anchor="t" anchorCtr="0" upright="1">
                        <a:noAutofit/>
                      </wps:bodyPr>
                    </wps:wsp>
                  </a:graphicData>
                </a:graphic>
              </wp:anchor>
            </w:drawing>
          </mc:Choice>
          <mc:Fallback>
            <w:pict>
              <v:rect id="Rectangle 140" o:spid="_x0000_s1026" o:spt="1" style="position:absolute;left:0pt;margin-left:365.8pt;margin-top:384.9pt;height:21.1pt;width:33.45pt;z-index:251685888;mso-width-relative:page;mso-height-relative:page;" filled="f" stroked="f" coordsize="21600,21600" o:gfxdata="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Dj/OA+3AAAAAsBAAAPAAAAAAAAAAEAIAAAACIAAABkcnMvZG93bnJldi54bWxQSwECFAAUAAAA&#10;CACHTuJAdux5kOoBAAC/AwAADgAAAAAAAAABACAAAAArAQAAZHJzL2Uyb0RvYy54bWxQSwUGAAAA&#10;AAYABgBZAQAAhwUAAAAA&#10;">
                <v:fill on="f" focussize="0,0"/>
                <v:stroke on="f"/>
                <v:imagedata o:title=""/>
                <o:lock v:ext="edit" aspectratio="f"/>
                <v:textbox>
                  <w:txbxContent>
                    <w:p>
                      <w:r>
                        <w:rPr>
                          <w:rFonts w:hint="eastAsia"/>
                        </w:rPr>
                        <w:t>W1</w:t>
                      </w:r>
                    </w:p>
                  </w:txbxContent>
                </v:textbox>
              </v:rect>
            </w:pict>
          </mc:Fallback>
        </mc:AlternateContent>
      </w:r>
      <w:r>
        <mc:AlternateContent>
          <mc:Choice Requires="wps">
            <w:drawing>
              <wp:anchor distT="0" distB="0" distL="114300" distR="114300" simplePos="0" relativeHeight="251684864" behindDoc="0" locked="0" layoutInCell="1" allowOverlap="1">
                <wp:simplePos x="0" y="0"/>
                <wp:positionH relativeFrom="column">
                  <wp:posOffset>6779260</wp:posOffset>
                </wp:positionH>
                <wp:positionV relativeFrom="paragraph">
                  <wp:posOffset>5246370</wp:posOffset>
                </wp:positionV>
                <wp:extent cx="1247140" cy="267970"/>
                <wp:effectExtent l="0" t="3810" r="2540" b="4445"/>
                <wp:wrapNone/>
                <wp:docPr id="52" name="Rectangle 139"/>
                <wp:cNvGraphicFramePr/>
                <a:graphic xmlns:a="http://schemas.openxmlformats.org/drawingml/2006/main">
                  <a:graphicData uri="http://schemas.microsoft.com/office/word/2010/wordprocessingShape">
                    <wps:wsp>
                      <wps:cNvSpPr>
                        <a:spLocks noChangeArrowheads="1"/>
                      </wps:cNvSpPr>
                      <wps:spPr bwMode="auto">
                        <a:xfrm>
                          <a:off x="0" y="0"/>
                          <a:ext cx="1247140" cy="267970"/>
                        </a:xfrm>
                        <a:prstGeom prst="rect">
                          <a:avLst/>
                        </a:prstGeom>
                        <a:noFill/>
                        <a:ln>
                          <a:noFill/>
                        </a:ln>
                      </wps:spPr>
                      <wps:txbx>
                        <w:txbxContent>
                          <w:p>
                            <w:r>
                              <w:rPr>
                                <w:rFonts w:hint="eastAsia"/>
                              </w:rPr>
                              <w:t>地表水监测点位</w:t>
                            </w:r>
                          </w:p>
                        </w:txbxContent>
                      </wps:txbx>
                      <wps:bodyPr rot="0" vert="horz" wrap="square" lIns="91440" tIns="45720" rIns="91440" bIns="45720" anchor="t" anchorCtr="0" upright="1">
                        <a:noAutofit/>
                      </wps:bodyPr>
                    </wps:wsp>
                  </a:graphicData>
                </a:graphic>
              </wp:anchor>
            </w:drawing>
          </mc:Choice>
          <mc:Fallback>
            <w:pict>
              <v:rect id="Rectangle 139" o:spid="_x0000_s1026" o:spt="1" style="position:absolute;left:0pt;margin-left:533.8pt;margin-top:413.1pt;height:21.1pt;width:98.2pt;z-index:251684864;mso-width-relative:page;mso-height-relative:page;" filled="f" stroked="f" coordsize="21600,21600" o:gfxdata="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Volz3AAAAA0BAAAPAAAAAAAAAAEAIAAAACIAAABkcnMvZG93bnJldi54bWxQSwECFAAUAAAA&#10;CACHTuJAfyMVxeoBAADAAwAADgAAAAAAAAABACAAAAArAQAAZHJzL2Uyb0RvYy54bWxQSwUGAAAA&#10;AAYABgBZAQAAhwUAAAAA&#10;">
                <v:fill on="f" focussize="0,0"/>
                <v:stroke on="f"/>
                <v:imagedata o:title=""/>
                <o:lock v:ext="edit" aspectratio="f"/>
                <v:textbox>
                  <w:txbxContent>
                    <w:p>
                      <w:r>
                        <w:rPr>
                          <w:rFonts w:hint="eastAsia"/>
                        </w:rPr>
                        <w:t>地表水监测点位</w:t>
                      </w:r>
                    </w:p>
                  </w:txbxContent>
                </v:textbox>
              </v:rect>
            </w:pict>
          </mc:Fallback>
        </mc:AlternateContent>
      </w:r>
      <w:r>
        <mc:AlternateContent>
          <mc:Choice Requires="wps">
            <w:drawing>
              <wp:anchor distT="0" distB="0" distL="114300" distR="114300" simplePos="0" relativeHeight="251683840" behindDoc="0" locked="0" layoutInCell="1" allowOverlap="1">
                <wp:simplePos x="0" y="0"/>
                <wp:positionH relativeFrom="column">
                  <wp:posOffset>6483985</wp:posOffset>
                </wp:positionH>
                <wp:positionV relativeFrom="paragraph">
                  <wp:posOffset>5396230</wp:posOffset>
                </wp:positionV>
                <wp:extent cx="321310" cy="0"/>
                <wp:effectExtent l="17145" t="58420" r="23495" b="55880"/>
                <wp:wrapNone/>
                <wp:docPr id="51" name="AutoShape 138"/>
                <wp:cNvGraphicFramePr/>
                <a:graphic xmlns:a="http://schemas.openxmlformats.org/drawingml/2006/main">
                  <a:graphicData uri="http://schemas.microsoft.com/office/word/2010/wordprocessingShape">
                    <wps:wsp>
                      <wps:cNvCnPr>
                        <a:cxnSpLocks noChangeShapeType="1"/>
                      </wps:cNvCnPr>
                      <wps:spPr bwMode="auto">
                        <a:xfrm>
                          <a:off x="0" y="0"/>
                          <a:ext cx="321310" cy="0"/>
                        </a:xfrm>
                        <a:prstGeom prst="straightConnector1">
                          <a:avLst/>
                        </a:prstGeom>
                        <a:noFill/>
                        <a:ln w="9525">
                          <a:solidFill>
                            <a:srgbClr val="7030A0"/>
                          </a:solidFill>
                          <a:round/>
                          <a:headEnd type="triangle" w="med" len="med"/>
                          <a:tailEnd type="triangle" w="med" len="med"/>
                        </a:ln>
                      </wps:spPr>
                      <wps:bodyPr/>
                    </wps:wsp>
                  </a:graphicData>
                </a:graphic>
              </wp:anchor>
            </w:drawing>
          </mc:Choice>
          <mc:Fallback>
            <w:pict>
              <v:shape id="AutoShape 138" o:spid="_x0000_s1026" o:spt="32" type="#_x0000_t32" style="position:absolute;left:0pt;margin-left:510.55pt;margin-top:424.9pt;height:0pt;width:25.3pt;z-index:251683840;mso-width-relative:page;mso-height-relative:page;" filled="f" stroked="t" coordsize="21600,21600" o:gfxdata="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dytLCNgAAAANAQAA&#10;DwAAAAAAAAABACAAAAAiAAAAZHJzL2Rvd25yZXYueG1sUEsBAhQAFAAAAAgAh07iQAUoSF7gAQAA&#10;wgMAAA4AAAAAAAAAAQAgAAAAJwEAAGRycy9lMm9Eb2MueG1sUEsFBgAAAAAGAAYAWQEAAHkFAAAA&#10;AA==&#10;">
                <v:fill on="f" focussize="0,0"/>
                <v:stroke color="#7030A0" joinstyle="round" startarrow="block" endarrow="block"/>
                <v:imagedata o:title=""/>
                <o:lock v:ext="edit" aspectratio="f"/>
              </v:shape>
            </w:pict>
          </mc:Fallback>
        </mc:AlternateContent>
      </w:r>
      <w:r>
        <mc:AlternateContent>
          <mc:Choice Requires="wps">
            <w:drawing>
              <wp:anchor distT="0" distB="0" distL="114300" distR="114300" simplePos="0" relativeHeight="251682816" behindDoc="0" locked="0" layoutInCell="1" allowOverlap="1">
                <wp:simplePos x="0" y="0"/>
                <wp:positionH relativeFrom="column">
                  <wp:posOffset>4331970</wp:posOffset>
                </wp:positionH>
                <wp:positionV relativeFrom="paragraph">
                  <wp:posOffset>5119370</wp:posOffset>
                </wp:positionV>
                <wp:extent cx="487680" cy="36830"/>
                <wp:effectExtent l="27305" t="57785" r="18415" b="57785"/>
                <wp:wrapNone/>
                <wp:docPr id="50" name="AutoShape 137"/>
                <wp:cNvGraphicFramePr/>
                <a:graphic xmlns:a="http://schemas.openxmlformats.org/drawingml/2006/main">
                  <a:graphicData uri="http://schemas.microsoft.com/office/word/2010/wordprocessingShape">
                    <wps:wsp>
                      <wps:cNvCnPr>
                        <a:cxnSpLocks noChangeShapeType="1"/>
                      </wps:cNvCnPr>
                      <wps:spPr bwMode="auto">
                        <a:xfrm>
                          <a:off x="0" y="0"/>
                          <a:ext cx="487680" cy="36830"/>
                        </a:xfrm>
                        <a:prstGeom prst="straightConnector1">
                          <a:avLst/>
                        </a:prstGeom>
                        <a:noFill/>
                        <a:ln w="9525">
                          <a:solidFill>
                            <a:srgbClr val="7030A0"/>
                          </a:solidFill>
                          <a:round/>
                          <a:headEnd type="triangle" w="med" len="med"/>
                          <a:tailEnd type="triangle" w="med" len="med"/>
                        </a:ln>
                      </wps:spPr>
                      <wps:bodyPr/>
                    </wps:wsp>
                  </a:graphicData>
                </a:graphic>
              </wp:anchor>
            </w:drawing>
          </mc:Choice>
          <mc:Fallback>
            <w:pict>
              <v:shape id="AutoShape 137" o:spid="_x0000_s1026" o:spt="32" type="#_x0000_t32" style="position:absolute;left:0pt;margin-left:341.1pt;margin-top:403.1pt;height:2.9pt;width:38.4pt;z-index:251682816;mso-width-relative:page;mso-height-relative:page;" filled="f" stroked="t" coordsize="21600,21600" o:gfxdata="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Bc0EC32AAA&#10;AAsBAAAPAAAAAAAAAAEAIAAAACIAAABkcnMvZG93bnJldi54bWxQSwECFAAUAAAACACHTuJAIvC/&#10;ZuUBAADGAwAADgAAAAAAAAABACAAAAAnAQAAZHJzL2Uyb0RvYy54bWxQSwUGAAAAAAYABgBZAQAA&#10;fgUAAAAA&#10;">
                <v:fill on="f" focussize="0,0"/>
                <v:stroke color="#7030A0" joinstyle="round" startarrow="block" endarrow="block"/>
                <v:imagedata o:title=""/>
                <o:lock v:ext="edit" aspectratio="f"/>
              </v:shape>
            </w:pict>
          </mc:Fallback>
        </mc:AlternateContent>
      </w:r>
      <w:r>
        <mc:AlternateContent>
          <mc:Choice Requires="wps">
            <w:drawing>
              <wp:anchor distT="0" distB="0" distL="114300" distR="114300" simplePos="0" relativeHeight="251681792" behindDoc="0" locked="0" layoutInCell="1" allowOverlap="1">
                <wp:simplePos x="0" y="0"/>
                <wp:positionH relativeFrom="column">
                  <wp:posOffset>6751320</wp:posOffset>
                </wp:positionH>
                <wp:positionV relativeFrom="paragraph">
                  <wp:posOffset>4950460</wp:posOffset>
                </wp:positionV>
                <wp:extent cx="1099185" cy="267970"/>
                <wp:effectExtent l="0" t="3175" r="0" b="0"/>
                <wp:wrapNone/>
                <wp:docPr id="49" name="Rectangle 136"/>
                <wp:cNvGraphicFramePr/>
                <a:graphic xmlns:a="http://schemas.openxmlformats.org/drawingml/2006/main">
                  <a:graphicData uri="http://schemas.microsoft.com/office/word/2010/wordprocessingShape">
                    <wps:wsp>
                      <wps:cNvSpPr>
                        <a:spLocks noChangeArrowheads="1"/>
                      </wps:cNvSpPr>
                      <wps:spPr bwMode="auto">
                        <a:xfrm>
                          <a:off x="0" y="0"/>
                          <a:ext cx="1099185" cy="267970"/>
                        </a:xfrm>
                        <a:prstGeom prst="rect">
                          <a:avLst/>
                        </a:prstGeom>
                        <a:noFill/>
                        <a:ln>
                          <a:noFill/>
                        </a:ln>
                      </wps:spPr>
                      <wps:txbx>
                        <w:txbxContent>
                          <w:p>
                            <w:r>
                              <w:rPr>
                                <w:rFonts w:hint="eastAsia"/>
                              </w:rPr>
                              <w:t>噪声监测点位</w:t>
                            </w:r>
                          </w:p>
                        </w:txbxContent>
                      </wps:txbx>
                      <wps:bodyPr rot="0" vert="horz" wrap="square" lIns="91440" tIns="45720" rIns="91440" bIns="45720" anchor="t" anchorCtr="0" upright="1">
                        <a:noAutofit/>
                      </wps:bodyPr>
                    </wps:wsp>
                  </a:graphicData>
                </a:graphic>
              </wp:anchor>
            </w:drawing>
          </mc:Choice>
          <mc:Fallback>
            <w:pict>
              <v:rect id="Rectangle 136" o:spid="_x0000_s1026" o:spt="1" style="position:absolute;left:0pt;margin-left:531.6pt;margin-top:389.8pt;height:21.1pt;width:86.55pt;z-index:251681792;mso-width-relative:page;mso-height-relative:page;" filled="f" stroked="f" coordsize="21600,21600" o:gfxdata="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G8eIL9wAAAANAQAADwAAAAAAAAABACAAAAAiAAAAZHJzL2Rvd25yZXYueG1sUEsBAhQAFAAA&#10;AAgAh07iQD4/Nb7rAQAAwAMAAA4AAAAAAAAAAQAgAAAAKwEAAGRycy9lMm9Eb2MueG1sUEsFBgAA&#10;AAAGAAYAWQEAAIgFAAAAAA==&#10;">
                <v:fill on="f" focussize="0,0"/>
                <v:stroke on="f"/>
                <v:imagedata o:title=""/>
                <o:lock v:ext="edit" aspectratio="f"/>
                <v:textbox>
                  <w:txbxContent>
                    <w:p>
                      <w:r>
                        <w:rPr>
                          <w:rFonts w:hint="eastAsia"/>
                        </w:rPr>
                        <w:t>噪声监测点位</w:t>
                      </w:r>
                    </w:p>
                  </w:txbxContent>
                </v:textbox>
              </v:rect>
            </w:pict>
          </mc:Fallback>
        </mc:AlternateContent>
      </w:r>
      <w:r>
        <mc:AlternateContent>
          <mc:Choice Requires="wps">
            <w:drawing>
              <wp:anchor distT="0" distB="0" distL="114300" distR="114300" simplePos="0" relativeHeight="251680768" behindDoc="0" locked="0" layoutInCell="1" allowOverlap="1">
                <wp:simplePos x="0" y="0"/>
                <wp:positionH relativeFrom="column">
                  <wp:posOffset>6594475</wp:posOffset>
                </wp:positionH>
                <wp:positionV relativeFrom="paragraph">
                  <wp:posOffset>5052695</wp:posOffset>
                </wp:positionV>
                <wp:extent cx="137795" cy="119380"/>
                <wp:effectExtent l="13335" t="19685" r="20320" b="13335"/>
                <wp:wrapNone/>
                <wp:docPr id="48" name="AutoShape 135"/>
                <wp:cNvGraphicFramePr/>
                <a:graphic xmlns:a="http://schemas.openxmlformats.org/drawingml/2006/main">
                  <a:graphicData uri="http://schemas.microsoft.com/office/word/2010/wordprocessingShape">
                    <wps:wsp>
                      <wps:cNvSpPr>
                        <a:spLocks noChangeArrowheads="1"/>
                      </wps:cNvSpPr>
                      <wps:spPr bwMode="auto">
                        <a:xfrm>
                          <a:off x="0" y="0"/>
                          <a:ext cx="137795" cy="119380"/>
                        </a:xfrm>
                        <a:prstGeom prst="triangle">
                          <a:avLst>
                            <a:gd name="adj" fmla="val 50000"/>
                          </a:avLst>
                        </a:prstGeom>
                        <a:solidFill>
                          <a:srgbClr val="FFFF00"/>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shape id="AutoShape 135" o:spid="_x0000_s1026" o:spt="5" type="#_x0000_t5" style="position:absolute;left:0pt;margin-left:519.25pt;margin-top:397.85pt;height:9.4pt;width:10.85pt;z-index:251680768;mso-width-relative:page;mso-height-relative:page;" fillcolor="#FFFF00" filled="t" stroked="t" coordsize="21600,21600" o:gfxdata="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T&#10;CE293AAAAA0BAAAPAAAAAAAAAAEAIAAAACIAAABkcnMvZG93bnJldi54bWxQSwECFAAUAAAACACH&#10;TuJAe6RE0CACAABWBAAADgAAAAAAAAABACAAAAArAQAAZHJzL2Uyb0RvYy54bWxQSwUGAAAAAAYA&#10;BgBZAQAAvQUAAAAA&#10;" adj="10800">
                <v:fill on="t" focussize="0,0"/>
                <v:stroke color="#000000" miterlimit="8" joinstyle="miter"/>
                <v:imagedata o:title=""/>
                <o:lock v:ext="edit" aspectratio="f"/>
              </v:shape>
            </w:pict>
          </mc:Fallback>
        </mc:AlternateContent>
      </w:r>
      <w:r>
        <mc:AlternateContent>
          <mc:Choice Requires="wps">
            <w:drawing>
              <wp:anchor distT="0" distB="0" distL="114300" distR="114300" simplePos="0" relativeHeight="251677696" behindDoc="0" locked="0" layoutInCell="1" allowOverlap="1">
                <wp:simplePos x="0" y="0"/>
                <wp:positionH relativeFrom="column">
                  <wp:posOffset>3842385</wp:posOffset>
                </wp:positionH>
                <wp:positionV relativeFrom="paragraph">
                  <wp:posOffset>2662555</wp:posOffset>
                </wp:positionV>
                <wp:extent cx="424815" cy="267970"/>
                <wp:effectExtent l="4445" t="1270" r="0" b="0"/>
                <wp:wrapNone/>
                <wp:docPr id="47" name="Rectangle 132"/>
                <wp:cNvGraphicFramePr/>
                <a:graphic xmlns:a="http://schemas.openxmlformats.org/drawingml/2006/main">
                  <a:graphicData uri="http://schemas.microsoft.com/office/word/2010/wordprocessingShape">
                    <wps:wsp>
                      <wps:cNvSpPr>
                        <a:spLocks noChangeArrowheads="1"/>
                      </wps:cNvSpPr>
                      <wps:spPr bwMode="auto">
                        <a:xfrm>
                          <a:off x="0" y="0"/>
                          <a:ext cx="424815" cy="267970"/>
                        </a:xfrm>
                        <a:prstGeom prst="rect">
                          <a:avLst/>
                        </a:prstGeom>
                        <a:noFill/>
                        <a:ln>
                          <a:noFill/>
                        </a:ln>
                      </wps:spPr>
                      <wps:txbx>
                        <w:txbxContent>
                          <w:p>
                            <w:r>
                              <w:rPr>
                                <w:rFonts w:hint="eastAsia"/>
                              </w:rPr>
                              <w:t>N</w:t>
                            </w:r>
                            <w:r>
                              <w:t>4</w:t>
                            </w:r>
                          </w:p>
                        </w:txbxContent>
                      </wps:txbx>
                      <wps:bodyPr rot="0" vert="horz" wrap="square" lIns="91440" tIns="45720" rIns="91440" bIns="45720" anchor="t" anchorCtr="0" upright="1">
                        <a:noAutofit/>
                      </wps:bodyPr>
                    </wps:wsp>
                  </a:graphicData>
                </a:graphic>
              </wp:anchor>
            </w:drawing>
          </mc:Choice>
          <mc:Fallback>
            <w:pict>
              <v:rect id="Rectangle 132" o:spid="_x0000_s1026" o:spt="1" style="position:absolute;left:0pt;margin-left:302.55pt;margin-top:209.65pt;height:21.1pt;width:33.45pt;z-index:251677696;mso-width-relative:page;mso-height-relative:page;" filled="f" stroked="f" coordsize="21600,21600" o:gfxdata="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DouA37bAAAACwEAAA8AAAAAAAAAAQAgAAAAIgAAAGRycy9kb3ducmV2LnhtbFBLAQIUABQAAAAI&#10;AIdO4kBWvQyL6gEAAL8DAAAOAAAAAAAAAAEAIAAAACoBAABkcnMvZTJvRG9jLnhtbFBLBQYAAAAA&#10;BgAGAFkBAACGBQAAAAA=&#10;">
                <v:fill on="f" focussize="0,0"/>
                <v:stroke on="f"/>
                <v:imagedata o:title=""/>
                <o:lock v:ext="edit" aspectratio="f"/>
                <v:textbox>
                  <w:txbxContent>
                    <w:p>
                      <w:r>
                        <w:rPr>
                          <w:rFonts w:hint="eastAsia"/>
                        </w:rPr>
                        <w:t>N</w:t>
                      </w:r>
                      <w:r>
                        <w:t>4</w:t>
                      </w:r>
                    </w:p>
                  </w:txbxContent>
                </v:textbox>
              </v:rect>
            </w:pict>
          </mc:Fallback>
        </mc:AlternateContent>
      </w:r>
      <w:r>
        <mc:AlternateContent>
          <mc:Choice Requires="wps">
            <w:drawing>
              <wp:anchor distT="0" distB="0" distL="114300" distR="114300" simplePos="0" relativeHeight="251676672" behindDoc="0" locked="0" layoutInCell="1" allowOverlap="1">
                <wp:simplePos x="0" y="0"/>
                <wp:positionH relativeFrom="column">
                  <wp:posOffset>3500755</wp:posOffset>
                </wp:positionH>
                <wp:positionV relativeFrom="paragraph">
                  <wp:posOffset>3648075</wp:posOffset>
                </wp:positionV>
                <wp:extent cx="424815" cy="267970"/>
                <wp:effectExtent l="0" t="0" r="0" b="2540"/>
                <wp:wrapNone/>
                <wp:docPr id="46" name="Rectangle 131"/>
                <wp:cNvGraphicFramePr/>
                <a:graphic xmlns:a="http://schemas.openxmlformats.org/drawingml/2006/main">
                  <a:graphicData uri="http://schemas.microsoft.com/office/word/2010/wordprocessingShape">
                    <wps:wsp>
                      <wps:cNvSpPr>
                        <a:spLocks noChangeArrowheads="1"/>
                      </wps:cNvSpPr>
                      <wps:spPr bwMode="auto">
                        <a:xfrm>
                          <a:off x="0" y="0"/>
                          <a:ext cx="424815" cy="267970"/>
                        </a:xfrm>
                        <a:prstGeom prst="rect">
                          <a:avLst/>
                        </a:prstGeom>
                        <a:noFill/>
                        <a:ln>
                          <a:noFill/>
                        </a:ln>
                      </wps:spPr>
                      <wps:txbx>
                        <w:txbxContent>
                          <w:p>
                            <w:r>
                              <w:t>N3</w:t>
                            </w:r>
                          </w:p>
                        </w:txbxContent>
                      </wps:txbx>
                      <wps:bodyPr rot="0" vert="horz" wrap="square" lIns="91440" tIns="45720" rIns="91440" bIns="45720" anchor="t" anchorCtr="0" upright="1">
                        <a:noAutofit/>
                      </wps:bodyPr>
                    </wps:wsp>
                  </a:graphicData>
                </a:graphic>
              </wp:anchor>
            </w:drawing>
          </mc:Choice>
          <mc:Fallback>
            <w:pict>
              <v:rect id="Rectangle 131" o:spid="_x0000_s1026" o:spt="1" style="position:absolute;left:0pt;margin-left:275.65pt;margin-top:287.25pt;height:21.1pt;width:33.45pt;z-index:251676672;mso-width-relative:page;mso-height-relative:page;" filled="f" stroked="f" coordsize="21600,21600" o:gfxdata="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RBvPSNsAAAALAQAADwAAAAAAAAABACAAAAAiAAAAZHJzL2Rvd25yZXYueG1sUEsBAhQAFAAAAAgA&#10;h07iQIssAd7pAQAAvwMAAA4AAAAAAAAAAQAgAAAAKgEAAGRycy9lMm9Eb2MueG1sUEsFBgAAAAAG&#10;AAYAWQEAAIUFAAAAAA==&#10;">
                <v:fill on="f" focussize="0,0"/>
                <v:stroke on="f"/>
                <v:imagedata o:title=""/>
                <o:lock v:ext="edit" aspectratio="f"/>
                <v:textbox>
                  <w:txbxContent>
                    <w:p>
                      <w:r>
                        <w:t>N3</w:t>
                      </w:r>
                    </w:p>
                  </w:txbxContent>
                </v:textbox>
              </v:rect>
            </w:pict>
          </mc:Fallback>
        </mc:AlternateContent>
      </w:r>
      <w:r>
        <mc:AlternateContent>
          <mc:Choice Requires="wps">
            <w:drawing>
              <wp:anchor distT="0" distB="0" distL="114300" distR="114300" simplePos="0" relativeHeight="251668480" behindDoc="0" locked="0" layoutInCell="1" allowOverlap="1">
                <wp:simplePos x="0" y="0"/>
                <wp:positionH relativeFrom="column">
                  <wp:posOffset>3416300</wp:posOffset>
                </wp:positionH>
                <wp:positionV relativeFrom="paragraph">
                  <wp:posOffset>3709035</wp:posOffset>
                </wp:positionV>
                <wp:extent cx="137795" cy="119380"/>
                <wp:effectExtent l="16510" t="19050" r="17145" b="13970"/>
                <wp:wrapNone/>
                <wp:docPr id="45" name="AutoShape 123"/>
                <wp:cNvGraphicFramePr/>
                <a:graphic xmlns:a="http://schemas.openxmlformats.org/drawingml/2006/main">
                  <a:graphicData uri="http://schemas.microsoft.com/office/word/2010/wordprocessingShape">
                    <wps:wsp>
                      <wps:cNvSpPr>
                        <a:spLocks noChangeArrowheads="1"/>
                      </wps:cNvSpPr>
                      <wps:spPr bwMode="auto">
                        <a:xfrm>
                          <a:off x="0" y="0"/>
                          <a:ext cx="137795" cy="119380"/>
                        </a:xfrm>
                        <a:prstGeom prst="triangle">
                          <a:avLst>
                            <a:gd name="adj" fmla="val 50000"/>
                          </a:avLst>
                        </a:prstGeom>
                        <a:solidFill>
                          <a:srgbClr val="FFFF00"/>
                        </a:solidFill>
                        <a:ln w="9525">
                          <a:solidFill>
                            <a:srgbClr val="000000"/>
                          </a:solidFill>
                          <a:miter lim="800000"/>
                        </a:ln>
                      </wps:spPr>
                      <wps:txbx>
                        <w:txbxContent>
                          <w:p>
                            <w:pPr>
                              <w:jc w:val="center"/>
                            </w:pPr>
                          </w:p>
                        </w:txbxContent>
                      </wps:txbx>
                      <wps:bodyPr rot="0" vert="horz" wrap="square" lIns="91440" tIns="45720" rIns="91440" bIns="45720" anchor="t" anchorCtr="0" upright="1">
                        <a:noAutofit/>
                      </wps:bodyPr>
                    </wps:wsp>
                  </a:graphicData>
                </a:graphic>
              </wp:anchor>
            </w:drawing>
          </mc:Choice>
          <mc:Fallback>
            <w:pict>
              <v:shape id="AutoShape 123" o:spid="_x0000_s1026" o:spt="5" type="#_x0000_t5" style="position:absolute;left:0pt;margin-left:269pt;margin-top:292.05pt;height:9.4pt;width:10.85pt;z-index:251668480;mso-width-relative:page;mso-height-relative:page;" fillcolor="#FFFF00" filled="t" stroked="t" coordsize="21600,21600" o:gfxdata="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FV42mbcAAAACwEAAA8AAAAAAAAAAQAgAAAAIgAAAGRycy9kb3ducmV2LnhtbFBLAQIUABQA&#10;AAAIAIdO4kCgS2lWJQIAAGEEAAAOAAAAAAAAAAEAIAAAACsBAABkcnMvZTJvRG9jLnhtbFBLBQYA&#10;AAAABgAGAFkBAADCBQAAAAA=&#10;" adj="10800">
                <v:fill on="t" focussize="0,0"/>
                <v:stroke color="#000000" miterlimit="8" joinstyle="miter"/>
                <v:imagedata o:title=""/>
                <o:lock v:ext="edit" aspectratio="f"/>
                <v:textbox>
                  <w:txbxContent>
                    <w:p>
                      <w:pPr>
                        <w:jc w:val="center"/>
                      </w:pPr>
                    </w:p>
                  </w:txbxContent>
                </v:textbox>
              </v:shape>
            </w:pict>
          </mc:Fallback>
        </mc:AlternateContent>
      </w:r>
      <w:r>
        <mc:AlternateContent>
          <mc:Choice Requires="wps">
            <w:drawing>
              <wp:anchor distT="0" distB="0" distL="114300" distR="114300" simplePos="0" relativeHeight="251671552" behindDoc="0" locked="0" layoutInCell="1" allowOverlap="1">
                <wp:simplePos x="0" y="0"/>
                <wp:positionH relativeFrom="column">
                  <wp:posOffset>3741420</wp:posOffset>
                </wp:positionH>
                <wp:positionV relativeFrom="paragraph">
                  <wp:posOffset>2725420</wp:posOffset>
                </wp:positionV>
                <wp:extent cx="137795" cy="119380"/>
                <wp:effectExtent l="17780" t="16510" r="15875" b="6985"/>
                <wp:wrapNone/>
                <wp:docPr id="42" name="AutoShape 126"/>
                <wp:cNvGraphicFramePr/>
                <a:graphic xmlns:a="http://schemas.openxmlformats.org/drawingml/2006/main">
                  <a:graphicData uri="http://schemas.microsoft.com/office/word/2010/wordprocessingShape">
                    <wps:wsp>
                      <wps:cNvSpPr>
                        <a:spLocks noChangeArrowheads="1"/>
                      </wps:cNvSpPr>
                      <wps:spPr bwMode="auto">
                        <a:xfrm>
                          <a:off x="0" y="0"/>
                          <a:ext cx="137795" cy="119380"/>
                        </a:xfrm>
                        <a:prstGeom prst="triangle">
                          <a:avLst>
                            <a:gd name="adj" fmla="val 50000"/>
                          </a:avLst>
                        </a:prstGeom>
                        <a:solidFill>
                          <a:srgbClr val="FFFF00"/>
                        </a:solidFill>
                        <a:ln w="9525">
                          <a:solidFill>
                            <a:srgbClr val="000000"/>
                          </a:solidFill>
                          <a:miter lim="800000"/>
                        </a:ln>
                      </wps:spPr>
                      <wps:txbx>
                        <w:txbxContent>
                          <w:p>
                            <w:pPr>
                              <w:jc w:val="center"/>
                            </w:pPr>
                          </w:p>
                        </w:txbxContent>
                      </wps:txbx>
                      <wps:bodyPr rot="0" vert="horz" wrap="square" lIns="91440" tIns="45720" rIns="91440" bIns="45720" anchor="t" anchorCtr="0" upright="1">
                        <a:noAutofit/>
                      </wps:bodyPr>
                    </wps:wsp>
                  </a:graphicData>
                </a:graphic>
              </wp:anchor>
            </w:drawing>
          </mc:Choice>
          <mc:Fallback>
            <w:pict>
              <v:shape id="AutoShape 126" o:spid="_x0000_s1026" o:spt="5" type="#_x0000_t5" style="position:absolute;left:0pt;margin-left:294.6pt;margin-top:214.6pt;height:9.4pt;width:10.85pt;z-index:251671552;mso-width-relative:page;mso-height-relative:page;" fillcolor="#FFFF00" filled="t" stroked="t" coordsize="21600,21600" o:gfxdata="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m5NQLaAAAACwEAAA8AAAAAAAAAAQAgAAAAIgAAAGRycy9kb3ducmV2LnhtbFBLAQIUABQA&#10;AAAIAIdO4kBGGA9zJwIAAGEEAAAOAAAAAAAAAAEAIAAAACkBAABkcnMvZTJvRG9jLnhtbFBLBQYA&#10;AAAABgAGAFkBAADCBQAAAAA=&#10;" adj="10800">
                <v:fill on="t" focussize="0,0"/>
                <v:stroke color="#000000" miterlimit="8" joinstyle="miter"/>
                <v:imagedata o:title=""/>
                <o:lock v:ext="edit" aspectratio="f"/>
                <v:textbox>
                  <w:txbxContent>
                    <w:p>
                      <w:pPr>
                        <w:jc w:val="center"/>
                      </w:pPr>
                    </w:p>
                  </w:txbxContent>
                </v:textbox>
              </v:shape>
            </w:pict>
          </mc:Fallback>
        </mc:AlternateContent>
      </w:r>
      <w:r>
        <mc:AlternateContent>
          <mc:Choice Requires="wps">
            <w:drawing>
              <wp:anchor distT="0" distB="0" distL="114300" distR="114300" simplePos="0" relativeHeight="251669504" behindDoc="0" locked="0" layoutInCell="1" allowOverlap="1">
                <wp:simplePos x="0" y="0"/>
                <wp:positionH relativeFrom="column">
                  <wp:posOffset>4473575</wp:posOffset>
                </wp:positionH>
                <wp:positionV relativeFrom="paragraph">
                  <wp:posOffset>1898650</wp:posOffset>
                </wp:positionV>
                <wp:extent cx="137795" cy="119380"/>
                <wp:effectExtent l="16510" t="18415" r="17145" b="5080"/>
                <wp:wrapNone/>
                <wp:docPr id="41" name="AutoShape 124"/>
                <wp:cNvGraphicFramePr/>
                <a:graphic xmlns:a="http://schemas.openxmlformats.org/drawingml/2006/main">
                  <a:graphicData uri="http://schemas.microsoft.com/office/word/2010/wordprocessingShape">
                    <wps:wsp>
                      <wps:cNvSpPr>
                        <a:spLocks noChangeArrowheads="1"/>
                      </wps:cNvSpPr>
                      <wps:spPr bwMode="auto">
                        <a:xfrm>
                          <a:off x="0" y="0"/>
                          <a:ext cx="137795" cy="119380"/>
                        </a:xfrm>
                        <a:prstGeom prst="triangle">
                          <a:avLst>
                            <a:gd name="adj" fmla="val 50000"/>
                          </a:avLst>
                        </a:prstGeom>
                        <a:solidFill>
                          <a:srgbClr val="FFFF00"/>
                        </a:solidFill>
                        <a:ln w="9525">
                          <a:solidFill>
                            <a:srgbClr val="000000"/>
                          </a:solidFill>
                          <a:miter lim="800000"/>
                        </a:ln>
                      </wps:spPr>
                      <wps:txbx>
                        <w:txbxContent>
                          <w:p>
                            <w:pPr>
                              <w:jc w:val="center"/>
                            </w:pPr>
                          </w:p>
                        </w:txbxContent>
                      </wps:txbx>
                      <wps:bodyPr rot="0" vert="horz" wrap="square" lIns="91440" tIns="45720" rIns="91440" bIns="45720" anchor="t" anchorCtr="0" upright="1">
                        <a:noAutofit/>
                      </wps:bodyPr>
                    </wps:wsp>
                  </a:graphicData>
                </a:graphic>
              </wp:anchor>
            </w:drawing>
          </mc:Choice>
          <mc:Fallback>
            <w:pict>
              <v:shape id="AutoShape 124" o:spid="_x0000_s1026" o:spt="5" type="#_x0000_t5" style="position:absolute;left:0pt;margin-left:352.25pt;margin-top:149.5pt;height:9.4pt;width:10.85pt;z-index:251669504;mso-width-relative:page;mso-height-relative:page;" fillcolor="#FFFF00" filled="t" stroked="t" coordsize="21600,21600" o:gfxdata="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JwW+7PbAAAACwEAAA8AAAAAAAAAAQAgAAAAIgAAAGRycy9kb3ducmV2LnhtbFBLAQIUABQA&#10;AAAIAIdO4kDbl5+NJgIAAGEEAAAOAAAAAAAAAAEAIAAAACoBAABkcnMvZTJvRG9jLnhtbFBLBQYA&#10;AAAABgAGAFkBAADCBQAAAAA=&#10;" adj="10800">
                <v:fill on="t" focussize="0,0"/>
                <v:stroke color="#000000" miterlimit="8" joinstyle="miter"/>
                <v:imagedata o:title=""/>
                <o:lock v:ext="edit" aspectratio="f"/>
                <v:textbox>
                  <w:txbxContent>
                    <w:p>
                      <w:pPr>
                        <w:jc w:val="center"/>
                      </w:pPr>
                    </w:p>
                  </w:txbxContent>
                </v:textbox>
              </v:shape>
            </w:pict>
          </mc:Fallback>
        </mc:AlternateContent>
      </w:r>
      <w:r>
        <w:t xml:space="preserve"> </w:t>
      </w:r>
      <w:r>
        <w:drawing>
          <wp:inline distT="0" distB="0" distL="0" distR="0">
            <wp:extent cx="7924800" cy="566166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7924800" cy="5661660"/>
                    </a:xfrm>
                    <a:prstGeom prst="rect">
                      <a:avLst/>
                    </a:prstGeom>
                    <a:noFill/>
                    <a:ln>
                      <a:noFill/>
                    </a:ln>
                  </pic:spPr>
                </pic:pic>
              </a:graphicData>
            </a:graphic>
          </wp:inline>
        </w:drawing>
      </w:r>
    </w:p>
    <w:p>
      <w:pPr>
        <w:jc w:val="center"/>
        <w:rPr>
          <w:b/>
          <w:sz w:val="32"/>
          <w:szCs w:val="32"/>
        </w:rPr>
        <w:sectPr>
          <w:footerReference r:id="rId9" w:type="default"/>
          <w:pgSz w:w="16840" w:h="11907" w:orient="landscape"/>
          <w:pgMar w:top="1134" w:right="1134" w:bottom="1134" w:left="1531" w:header="907" w:footer="925" w:gutter="0"/>
          <w:cols w:space="720" w:num="1"/>
          <w:docGrid w:linePitch="326" w:charSpace="-4916"/>
        </w:sectPr>
      </w:pPr>
      <w:r>
        <w:rPr>
          <w:b/>
          <w:sz w:val="32"/>
          <w:szCs w:val="32"/>
        </w:rPr>
        <w:t>附图1  项目地理位置</w:t>
      </w:r>
      <w:r>
        <w:rPr>
          <w:rFonts w:hint="eastAsia"/>
          <w:b/>
          <w:sz w:val="32"/>
          <w:szCs w:val="32"/>
        </w:rPr>
        <w:t>、敏感点分布及监测点位布设</w:t>
      </w:r>
      <w:r>
        <w:rPr>
          <w:b/>
          <w:sz w:val="32"/>
          <w:szCs w:val="32"/>
        </w:rPr>
        <w:t>图</w:t>
      </w:r>
      <w:r>
        <w:rPr>
          <w:rFonts w:hint="eastAsia"/>
          <w:b/>
          <w:sz w:val="32"/>
          <w:szCs w:val="32"/>
        </w:rPr>
        <w:t>（1）</w:t>
      </w:r>
    </w:p>
    <w:p>
      <w:pPr>
        <w:ind w:firstLine="420" w:firstLineChars="200"/>
      </w:pPr>
      <w:r>
        <mc:AlternateContent>
          <mc:Choice Requires="wps">
            <w:drawing>
              <wp:anchor distT="0" distB="0" distL="114300" distR="114300" simplePos="0" relativeHeight="251703296" behindDoc="0" locked="0" layoutInCell="1" allowOverlap="1">
                <wp:simplePos x="0" y="0"/>
                <wp:positionH relativeFrom="column">
                  <wp:posOffset>3594735</wp:posOffset>
                </wp:positionH>
                <wp:positionV relativeFrom="paragraph">
                  <wp:posOffset>2530475</wp:posOffset>
                </wp:positionV>
                <wp:extent cx="734695" cy="313055"/>
                <wp:effectExtent l="0" t="0" r="0" b="0"/>
                <wp:wrapNone/>
                <wp:docPr id="65" name="Rectangle 132"/>
                <wp:cNvGraphicFramePr/>
                <a:graphic xmlns:a="http://schemas.openxmlformats.org/drawingml/2006/main">
                  <a:graphicData uri="http://schemas.microsoft.com/office/word/2010/wordprocessingShape">
                    <wps:wsp>
                      <wps:cNvSpPr>
                        <a:spLocks noChangeArrowheads="1"/>
                      </wps:cNvSpPr>
                      <wps:spPr bwMode="auto">
                        <a:xfrm>
                          <a:off x="0" y="0"/>
                          <a:ext cx="734464" cy="312766"/>
                        </a:xfrm>
                        <a:prstGeom prst="rect">
                          <a:avLst/>
                        </a:prstGeom>
                        <a:noFill/>
                        <a:ln>
                          <a:noFill/>
                        </a:ln>
                      </wps:spPr>
                      <wps:txbx>
                        <w:txbxContent>
                          <w:p>
                            <w:pPr>
                              <w:rPr>
                                <w:b/>
                                <w:bCs/>
                                <w:color w:val="0070C0"/>
                              </w:rPr>
                            </w:pPr>
                            <w:r>
                              <w:rPr>
                                <w:rFonts w:hint="eastAsia"/>
                                <w:b/>
                                <w:bCs/>
                                <w:color w:val="0070C0"/>
                              </w:rPr>
                              <w:t>周溪河</w:t>
                            </w:r>
                          </w:p>
                        </w:txbxContent>
                      </wps:txbx>
                      <wps:bodyPr rot="0" vert="horz" wrap="square" lIns="91440" tIns="45720" rIns="91440" bIns="45720" anchor="t" anchorCtr="0" upright="1">
                        <a:noAutofit/>
                      </wps:bodyPr>
                    </wps:wsp>
                  </a:graphicData>
                </a:graphic>
              </wp:anchor>
            </w:drawing>
          </mc:Choice>
          <mc:Fallback>
            <w:pict>
              <v:rect id="Rectangle 132" o:spid="_x0000_s1026" o:spt="1" style="position:absolute;left:0pt;margin-left:283.05pt;margin-top:199.25pt;height:24.65pt;width:57.85pt;z-index:251703296;mso-width-relative:page;mso-height-relative:page;" filled="f" stroked="f" coordsize="21600,21600" o:gfxdata="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D9MSaq3AAAAAsBAAAPAAAAAAAAAAEAIAAAACIAAABkcnMvZG93bnJldi54bWxQSwECFAAUAAAA&#10;CACHTuJA3PY49OoBAAC/AwAADgAAAAAAAAABACAAAAArAQAAZHJzL2Uyb0RvYy54bWxQSwUGAAAA&#10;AAYABgBZAQAAhwUAAAAA&#10;">
                <v:fill on="f" focussize="0,0"/>
                <v:stroke on="f"/>
                <v:imagedata o:title=""/>
                <o:lock v:ext="edit" aspectratio="f"/>
                <v:textbox>
                  <w:txbxContent>
                    <w:p>
                      <w:pPr>
                        <w:rPr>
                          <w:b/>
                          <w:bCs/>
                          <w:color w:val="0070C0"/>
                        </w:rPr>
                      </w:pPr>
                      <w:r>
                        <w:rPr>
                          <w:rFonts w:hint="eastAsia"/>
                          <w:b/>
                          <w:bCs/>
                          <w:color w:val="0070C0"/>
                        </w:rPr>
                        <w:t>周溪河</w:t>
                      </w:r>
                    </w:p>
                  </w:txbxContent>
                </v:textbox>
              </v:rect>
            </w:pict>
          </mc:Fallback>
        </mc:AlternateContent>
      </w:r>
      <w:r>
        <mc:AlternateContent>
          <mc:Choice Requires="wps">
            <w:drawing>
              <wp:anchor distT="0" distB="0" distL="114300" distR="114300" simplePos="0" relativeHeight="251705344" behindDoc="0" locked="0" layoutInCell="1" allowOverlap="1">
                <wp:simplePos x="0" y="0"/>
                <wp:positionH relativeFrom="column">
                  <wp:posOffset>3905885</wp:posOffset>
                </wp:positionH>
                <wp:positionV relativeFrom="paragraph">
                  <wp:posOffset>3011170</wp:posOffset>
                </wp:positionV>
                <wp:extent cx="90805" cy="350520"/>
                <wp:effectExtent l="57150" t="0" r="23495" b="49530"/>
                <wp:wrapNone/>
                <wp:docPr id="66" name="直接箭头连接符 66"/>
                <wp:cNvGraphicFramePr/>
                <a:graphic xmlns:a="http://schemas.openxmlformats.org/drawingml/2006/main">
                  <a:graphicData uri="http://schemas.microsoft.com/office/word/2010/wordprocessingShape">
                    <wps:wsp>
                      <wps:cNvCnPr/>
                      <wps:spPr>
                        <a:xfrm flipH="1">
                          <a:off x="0" y="0"/>
                          <a:ext cx="91094" cy="35063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307.55pt;margin-top:237.1pt;height:27.6pt;width:7.15pt;z-index:251705344;mso-width-relative:page;mso-height-relative:page;" filled="f" stroked="t" coordsize="21600,21600" o:gfxdata="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9Xzo42QAAAAsBAAAPAAAAAAAAAAEAIAAAACIAAABkcnMvZG93bnJldi54&#10;bWxQSwECFAAUAAAACACHTuJAfLS0xPkBAACiAwAADgAAAAAAAAABACAAAAAoAQAAZHJzL2Uyb0Rv&#10;Yy54bWxQSwUGAAAAAAYABgBZAQAAkwUAAAAA&#10;">
                <v:fill on="f" focussize="0,0"/>
                <v:stroke weight="0.5pt" color="#4472C4 [3204]" miterlimit="8" joinstyle="miter" endarrow="block"/>
                <v:imagedata o:title=""/>
                <o:lock v:ext="edit" aspectratio="f"/>
              </v:shape>
            </w:pict>
          </mc:Fallback>
        </mc:AlternateContent>
      </w:r>
      <w:r>
        <mc:AlternateContent>
          <mc:Choice Requires="wps">
            <w:drawing>
              <wp:anchor distT="0" distB="0" distL="114300" distR="114300" simplePos="0" relativeHeight="251693056" behindDoc="0" locked="0" layoutInCell="1" allowOverlap="1">
                <wp:simplePos x="0" y="0"/>
                <wp:positionH relativeFrom="column">
                  <wp:posOffset>4330065</wp:posOffset>
                </wp:positionH>
                <wp:positionV relativeFrom="paragraph">
                  <wp:posOffset>1553210</wp:posOffset>
                </wp:positionV>
                <wp:extent cx="424815" cy="267970"/>
                <wp:effectExtent l="0" t="0" r="0" b="1905"/>
                <wp:wrapNone/>
                <wp:docPr id="40" name="Rectangle 146"/>
                <wp:cNvGraphicFramePr/>
                <a:graphic xmlns:a="http://schemas.openxmlformats.org/drawingml/2006/main">
                  <a:graphicData uri="http://schemas.microsoft.com/office/word/2010/wordprocessingShape">
                    <wps:wsp>
                      <wps:cNvSpPr>
                        <a:spLocks noChangeArrowheads="1"/>
                      </wps:cNvSpPr>
                      <wps:spPr bwMode="auto">
                        <a:xfrm>
                          <a:off x="0" y="0"/>
                          <a:ext cx="424815" cy="267970"/>
                        </a:xfrm>
                        <a:prstGeom prst="rect">
                          <a:avLst/>
                        </a:prstGeom>
                        <a:noFill/>
                        <a:ln>
                          <a:noFill/>
                        </a:ln>
                      </wps:spPr>
                      <wps:txbx>
                        <w:txbxContent>
                          <w:p>
                            <w:r>
                              <w:t>N8</w:t>
                            </w:r>
                          </w:p>
                        </w:txbxContent>
                      </wps:txbx>
                      <wps:bodyPr rot="0" vert="horz" wrap="square" lIns="91440" tIns="45720" rIns="91440" bIns="45720" anchor="t" anchorCtr="0" upright="1">
                        <a:noAutofit/>
                      </wps:bodyPr>
                    </wps:wsp>
                  </a:graphicData>
                </a:graphic>
              </wp:anchor>
            </w:drawing>
          </mc:Choice>
          <mc:Fallback>
            <w:pict>
              <v:rect id="Rectangle 146" o:spid="_x0000_s1026" o:spt="1" style="position:absolute;left:0pt;margin-left:340.95pt;margin-top:122.3pt;height:21.1pt;width:33.45pt;z-index:251693056;mso-width-relative:page;mso-height-relative:page;" filled="f" stroked="f" coordsize="21600,21600" o:gfxdata="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wH7yU9sAAAALAQAADwAAAAAAAAABACAAAAAiAAAAZHJzL2Rvd25yZXYueG1sUEsBAhQAFAAAAAgA&#10;h07iQD0cRXHpAQAAvwMAAA4AAAAAAAAAAQAgAAAAKgEAAGRycy9lMm9Eb2MueG1sUEsFBgAAAAAG&#10;AAYAWQEAAIUFAAAAAA==&#10;">
                <v:fill on="f" focussize="0,0"/>
                <v:stroke on="f"/>
                <v:imagedata o:title=""/>
                <o:lock v:ext="edit" aspectratio="f"/>
                <v:textbox>
                  <w:txbxContent>
                    <w:p>
                      <w:r>
                        <w:t>N8</w:t>
                      </w:r>
                    </w:p>
                  </w:txbxContent>
                </v:textbox>
              </v:rect>
            </w:pict>
          </mc:Fallback>
        </mc:AlternateContent>
      </w:r>
      <w:r>
        <mc:AlternateContent>
          <mc:Choice Requires="wps">
            <w:drawing>
              <wp:anchor distT="0" distB="0" distL="114300" distR="114300" simplePos="0" relativeHeight="251689984" behindDoc="0" locked="0" layoutInCell="1" allowOverlap="1">
                <wp:simplePos x="0" y="0"/>
                <wp:positionH relativeFrom="column">
                  <wp:posOffset>4589780</wp:posOffset>
                </wp:positionH>
                <wp:positionV relativeFrom="paragraph">
                  <wp:posOffset>1664335</wp:posOffset>
                </wp:positionV>
                <wp:extent cx="137795" cy="119380"/>
                <wp:effectExtent l="18415" t="22225" r="15240" b="10795"/>
                <wp:wrapNone/>
                <wp:docPr id="39" name="AutoShape 143"/>
                <wp:cNvGraphicFramePr/>
                <a:graphic xmlns:a="http://schemas.openxmlformats.org/drawingml/2006/main">
                  <a:graphicData uri="http://schemas.microsoft.com/office/word/2010/wordprocessingShape">
                    <wps:wsp>
                      <wps:cNvSpPr>
                        <a:spLocks noChangeArrowheads="1"/>
                      </wps:cNvSpPr>
                      <wps:spPr bwMode="auto">
                        <a:xfrm>
                          <a:off x="0" y="0"/>
                          <a:ext cx="137795" cy="119380"/>
                        </a:xfrm>
                        <a:prstGeom prst="triangle">
                          <a:avLst>
                            <a:gd name="adj" fmla="val 50000"/>
                          </a:avLst>
                        </a:prstGeom>
                        <a:solidFill>
                          <a:srgbClr val="FFFF00"/>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shape id="AutoShape 143" o:spid="_x0000_s1026" o:spt="5" type="#_x0000_t5" style="position:absolute;left:0pt;margin-left:361.4pt;margin-top:131.05pt;height:9.4pt;width:10.85pt;z-index:251689984;mso-width-relative:page;mso-height-relative:page;" fillcolor="#FFFF00" filled="t" stroked="t" coordsize="21600,21600" o:gfxdata="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Ayc&#10;QfbbAAAACwEAAA8AAAAAAAAAAQAgAAAAIgAAAGRycy9kb3ducmV2LnhtbFBLAQIUABQAAAAIAIdO&#10;4kCRMU6RIAIAAFYEAAAOAAAAAAAAAAEAIAAAACoBAABkcnMvZTJvRG9jLnhtbFBLBQYAAAAABgAG&#10;AFkBAAC8BQAAAAA=&#10;" adj="10800">
                <v:fill on="t" focussize="0,0"/>
                <v:stroke color="#000000" miterlimit="8" joinstyle="miter"/>
                <v:imagedata o:title=""/>
                <o:lock v:ext="edit" aspectratio="f"/>
              </v:shape>
            </w:pict>
          </mc:Fallback>
        </mc:AlternateContent>
      </w:r>
      <w:r>
        <mc:AlternateContent>
          <mc:Choice Requires="wps">
            <w:drawing>
              <wp:anchor distT="0" distB="0" distL="114300" distR="114300" simplePos="0" relativeHeight="251691008" behindDoc="0" locked="0" layoutInCell="1" allowOverlap="1">
                <wp:simplePos x="0" y="0"/>
                <wp:positionH relativeFrom="column">
                  <wp:posOffset>3319780</wp:posOffset>
                </wp:positionH>
                <wp:positionV relativeFrom="paragraph">
                  <wp:posOffset>4768215</wp:posOffset>
                </wp:positionV>
                <wp:extent cx="137795" cy="119380"/>
                <wp:effectExtent l="15240" t="20955" r="18415" b="12065"/>
                <wp:wrapNone/>
                <wp:docPr id="38" name="AutoShape 144"/>
                <wp:cNvGraphicFramePr/>
                <a:graphic xmlns:a="http://schemas.openxmlformats.org/drawingml/2006/main">
                  <a:graphicData uri="http://schemas.microsoft.com/office/word/2010/wordprocessingShape">
                    <wps:wsp>
                      <wps:cNvSpPr>
                        <a:spLocks noChangeArrowheads="1"/>
                      </wps:cNvSpPr>
                      <wps:spPr bwMode="auto">
                        <a:xfrm>
                          <a:off x="0" y="0"/>
                          <a:ext cx="137795" cy="119380"/>
                        </a:xfrm>
                        <a:prstGeom prst="triangle">
                          <a:avLst>
                            <a:gd name="adj" fmla="val 50000"/>
                          </a:avLst>
                        </a:prstGeom>
                        <a:solidFill>
                          <a:srgbClr val="FFFF00"/>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shape id="AutoShape 144" o:spid="_x0000_s1026" o:spt="5" type="#_x0000_t5" style="position:absolute;left:0pt;margin-left:261.4pt;margin-top:375.45pt;height:9.4pt;width:10.85pt;z-index:251691008;mso-width-relative:page;mso-height-relative:page;" fillcolor="#FFFF00" filled="t" stroked="t" coordsize="21600,21600" o:gfxdata="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EOI&#10;UGrcAAAACwEAAA8AAAAAAAAAAQAgAAAAIgAAAGRycy9kb3ducmV2LnhtbFBLAQIUABQAAAAIAIdO&#10;4kCxCa60HwIAAFYEAAAOAAAAAAAAAAEAIAAAACsBAABkcnMvZTJvRG9jLnhtbFBLBQYAAAAABgAG&#10;AFkBAAC8BQAAAAA=&#10;" adj="10800">
                <v:fill on="t" focussize="0,0"/>
                <v:stroke color="#000000" miterlimit="8" joinstyle="miter"/>
                <v:imagedata o:title=""/>
                <o:lock v:ext="edit" aspectratio="f"/>
              </v:shape>
            </w:pict>
          </mc:Fallback>
        </mc:AlternateContent>
      </w:r>
      <w:r>
        <mc:AlternateContent>
          <mc:Choice Requires="wps">
            <w:drawing>
              <wp:anchor distT="0" distB="0" distL="114300" distR="114300" simplePos="0" relativeHeight="251692032" behindDoc="0" locked="0" layoutInCell="1" allowOverlap="1">
                <wp:simplePos x="0" y="0"/>
                <wp:positionH relativeFrom="column">
                  <wp:posOffset>3062605</wp:posOffset>
                </wp:positionH>
                <wp:positionV relativeFrom="paragraph">
                  <wp:posOffset>4851400</wp:posOffset>
                </wp:positionV>
                <wp:extent cx="424815" cy="267970"/>
                <wp:effectExtent l="0" t="0" r="0" b="0"/>
                <wp:wrapNone/>
                <wp:docPr id="37" name="Rectangle 145"/>
                <wp:cNvGraphicFramePr/>
                <a:graphic xmlns:a="http://schemas.openxmlformats.org/drawingml/2006/main">
                  <a:graphicData uri="http://schemas.microsoft.com/office/word/2010/wordprocessingShape">
                    <wps:wsp>
                      <wps:cNvSpPr>
                        <a:spLocks noChangeArrowheads="1"/>
                      </wps:cNvSpPr>
                      <wps:spPr bwMode="auto">
                        <a:xfrm>
                          <a:off x="0" y="0"/>
                          <a:ext cx="424815" cy="267970"/>
                        </a:xfrm>
                        <a:prstGeom prst="rect">
                          <a:avLst/>
                        </a:prstGeom>
                        <a:noFill/>
                        <a:ln>
                          <a:noFill/>
                        </a:ln>
                      </wps:spPr>
                      <wps:txbx>
                        <w:txbxContent>
                          <w:p>
                            <w:r>
                              <w:rPr>
                                <w:rFonts w:hint="eastAsia"/>
                              </w:rPr>
                              <w:t>N</w:t>
                            </w:r>
                            <w:r>
                              <w:t>7</w:t>
                            </w:r>
                          </w:p>
                        </w:txbxContent>
                      </wps:txbx>
                      <wps:bodyPr rot="0" vert="horz" wrap="square" lIns="91440" tIns="45720" rIns="91440" bIns="45720" anchor="t" anchorCtr="0" upright="1">
                        <a:noAutofit/>
                      </wps:bodyPr>
                    </wps:wsp>
                  </a:graphicData>
                </a:graphic>
              </wp:anchor>
            </w:drawing>
          </mc:Choice>
          <mc:Fallback>
            <w:pict>
              <v:rect id="Rectangle 145" o:spid="_x0000_s1026" o:spt="1" style="position:absolute;left:0pt;margin-left:241.15pt;margin-top:382pt;height:21.1pt;width:33.45pt;z-index:251692032;mso-width-relative:page;mso-height-relative:page;" filled="f" stroked="f" coordsize="21600,21600" o:gfxdata="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Dog2hz3AAAAAsBAAAPAAAAAAAAAAEAIAAAACIAAABkcnMvZG93bnJldi54bWxQSwECFAAUAAAA&#10;CACHTuJAu4GSoOoBAAC/AwAADgAAAAAAAAABACAAAAArAQAAZHJzL2Uyb0RvYy54bWxQSwUGAAAA&#10;AAYABgBZAQAAhwUAAAAA&#10;">
                <v:fill on="f" focussize="0,0"/>
                <v:stroke on="f"/>
                <v:imagedata o:title=""/>
                <o:lock v:ext="edit" aspectratio="f"/>
                <v:textbox>
                  <w:txbxContent>
                    <w:p>
                      <w:r>
                        <w:rPr>
                          <w:rFonts w:hint="eastAsia"/>
                        </w:rPr>
                        <w:t>N</w:t>
                      </w:r>
                      <w:r>
                        <w:t>7</w:t>
                      </w:r>
                    </w:p>
                  </w:txbxContent>
                </v:textbox>
              </v:rect>
            </w:pict>
          </mc:Fallback>
        </mc:AlternateContent>
      </w:r>
      <w:r>
        <mc:AlternateContent>
          <mc:Choice Requires="wps">
            <w:drawing>
              <wp:anchor distT="0" distB="0" distL="114300" distR="114300" simplePos="0" relativeHeight="251696128" behindDoc="0" locked="0" layoutInCell="1" allowOverlap="1">
                <wp:simplePos x="0" y="0"/>
                <wp:positionH relativeFrom="column">
                  <wp:posOffset>4359275</wp:posOffset>
                </wp:positionH>
                <wp:positionV relativeFrom="paragraph">
                  <wp:posOffset>1783715</wp:posOffset>
                </wp:positionV>
                <wp:extent cx="424815" cy="267970"/>
                <wp:effectExtent l="0" t="0" r="0" b="0"/>
                <wp:wrapNone/>
                <wp:docPr id="36" name="Rectangle 149"/>
                <wp:cNvGraphicFramePr/>
                <a:graphic xmlns:a="http://schemas.openxmlformats.org/drawingml/2006/main">
                  <a:graphicData uri="http://schemas.microsoft.com/office/word/2010/wordprocessingShape">
                    <wps:wsp>
                      <wps:cNvSpPr>
                        <a:spLocks noChangeArrowheads="1"/>
                      </wps:cNvSpPr>
                      <wps:spPr bwMode="auto">
                        <a:xfrm>
                          <a:off x="0" y="0"/>
                          <a:ext cx="424815" cy="267970"/>
                        </a:xfrm>
                        <a:prstGeom prst="rect">
                          <a:avLst/>
                        </a:prstGeom>
                        <a:noFill/>
                        <a:ln>
                          <a:noFill/>
                        </a:ln>
                      </wps:spPr>
                      <wps:txbx>
                        <w:txbxContent>
                          <w:p>
                            <w:r>
                              <w:rPr>
                                <w:rFonts w:hint="eastAsia"/>
                              </w:rPr>
                              <w:t>W</w:t>
                            </w:r>
                            <w:r>
                              <w:t>2</w:t>
                            </w:r>
                          </w:p>
                        </w:txbxContent>
                      </wps:txbx>
                      <wps:bodyPr rot="0" vert="horz" wrap="square" lIns="91440" tIns="45720" rIns="91440" bIns="45720" anchor="t" anchorCtr="0" upright="1">
                        <a:noAutofit/>
                      </wps:bodyPr>
                    </wps:wsp>
                  </a:graphicData>
                </a:graphic>
              </wp:anchor>
            </w:drawing>
          </mc:Choice>
          <mc:Fallback>
            <w:pict>
              <v:rect id="Rectangle 149" o:spid="_x0000_s1026" o:spt="1" style="position:absolute;left:0pt;margin-left:343.25pt;margin-top:140.45pt;height:21.1pt;width:33.45pt;z-index:251696128;mso-width-relative:page;mso-height-relative:page;" filled="f" stroked="f" coordsize="21600,21600" o:gfxdata="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B6xqSu3AAAAAsBAAAPAAAAAAAAAAEAIAAAACIAAABkcnMvZG93bnJldi54bWxQSwECFAAUAAAA&#10;CACHTuJAtDxqVeoBAAC/AwAADgAAAAAAAAABACAAAAArAQAAZHJzL2Uyb0RvYy54bWxQSwUGAAAA&#10;AAYABgBZAQAAhwUAAAAA&#10;">
                <v:fill on="f" focussize="0,0"/>
                <v:stroke on="f"/>
                <v:imagedata o:title=""/>
                <o:lock v:ext="edit" aspectratio="f"/>
                <v:textbox>
                  <w:txbxContent>
                    <w:p>
                      <w:r>
                        <w:rPr>
                          <w:rFonts w:hint="eastAsia"/>
                        </w:rPr>
                        <w:t>W</w:t>
                      </w:r>
                      <w:r>
                        <w:t>2</w:t>
                      </w:r>
                    </w:p>
                  </w:txbxContent>
                </v:textbox>
              </v:rect>
            </w:pict>
          </mc:Fallback>
        </mc:AlternateContent>
      </w:r>
      <w:r>
        <mc:AlternateContent>
          <mc:Choice Requires="wps">
            <w:drawing>
              <wp:anchor distT="0" distB="0" distL="114300" distR="114300" simplePos="0" relativeHeight="251695104" behindDoc="0" locked="0" layoutInCell="1" allowOverlap="1">
                <wp:simplePos x="0" y="0"/>
                <wp:positionH relativeFrom="column">
                  <wp:posOffset>4440555</wp:posOffset>
                </wp:positionH>
                <wp:positionV relativeFrom="paragraph">
                  <wp:posOffset>2014855</wp:posOffset>
                </wp:positionV>
                <wp:extent cx="256540" cy="148590"/>
                <wp:effectExtent l="40640" t="58420" r="45720" b="59690"/>
                <wp:wrapNone/>
                <wp:docPr id="24" name="AutoShape 148"/>
                <wp:cNvGraphicFramePr/>
                <a:graphic xmlns:a="http://schemas.openxmlformats.org/drawingml/2006/main">
                  <a:graphicData uri="http://schemas.microsoft.com/office/word/2010/wordprocessingShape">
                    <wps:wsp>
                      <wps:cNvCnPr>
                        <a:cxnSpLocks noChangeShapeType="1"/>
                      </wps:cNvCnPr>
                      <wps:spPr bwMode="auto">
                        <a:xfrm>
                          <a:off x="0" y="0"/>
                          <a:ext cx="256540" cy="148590"/>
                        </a:xfrm>
                        <a:prstGeom prst="straightConnector1">
                          <a:avLst/>
                        </a:prstGeom>
                        <a:noFill/>
                        <a:ln w="9525">
                          <a:solidFill>
                            <a:srgbClr val="7030A0"/>
                          </a:solidFill>
                          <a:round/>
                          <a:headEnd type="triangle" w="med" len="med"/>
                          <a:tailEnd type="triangle" w="med" len="med"/>
                        </a:ln>
                      </wps:spPr>
                      <wps:bodyPr/>
                    </wps:wsp>
                  </a:graphicData>
                </a:graphic>
              </wp:anchor>
            </w:drawing>
          </mc:Choice>
          <mc:Fallback>
            <w:pict>
              <v:shape id="AutoShape 148" o:spid="_x0000_s1026" o:spt="32" type="#_x0000_t32" style="position:absolute;left:0pt;margin-left:349.65pt;margin-top:158.65pt;height:11.7pt;width:20.2pt;z-index:251695104;mso-width-relative:page;mso-height-relative:page;" filled="f" stroked="t" coordsize="21600,21600" o:gfxdata="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PR1BKDXAAAA&#10;CwEAAA8AAAAAAAAAAQAgAAAAIgAAAGRycy9kb3ducmV2LnhtbFBLAQIUABQAAAAIAIdO4kA7ue1b&#10;5QEAAMcDAAAOAAAAAAAAAAEAIAAAACYBAABkcnMvZTJvRG9jLnhtbFBLBQYAAAAABgAGAFkBAAB9&#10;BQAAAAA=&#10;">
                <v:fill on="f" focussize="0,0"/>
                <v:stroke color="#7030A0" joinstyle="round" startarrow="block" endarrow="block"/>
                <v:imagedata o:title=""/>
                <o:lock v:ext="edit" aspectratio="f"/>
              </v:shape>
            </w:pict>
          </mc:Fallback>
        </mc:AlternateContent>
      </w:r>
      <w:r>
        <mc:AlternateContent>
          <mc:Choice Requires="wps">
            <w:drawing>
              <wp:anchor distT="0" distB="0" distL="114300" distR="114300" simplePos="0" relativeHeight="251694080" behindDoc="0" locked="0" layoutInCell="1" allowOverlap="1">
                <wp:simplePos x="0" y="0"/>
                <wp:positionH relativeFrom="column">
                  <wp:posOffset>5605145</wp:posOffset>
                </wp:positionH>
                <wp:positionV relativeFrom="paragraph">
                  <wp:posOffset>1044575</wp:posOffset>
                </wp:positionV>
                <wp:extent cx="424815" cy="267970"/>
                <wp:effectExtent l="0" t="2540" r="0" b="0"/>
                <wp:wrapNone/>
                <wp:docPr id="23" name="Rectangle 147"/>
                <wp:cNvGraphicFramePr/>
                <a:graphic xmlns:a="http://schemas.openxmlformats.org/drawingml/2006/main">
                  <a:graphicData uri="http://schemas.microsoft.com/office/word/2010/wordprocessingShape">
                    <wps:wsp>
                      <wps:cNvSpPr>
                        <a:spLocks noChangeArrowheads="1"/>
                      </wps:cNvSpPr>
                      <wps:spPr bwMode="auto">
                        <a:xfrm>
                          <a:off x="0" y="0"/>
                          <a:ext cx="424815" cy="267970"/>
                        </a:xfrm>
                        <a:prstGeom prst="rect">
                          <a:avLst/>
                        </a:prstGeom>
                        <a:noFill/>
                        <a:ln>
                          <a:noFill/>
                        </a:ln>
                      </wps:spPr>
                      <wps:txbx>
                        <w:txbxContent>
                          <w:p>
                            <w:r>
                              <w:rPr>
                                <w:rFonts w:hint="eastAsia"/>
                              </w:rPr>
                              <w:t>N</w:t>
                            </w:r>
                            <w:r>
                              <w:t>9</w:t>
                            </w:r>
                          </w:p>
                        </w:txbxContent>
                      </wps:txbx>
                      <wps:bodyPr rot="0" vert="horz" wrap="square" lIns="91440" tIns="45720" rIns="91440" bIns="45720" anchor="t" anchorCtr="0" upright="1">
                        <a:noAutofit/>
                      </wps:bodyPr>
                    </wps:wsp>
                  </a:graphicData>
                </a:graphic>
              </wp:anchor>
            </w:drawing>
          </mc:Choice>
          <mc:Fallback>
            <w:pict>
              <v:rect id="Rectangle 147" o:spid="_x0000_s1026" o:spt="1" style="position:absolute;left:0pt;margin-left:441.35pt;margin-top:82.25pt;height:21.1pt;width:33.45pt;z-index:251694080;mso-width-relative:page;mso-height-relative:page;" filled="f" stroked="f" coordsize="21600,21600" o:gfxdata="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BGYx/+3AAAAAsBAAAPAAAAAAAAAAEAIAAAACIAAABkcnMvZG93bnJldi54bWxQSwECFAAUAAAA&#10;CACHTuJAr5NEiuoBAAC/AwAADgAAAAAAAAABACAAAAArAQAAZHJzL2Uyb0RvYy54bWxQSwUGAAAA&#10;AAYABgBZAQAAhwUAAAAA&#10;">
                <v:fill on="f" focussize="0,0"/>
                <v:stroke on="f"/>
                <v:imagedata o:title=""/>
                <o:lock v:ext="edit" aspectratio="f"/>
                <v:textbox>
                  <w:txbxContent>
                    <w:p>
                      <w:r>
                        <w:rPr>
                          <w:rFonts w:hint="eastAsia"/>
                        </w:rPr>
                        <w:t>N</w:t>
                      </w:r>
                      <w:r>
                        <w:t>9</w:t>
                      </w:r>
                    </w:p>
                  </w:txbxContent>
                </v:textbox>
              </v:rect>
            </w:pict>
          </mc:Fallback>
        </mc:AlternateContent>
      </w:r>
      <w:r>
        <mc:AlternateContent>
          <mc:Choice Requires="wps">
            <w:drawing>
              <wp:anchor distT="0" distB="0" distL="114300" distR="114300" simplePos="0" relativeHeight="251688960" behindDoc="0" locked="0" layoutInCell="1" allowOverlap="1">
                <wp:simplePos x="0" y="0"/>
                <wp:positionH relativeFrom="column">
                  <wp:posOffset>5716905</wp:posOffset>
                </wp:positionH>
                <wp:positionV relativeFrom="paragraph">
                  <wp:posOffset>1276350</wp:posOffset>
                </wp:positionV>
                <wp:extent cx="137795" cy="119380"/>
                <wp:effectExtent l="21590" t="15240" r="21590" b="8255"/>
                <wp:wrapNone/>
                <wp:docPr id="22" name="AutoShape 142"/>
                <wp:cNvGraphicFramePr/>
                <a:graphic xmlns:a="http://schemas.openxmlformats.org/drawingml/2006/main">
                  <a:graphicData uri="http://schemas.microsoft.com/office/word/2010/wordprocessingShape">
                    <wps:wsp>
                      <wps:cNvSpPr>
                        <a:spLocks noChangeArrowheads="1"/>
                      </wps:cNvSpPr>
                      <wps:spPr bwMode="auto">
                        <a:xfrm>
                          <a:off x="0" y="0"/>
                          <a:ext cx="137795" cy="119380"/>
                        </a:xfrm>
                        <a:prstGeom prst="triangle">
                          <a:avLst>
                            <a:gd name="adj" fmla="val 50000"/>
                          </a:avLst>
                        </a:prstGeom>
                        <a:solidFill>
                          <a:srgbClr val="FFFF00"/>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shape id="AutoShape 142" o:spid="_x0000_s1026" o:spt="5" type="#_x0000_t5" style="position:absolute;left:0pt;margin-left:450.15pt;margin-top:100.5pt;height:9.4pt;width:10.85pt;z-index:251688960;mso-width-relative:page;mso-height-relative:page;" fillcolor="#FFFF00" filled="t" stroked="t" coordsize="21600,21600" o:gfxdata="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ACxPbJ&#10;2QAAAAsBAAAPAAAAAAAAAAEAIAAAACIAAABkcnMvZG93bnJldi54bWxQSwECFAAUAAAACACHTuJA&#10;3LHD0iACAABWBAAADgAAAAAAAAABACAAAAAoAQAAZHJzL2Uyb0RvYy54bWxQSwUGAAAAAAYABgBZ&#10;AQAAugUAAAAA&#10;" adj="10800">
                <v:fill on="t" focussize="0,0"/>
                <v:stroke color="#000000" miterlimit="8" joinstyle="miter"/>
                <v:imagedata o:title=""/>
                <o:lock v:ext="edit" aspectratio="f"/>
              </v:shape>
            </w:pict>
          </mc:Fallback>
        </mc:AlternateContent>
      </w:r>
      <w:r>
        <mc:AlternateContent>
          <mc:Choice Requires="wps">
            <w:drawing>
              <wp:anchor distT="0" distB="0" distL="114300" distR="114300" simplePos="0" relativeHeight="251687936" behindDoc="0" locked="0" layoutInCell="1" allowOverlap="1">
                <wp:simplePos x="0" y="0"/>
                <wp:positionH relativeFrom="column">
                  <wp:posOffset>6187440</wp:posOffset>
                </wp:positionH>
                <wp:positionV relativeFrom="paragraph">
                  <wp:posOffset>1604645</wp:posOffset>
                </wp:positionV>
                <wp:extent cx="1149350" cy="502285"/>
                <wp:effectExtent l="415925" t="324485" r="6350" b="11430"/>
                <wp:wrapNone/>
                <wp:docPr id="16" name="AutoShape 141"/>
                <wp:cNvGraphicFramePr/>
                <a:graphic xmlns:a="http://schemas.openxmlformats.org/drawingml/2006/main">
                  <a:graphicData uri="http://schemas.microsoft.com/office/word/2010/wordprocessingShape">
                    <wps:wsp>
                      <wps:cNvSpPr>
                        <a:spLocks noChangeArrowheads="1"/>
                      </wps:cNvSpPr>
                      <wps:spPr bwMode="auto">
                        <a:xfrm>
                          <a:off x="0" y="0"/>
                          <a:ext cx="1149350" cy="502285"/>
                        </a:xfrm>
                        <a:prstGeom prst="wedgeRoundRectCallout">
                          <a:avLst>
                            <a:gd name="adj1" fmla="val -80662"/>
                            <a:gd name="adj2" fmla="val -107394"/>
                            <a:gd name="adj3" fmla="val 16667"/>
                          </a:avLst>
                        </a:prstGeom>
                        <a:solidFill>
                          <a:srgbClr val="FFFFFF"/>
                        </a:solidFill>
                        <a:ln w="9525">
                          <a:solidFill>
                            <a:srgbClr val="000000"/>
                          </a:solidFill>
                          <a:miter lim="800000"/>
                        </a:ln>
                      </wps:spPr>
                      <wps:txbx>
                        <w:txbxContent>
                          <w:p>
                            <w:pPr>
                              <w:jc w:val="center"/>
                            </w:pPr>
                            <w:r>
                              <w:rPr>
                                <w:rFonts w:hint="eastAsia"/>
                              </w:rPr>
                              <w:t>梅州第三监狱</w:t>
                            </w:r>
                          </w:p>
                          <w:p>
                            <w:pPr>
                              <w:jc w:val="center"/>
                            </w:pPr>
                            <w:r>
                              <w:rPr>
                                <w:rFonts w:hint="eastAsia"/>
                              </w:rPr>
                              <w:t>（终点）</w:t>
                            </w:r>
                          </w:p>
                        </w:txbxContent>
                      </wps:txbx>
                      <wps:bodyPr rot="0" vert="horz" wrap="square" lIns="91440" tIns="45720" rIns="91440" bIns="45720" anchor="t" anchorCtr="0" upright="1">
                        <a:noAutofit/>
                      </wps:bodyPr>
                    </wps:wsp>
                  </a:graphicData>
                </a:graphic>
              </wp:anchor>
            </w:drawing>
          </mc:Choice>
          <mc:Fallback>
            <w:pict>
              <v:shape id="AutoShape 141" o:spid="_x0000_s1026" o:spt="62" type="#_x0000_t62" style="position:absolute;left:0pt;margin-left:487.2pt;margin-top:126.35pt;height:39.55pt;width:90.5pt;z-index:251687936;mso-width-relative:page;mso-height-relative:page;" fillcolor="#FFFFFF" filled="t" stroked="t" coordsize="21600,21600" o:gfxdata="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A9i0+U2wAAAAwBAAAP&#10;AAAAAAAAAAEAIAAAACIAAABkcnMvZG93bnJldi54bWxQSwECFAAUAAAACACHTuJAjPaj0U4CAAC7&#10;BAAADgAAAAAAAAABACAAAAAqAQAAZHJzL2Uyb0RvYy54bWxQSwUGAAAAAAYABgBZAQAA6gUAAAAA&#10;" adj="-6623,-12397,14400">
                <v:fill on="t" focussize="0,0"/>
                <v:stroke color="#000000" miterlimit="8" joinstyle="miter"/>
                <v:imagedata o:title=""/>
                <o:lock v:ext="edit" aspectratio="f"/>
                <v:textbox>
                  <w:txbxContent>
                    <w:p>
                      <w:pPr>
                        <w:jc w:val="center"/>
                      </w:pPr>
                      <w:r>
                        <w:rPr>
                          <w:rFonts w:hint="eastAsia"/>
                        </w:rPr>
                        <w:t>梅州第三监狱</w:t>
                      </w:r>
                    </w:p>
                    <w:p>
                      <w:pPr>
                        <w:jc w:val="center"/>
                      </w:pPr>
                      <w:r>
                        <w:rPr>
                          <w:rFonts w:hint="eastAsia"/>
                        </w:rPr>
                        <w:t>（终点）</w:t>
                      </w:r>
                    </w:p>
                  </w:txbxContent>
                </v:textbox>
              </v:shape>
            </w:pict>
          </mc:Fallback>
        </mc:AlternateContent>
      </w:r>
      <w:r>
        <w:drawing>
          <wp:inline distT="0" distB="0" distL="0" distR="0">
            <wp:extent cx="8239125" cy="582803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8239125" cy="5828030"/>
                    </a:xfrm>
                    <a:prstGeom prst="rect">
                      <a:avLst/>
                    </a:prstGeom>
                    <a:noFill/>
                    <a:ln>
                      <a:noFill/>
                    </a:ln>
                  </pic:spPr>
                </pic:pic>
              </a:graphicData>
            </a:graphic>
          </wp:inline>
        </w:drawing>
      </w:r>
    </w:p>
    <w:p>
      <w:pPr>
        <w:jc w:val="center"/>
        <w:rPr>
          <w:b/>
          <w:sz w:val="32"/>
          <w:szCs w:val="32"/>
        </w:rPr>
        <w:sectPr>
          <w:footerReference r:id="rId10" w:type="default"/>
          <w:pgSz w:w="16840" w:h="11907" w:orient="landscape"/>
          <w:pgMar w:top="1134" w:right="1134" w:bottom="1134" w:left="1531" w:header="907" w:footer="925" w:gutter="0"/>
          <w:cols w:space="720" w:num="1"/>
          <w:docGrid w:linePitch="326" w:charSpace="-4916"/>
        </w:sectPr>
      </w:pPr>
      <w:r>
        <w:rPr>
          <w:b/>
          <w:sz w:val="32"/>
          <w:szCs w:val="32"/>
        </w:rPr>
        <w:t>附图2  项目地理位置</w:t>
      </w:r>
      <w:r>
        <w:rPr>
          <w:rFonts w:hint="eastAsia"/>
          <w:b/>
          <w:sz w:val="32"/>
          <w:szCs w:val="32"/>
        </w:rPr>
        <w:t>、敏感点分布及监测点位布设</w:t>
      </w:r>
      <w:r>
        <w:rPr>
          <w:b/>
          <w:sz w:val="32"/>
          <w:szCs w:val="32"/>
        </w:rPr>
        <w:t>图</w:t>
      </w:r>
      <w:r>
        <w:rPr>
          <w:rFonts w:hint="eastAsia"/>
          <w:b/>
          <w:sz w:val="32"/>
          <w:szCs w:val="32"/>
        </w:rPr>
        <w:t>（</w:t>
      </w:r>
      <w:r>
        <w:rPr>
          <w:b/>
          <w:sz w:val="32"/>
          <w:szCs w:val="32"/>
        </w:rPr>
        <w:t>2</w:t>
      </w:r>
      <w:r>
        <w:rPr>
          <w:rFonts w:hint="eastAsia"/>
          <w:b/>
          <w:sz w:val="32"/>
          <w:szCs w:val="32"/>
        </w:rPr>
        <w:t>）</w:t>
      </w:r>
    </w:p>
    <w:p>
      <w:pPr>
        <w:jc w:val="center"/>
        <w:rPr>
          <w:b/>
          <w:sz w:val="32"/>
          <w:szCs w:val="32"/>
        </w:rPr>
      </w:pPr>
    </w:p>
    <w:p>
      <w:pPr>
        <w:jc w:val="center"/>
        <w:rPr>
          <w:b/>
          <w:sz w:val="32"/>
          <w:szCs w:val="32"/>
        </w:rPr>
      </w:pPr>
      <w:r>
        <w:drawing>
          <wp:inline distT="0" distB="0" distL="0" distR="0">
            <wp:extent cx="5268595" cy="6120765"/>
            <wp:effectExtent l="0" t="0" r="8255"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53"/>
                    <a:stretch>
                      <a:fillRect/>
                    </a:stretch>
                  </pic:blipFill>
                  <pic:spPr>
                    <a:xfrm>
                      <a:off x="0" y="0"/>
                      <a:ext cx="5268595" cy="6120765"/>
                    </a:xfrm>
                    <a:prstGeom prst="rect">
                      <a:avLst/>
                    </a:prstGeom>
                  </pic:spPr>
                </pic:pic>
              </a:graphicData>
            </a:graphic>
          </wp:inline>
        </w:drawing>
      </w:r>
    </w:p>
    <w:p>
      <w:pPr>
        <w:jc w:val="center"/>
        <w:rPr>
          <w:b/>
          <w:sz w:val="32"/>
          <w:szCs w:val="32"/>
        </w:rPr>
      </w:pPr>
    </w:p>
    <w:p>
      <w:pPr>
        <w:jc w:val="center"/>
        <w:rPr>
          <w:b/>
          <w:sz w:val="32"/>
          <w:szCs w:val="32"/>
        </w:rPr>
      </w:pPr>
      <w:r>
        <w:rPr>
          <w:rFonts w:hint="eastAsia"/>
          <w:b/>
          <w:sz w:val="32"/>
          <w:szCs w:val="32"/>
        </w:rPr>
        <w:t>附图3  加压泵站总平面布置图</w:t>
      </w:r>
    </w:p>
    <w:p>
      <w:pPr>
        <w:jc w:val="center"/>
        <w:rPr>
          <w:b/>
          <w:sz w:val="32"/>
          <w:szCs w:val="32"/>
        </w:rPr>
        <w:sectPr>
          <w:pgSz w:w="11907" w:h="16840"/>
          <w:pgMar w:top="1134" w:right="1134" w:bottom="1531" w:left="1134" w:header="907" w:footer="925" w:gutter="0"/>
          <w:cols w:space="720" w:num="1"/>
          <w:docGrid w:linePitch="326" w:charSpace="-4916"/>
        </w:sectPr>
      </w:pPr>
    </w:p>
    <w:p>
      <w:pPr>
        <w:jc w:val="center"/>
        <w:rPr>
          <w:b/>
          <w:sz w:val="32"/>
          <w:szCs w:val="32"/>
        </w:rPr>
      </w:pPr>
      <w:r>
        <w:rPr>
          <w:b/>
          <w:sz w:val="32"/>
          <w:szCs w:val="32"/>
        </w:rPr>
        <mc:AlternateContent>
          <mc:Choice Requires="wps">
            <w:drawing>
              <wp:anchor distT="0" distB="0" distL="114300" distR="114300" simplePos="0" relativeHeight="251736064" behindDoc="0" locked="0" layoutInCell="1" allowOverlap="1">
                <wp:simplePos x="0" y="0"/>
                <wp:positionH relativeFrom="column">
                  <wp:posOffset>4590415</wp:posOffset>
                </wp:positionH>
                <wp:positionV relativeFrom="paragraph">
                  <wp:posOffset>4055110</wp:posOffset>
                </wp:positionV>
                <wp:extent cx="1016000" cy="286385"/>
                <wp:effectExtent l="0" t="0" r="0" b="0"/>
                <wp:wrapNone/>
                <wp:docPr id="97" name="Rectangle 145"/>
                <wp:cNvGraphicFramePr/>
                <a:graphic xmlns:a="http://schemas.openxmlformats.org/drawingml/2006/main">
                  <a:graphicData uri="http://schemas.microsoft.com/office/word/2010/wordprocessingShape">
                    <wps:wsp>
                      <wps:cNvSpPr>
                        <a:spLocks noChangeArrowheads="1"/>
                      </wps:cNvSpPr>
                      <wps:spPr bwMode="auto">
                        <a:xfrm>
                          <a:off x="0" y="0"/>
                          <a:ext cx="1016000" cy="286327"/>
                        </a:xfrm>
                        <a:prstGeom prst="rect">
                          <a:avLst/>
                        </a:prstGeom>
                        <a:noFill/>
                        <a:ln>
                          <a:noFill/>
                        </a:ln>
                      </wps:spPr>
                      <wps:txbx>
                        <w:txbxContent>
                          <w:p>
                            <w:pPr>
                              <w:rPr>
                                <w:color w:val="FFFF00"/>
                              </w:rPr>
                            </w:pPr>
                            <w:r>
                              <w:rPr>
                                <w:rFonts w:hint="eastAsia"/>
                                <w:color w:val="FFFF00"/>
                              </w:rPr>
                              <w:t>噪声监测点位</w:t>
                            </w:r>
                          </w:p>
                        </w:txbxContent>
                      </wps:txbx>
                      <wps:bodyPr rot="0" vert="horz" wrap="square" lIns="91440" tIns="45720" rIns="91440" bIns="45720" anchor="t" anchorCtr="0" upright="1">
                        <a:noAutofit/>
                      </wps:bodyPr>
                    </wps:wsp>
                  </a:graphicData>
                </a:graphic>
              </wp:anchor>
            </w:drawing>
          </mc:Choice>
          <mc:Fallback>
            <w:pict>
              <v:rect id="Rectangle 145" o:spid="_x0000_s1026" o:spt="1" style="position:absolute;left:0pt;margin-left:361.45pt;margin-top:319.3pt;height:22.55pt;width:80pt;z-index:251736064;mso-width-relative:page;mso-height-relative:page;" filled="f" stroked="f" coordsize="21600,21600" o:gfxdata="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DBlI3v2wAAAAsBAAAPAAAAAAAAAAEAIAAAACIAAABkcnMvZG93bnJldi54bWxQSwECFAAUAAAA&#10;CACHTuJAWhbjrOsBAADAAwAADgAAAAAAAAABACAAAAAqAQAAZHJzL2Uyb0RvYy54bWxQSwUGAAAA&#10;AAYABgBZAQAAhwUAAAAA&#10;">
                <v:fill on="f" focussize="0,0"/>
                <v:stroke on="f"/>
                <v:imagedata o:title=""/>
                <o:lock v:ext="edit" aspectratio="f"/>
                <v:textbox>
                  <w:txbxContent>
                    <w:p>
                      <w:pPr>
                        <w:rPr>
                          <w:color w:val="FFFF00"/>
                        </w:rPr>
                      </w:pPr>
                      <w:r>
                        <w:rPr>
                          <w:rFonts w:hint="eastAsia"/>
                          <w:color w:val="FFFF00"/>
                        </w:rPr>
                        <w:t>噪声监测点位</w:t>
                      </w:r>
                    </w:p>
                  </w:txbxContent>
                </v:textbox>
              </v:rect>
            </w:pict>
          </mc:Fallback>
        </mc:AlternateContent>
      </w:r>
      <w:r>
        <w:rPr>
          <w:b/>
          <w:sz w:val="32"/>
          <w:szCs w:val="32"/>
        </w:rPr>
        <mc:AlternateContent>
          <mc:Choice Requires="wps">
            <w:drawing>
              <wp:anchor distT="0" distB="0" distL="114300" distR="114300" simplePos="0" relativeHeight="251734016" behindDoc="0" locked="0" layoutInCell="1" allowOverlap="1">
                <wp:simplePos x="0" y="0"/>
                <wp:positionH relativeFrom="column">
                  <wp:posOffset>4438015</wp:posOffset>
                </wp:positionH>
                <wp:positionV relativeFrom="paragraph">
                  <wp:posOffset>4066540</wp:posOffset>
                </wp:positionV>
                <wp:extent cx="206375" cy="178435"/>
                <wp:effectExtent l="19050" t="19050" r="41275" b="12065"/>
                <wp:wrapNone/>
                <wp:docPr id="96" name="AutoShape 144"/>
                <wp:cNvGraphicFramePr/>
                <a:graphic xmlns:a="http://schemas.openxmlformats.org/drawingml/2006/main">
                  <a:graphicData uri="http://schemas.microsoft.com/office/word/2010/wordprocessingShape">
                    <wps:wsp>
                      <wps:cNvSpPr>
                        <a:spLocks noChangeArrowheads="1"/>
                      </wps:cNvSpPr>
                      <wps:spPr bwMode="auto">
                        <a:xfrm>
                          <a:off x="0" y="0"/>
                          <a:ext cx="206375" cy="178435"/>
                        </a:xfrm>
                        <a:prstGeom prst="triangle">
                          <a:avLst>
                            <a:gd name="adj" fmla="val 50000"/>
                          </a:avLst>
                        </a:prstGeom>
                        <a:solidFill>
                          <a:schemeClr val="accent4">
                            <a:lumMod val="60000"/>
                            <a:lumOff val="40000"/>
                          </a:schemeClr>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shape id="AutoShape 144" o:spid="_x0000_s1026" o:spt="5" type="#_x0000_t5" style="position:absolute;left:0pt;margin-left:349.45pt;margin-top:320.2pt;height:14.05pt;width:16.25pt;z-index:251734016;mso-width-relative:page;mso-height-relative:page;" fillcolor="#FFD966 [1943]" filled="t" stroked="t" coordsize="21600,21600" o:gfxdata="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s3V1tdkAAAALAQAADwAAAAAAAAABACAAAAAiAAAA&#10;ZHJzL2Rvd25yZXYueG1sUEsBAhQAFAAAAAgAh07iQJdps9g/AgAAjwQAAA4AAAAAAAAAAQAgAAAA&#10;KAEAAGRycy9lMm9Eb2MueG1sUEsFBgAAAAAGAAYAWQEAANkFAAAAAA==&#10;" adj="10800">
                <v:fill on="t" focussize="0,0"/>
                <v:stroke color="#000000" miterlimit="8" joinstyle="miter"/>
                <v:imagedata o:title=""/>
                <o:lock v:ext="edit" aspectratio="f"/>
              </v:shape>
            </w:pict>
          </mc:Fallback>
        </mc:AlternateContent>
      </w:r>
      <w:r>
        <w:rPr>
          <w:b/>
          <w:sz w:val="32"/>
          <w:szCs w:val="32"/>
        </w:rPr>
        <mc:AlternateContent>
          <mc:Choice Requires="wps">
            <w:drawing>
              <wp:anchor distT="0" distB="0" distL="114300" distR="114300" simplePos="0" relativeHeight="251725824" behindDoc="0" locked="0" layoutInCell="1" allowOverlap="1">
                <wp:simplePos x="0" y="0"/>
                <wp:positionH relativeFrom="column">
                  <wp:posOffset>2054225</wp:posOffset>
                </wp:positionH>
                <wp:positionV relativeFrom="paragraph">
                  <wp:posOffset>2474595</wp:posOffset>
                </wp:positionV>
                <wp:extent cx="424815" cy="267970"/>
                <wp:effectExtent l="0" t="0" r="0" b="0"/>
                <wp:wrapNone/>
                <wp:docPr id="91" name="Rectangle 145"/>
                <wp:cNvGraphicFramePr/>
                <a:graphic xmlns:a="http://schemas.openxmlformats.org/drawingml/2006/main">
                  <a:graphicData uri="http://schemas.microsoft.com/office/word/2010/wordprocessingShape">
                    <wps:wsp>
                      <wps:cNvSpPr>
                        <a:spLocks noChangeArrowheads="1"/>
                      </wps:cNvSpPr>
                      <wps:spPr bwMode="auto">
                        <a:xfrm>
                          <a:off x="0" y="0"/>
                          <a:ext cx="424815" cy="267970"/>
                        </a:xfrm>
                        <a:prstGeom prst="rect">
                          <a:avLst/>
                        </a:prstGeom>
                        <a:noFill/>
                        <a:ln>
                          <a:noFill/>
                        </a:ln>
                      </wps:spPr>
                      <wps:txbx>
                        <w:txbxContent>
                          <w:p>
                            <w:pPr>
                              <w:rPr>
                                <w:color w:val="FFFF00"/>
                              </w:rPr>
                            </w:pPr>
                            <w:r>
                              <w:rPr>
                                <w:rFonts w:hint="eastAsia"/>
                                <w:color w:val="FFFF00"/>
                              </w:rPr>
                              <w:t>N</w:t>
                            </w:r>
                            <w:r>
                              <w:rPr>
                                <w:color w:val="FFFF00"/>
                              </w:rPr>
                              <w:t>3</w:t>
                            </w:r>
                          </w:p>
                        </w:txbxContent>
                      </wps:txbx>
                      <wps:bodyPr rot="0" vert="horz" wrap="square" lIns="91440" tIns="45720" rIns="91440" bIns="45720" anchor="t" anchorCtr="0" upright="1">
                        <a:noAutofit/>
                      </wps:bodyPr>
                    </wps:wsp>
                  </a:graphicData>
                </a:graphic>
              </wp:anchor>
            </w:drawing>
          </mc:Choice>
          <mc:Fallback>
            <w:pict>
              <v:rect id="Rectangle 145" o:spid="_x0000_s1026" o:spt="1" style="position:absolute;left:0pt;margin-left:161.75pt;margin-top:194.85pt;height:21.1pt;width:33.45pt;z-index:251725824;mso-width-relative:page;mso-height-relative:page;" filled="f" stroked="f" coordsize="21600,21600" o:gfxdata="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cDLm43AAAAAsBAAAPAAAAAAAAAAEAIAAAACIAAABkcnMvZG93bnJldi54bWxQSwECFAAUAAAA&#10;CACHTuJASuMlpOoBAAC/AwAADgAAAAAAAAABACAAAAArAQAAZHJzL2Uyb0RvYy54bWxQSwUGAAAA&#10;AAYABgBZAQAAhwUAAAAA&#10;">
                <v:fill on="f" focussize="0,0"/>
                <v:stroke on="f"/>
                <v:imagedata o:title=""/>
                <o:lock v:ext="edit" aspectratio="f"/>
                <v:textbox>
                  <w:txbxContent>
                    <w:p>
                      <w:pPr>
                        <w:rPr>
                          <w:color w:val="FFFF00"/>
                        </w:rPr>
                      </w:pPr>
                      <w:r>
                        <w:rPr>
                          <w:rFonts w:hint="eastAsia"/>
                          <w:color w:val="FFFF00"/>
                        </w:rPr>
                        <w:t>N</w:t>
                      </w:r>
                      <w:r>
                        <w:rPr>
                          <w:color w:val="FFFF00"/>
                        </w:rPr>
                        <w:t>3</w:t>
                      </w:r>
                    </w:p>
                  </w:txbxContent>
                </v:textbox>
              </v:rect>
            </w:pict>
          </mc:Fallback>
        </mc:AlternateContent>
      </w:r>
      <w:r>
        <w:rPr>
          <w:b/>
          <w:sz w:val="32"/>
          <w:szCs w:val="32"/>
        </w:rPr>
        <mc:AlternateContent>
          <mc:Choice Requires="wps">
            <w:drawing>
              <wp:anchor distT="0" distB="0" distL="114300" distR="114300" simplePos="0" relativeHeight="251724800" behindDoc="0" locked="0" layoutInCell="1" allowOverlap="1">
                <wp:simplePos x="0" y="0"/>
                <wp:positionH relativeFrom="column">
                  <wp:posOffset>2177415</wp:posOffset>
                </wp:positionH>
                <wp:positionV relativeFrom="paragraph">
                  <wp:posOffset>2704465</wp:posOffset>
                </wp:positionV>
                <wp:extent cx="206375" cy="178435"/>
                <wp:effectExtent l="19050" t="19050" r="41275" b="12065"/>
                <wp:wrapNone/>
                <wp:docPr id="90" name="AutoShape 144"/>
                <wp:cNvGraphicFramePr/>
                <a:graphic xmlns:a="http://schemas.openxmlformats.org/drawingml/2006/main">
                  <a:graphicData uri="http://schemas.microsoft.com/office/word/2010/wordprocessingShape">
                    <wps:wsp>
                      <wps:cNvSpPr>
                        <a:spLocks noChangeArrowheads="1"/>
                      </wps:cNvSpPr>
                      <wps:spPr bwMode="auto">
                        <a:xfrm>
                          <a:off x="0" y="0"/>
                          <a:ext cx="206375" cy="178435"/>
                        </a:xfrm>
                        <a:prstGeom prst="triangle">
                          <a:avLst>
                            <a:gd name="adj" fmla="val 50000"/>
                          </a:avLst>
                        </a:prstGeom>
                        <a:solidFill>
                          <a:schemeClr val="accent4">
                            <a:lumMod val="60000"/>
                            <a:lumOff val="40000"/>
                          </a:schemeClr>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shape id="AutoShape 144" o:spid="_x0000_s1026" o:spt="5" type="#_x0000_t5" style="position:absolute;left:0pt;margin-left:171.45pt;margin-top:212.95pt;height:14.05pt;width:16.25pt;z-index:251724800;mso-width-relative:page;mso-height-relative:page;" fillcolor="#FFD966 [1943]" filled="t" stroked="t" coordsize="21600,21600" o:gfxdata="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MrVjIDaAAAACwEAAA8AAAAAAAAAAQAgAAAAIgAA&#10;AGRycy9kb3ducmV2LnhtbFBLAQIUABQAAAAIAIdO4kALl0fmPwIAAI8EAAAOAAAAAAAAAAEAIAAA&#10;ACkBAABkcnMvZTJvRG9jLnhtbFBLBQYAAAAABgAGAFkBAADaBQAAAAA=&#10;" adj="10800">
                <v:fill on="t" focussize="0,0"/>
                <v:stroke color="#000000" miterlimit="8" joinstyle="miter"/>
                <v:imagedata o:title=""/>
                <o:lock v:ext="edit" aspectratio="f"/>
              </v:shape>
            </w:pict>
          </mc:Fallback>
        </mc:AlternateContent>
      </w:r>
      <w:r>
        <w:rPr>
          <w:b/>
          <w:sz w:val="32"/>
          <w:szCs w:val="32"/>
        </w:rPr>
        <mc:AlternateContent>
          <mc:Choice Requires="wps">
            <w:drawing>
              <wp:anchor distT="0" distB="0" distL="114300" distR="114300" simplePos="0" relativeHeight="251728896" behindDoc="0" locked="0" layoutInCell="1" allowOverlap="1">
                <wp:simplePos x="0" y="0"/>
                <wp:positionH relativeFrom="margin">
                  <wp:align>center</wp:align>
                </wp:positionH>
                <wp:positionV relativeFrom="paragraph">
                  <wp:posOffset>3467100</wp:posOffset>
                </wp:positionV>
                <wp:extent cx="424815" cy="267970"/>
                <wp:effectExtent l="0" t="0" r="0" b="0"/>
                <wp:wrapNone/>
                <wp:docPr id="93" name="Rectangle 145"/>
                <wp:cNvGraphicFramePr/>
                <a:graphic xmlns:a="http://schemas.openxmlformats.org/drawingml/2006/main">
                  <a:graphicData uri="http://schemas.microsoft.com/office/word/2010/wordprocessingShape">
                    <wps:wsp>
                      <wps:cNvSpPr>
                        <a:spLocks noChangeArrowheads="1"/>
                      </wps:cNvSpPr>
                      <wps:spPr bwMode="auto">
                        <a:xfrm>
                          <a:off x="0" y="0"/>
                          <a:ext cx="424815" cy="267970"/>
                        </a:xfrm>
                        <a:prstGeom prst="rect">
                          <a:avLst/>
                        </a:prstGeom>
                        <a:noFill/>
                        <a:ln>
                          <a:noFill/>
                        </a:ln>
                      </wps:spPr>
                      <wps:txbx>
                        <w:txbxContent>
                          <w:p>
                            <w:pPr>
                              <w:rPr>
                                <w:color w:val="FFFF00"/>
                              </w:rPr>
                            </w:pPr>
                            <w:r>
                              <w:rPr>
                                <w:rFonts w:hint="eastAsia"/>
                                <w:color w:val="FFFF00"/>
                              </w:rPr>
                              <w:t>N</w:t>
                            </w:r>
                            <w:r>
                              <w:rPr>
                                <w:color w:val="FFFF00"/>
                              </w:rPr>
                              <w:t>2</w:t>
                            </w:r>
                          </w:p>
                        </w:txbxContent>
                      </wps:txbx>
                      <wps:bodyPr rot="0" vert="horz" wrap="square" lIns="91440" tIns="45720" rIns="91440" bIns="45720" anchor="t" anchorCtr="0" upright="1">
                        <a:noAutofit/>
                      </wps:bodyPr>
                    </wps:wsp>
                  </a:graphicData>
                </a:graphic>
              </wp:anchor>
            </w:drawing>
          </mc:Choice>
          <mc:Fallback>
            <w:pict>
              <v:rect id="Rectangle 145" o:spid="_x0000_s1026" o:spt="1" style="position:absolute;left:0pt;margin-top:273pt;height:21.1pt;width:33.45pt;mso-position-horizontal:center;mso-position-horizontal-relative:margin;z-index:251728896;mso-width-relative:page;mso-height-relative:page;" filled="f" stroked="f" coordsize="21600,21600" o:gfxdata="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Bc&#10;lAD62QAAAAcBAAAPAAAAAAAAAAEAIAAAACIAAABkcnMvZG93bnJldi54bWxQSwECFAAUAAAACACH&#10;TuJAkYbsI+oBAAC/AwAADgAAAAAAAAABACAAAAAoAQAAZHJzL2Uyb0RvYy54bWxQSwUGAAAAAAYA&#10;BgBZAQAAhAUAAAAA&#10;">
                <v:fill on="f" focussize="0,0"/>
                <v:stroke on="f"/>
                <v:imagedata o:title=""/>
                <o:lock v:ext="edit" aspectratio="f"/>
                <v:textbox>
                  <w:txbxContent>
                    <w:p>
                      <w:pPr>
                        <w:rPr>
                          <w:color w:val="FFFF00"/>
                        </w:rPr>
                      </w:pPr>
                      <w:r>
                        <w:rPr>
                          <w:rFonts w:hint="eastAsia"/>
                          <w:color w:val="FFFF00"/>
                        </w:rPr>
                        <w:t>N</w:t>
                      </w:r>
                      <w:r>
                        <w:rPr>
                          <w:color w:val="FFFF00"/>
                        </w:rPr>
                        <w:t>2</w:t>
                      </w:r>
                    </w:p>
                  </w:txbxContent>
                </v:textbox>
              </v:rect>
            </w:pict>
          </mc:Fallback>
        </mc:AlternateContent>
      </w:r>
      <w:r>
        <w:rPr>
          <w:b/>
          <w:sz w:val="32"/>
          <w:szCs w:val="32"/>
        </w:rPr>
        <mc:AlternateContent>
          <mc:Choice Requires="wps">
            <w:drawing>
              <wp:anchor distT="0" distB="0" distL="114300" distR="114300" simplePos="0" relativeHeight="251731968" behindDoc="0" locked="0" layoutInCell="1" allowOverlap="1">
                <wp:simplePos x="0" y="0"/>
                <wp:positionH relativeFrom="column">
                  <wp:posOffset>3258820</wp:posOffset>
                </wp:positionH>
                <wp:positionV relativeFrom="paragraph">
                  <wp:posOffset>2769235</wp:posOffset>
                </wp:positionV>
                <wp:extent cx="424815" cy="267970"/>
                <wp:effectExtent l="0" t="0" r="0" b="0"/>
                <wp:wrapNone/>
                <wp:docPr id="95" name="Rectangle 145"/>
                <wp:cNvGraphicFramePr/>
                <a:graphic xmlns:a="http://schemas.openxmlformats.org/drawingml/2006/main">
                  <a:graphicData uri="http://schemas.microsoft.com/office/word/2010/wordprocessingShape">
                    <wps:wsp>
                      <wps:cNvSpPr>
                        <a:spLocks noChangeArrowheads="1"/>
                      </wps:cNvSpPr>
                      <wps:spPr bwMode="auto">
                        <a:xfrm>
                          <a:off x="0" y="0"/>
                          <a:ext cx="424815" cy="267970"/>
                        </a:xfrm>
                        <a:prstGeom prst="rect">
                          <a:avLst/>
                        </a:prstGeom>
                        <a:noFill/>
                        <a:ln>
                          <a:noFill/>
                        </a:ln>
                      </wps:spPr>
                      <wps:txbx>
                        <w:txbxContent>
                          <w:p>
                            <w:pPr>
                              <w:rPr>
                                <w:color w:val="FFFF00"/>
                              </w:rPr>
                            </w:pPr>
                            <w:r>
                              <w:rPr>
                                <w:rFonts w:hint="eastAsia"/>
                                <w:color w:val="FFFF00"/>
                              </w:rPr>
                              <w:t>N</w:t>
                            </w:r>
                            <w:r>
                              <w:rPr>
                                <w:color w:val="FFFF00"/>
                              </w:rPr>
                              <w:t>1</w:t>
                            </w:r>
                          </w:p>
                        </w:txbxContent>
                      </wps:txbx>
                      <wps:bodyPr rot="0" vert="horz" wrap="square" lIns="91440" tIns="45720" rIns="91440" bIns="45720" anchor="t" anchorCtr="0" upright="1">
                        <a:noAutofit/>
                      </wps:bodyPr>
                    </wps:wsp>
                  </a:graphicData>
                </a:graphic>
              </wp:anchor>
            </w:drawing>
          </mc:Choice>
          <mc:Fallback>
            <w:pict>
              <v:rect id="Rectangle 145" o:spid="_x0000_s1026" o:spt="1" style="position:absolute;left:0pt;margin-left:256.6pt;margin-top:218.05pt;height:21.1pt;width:33.45pt;z-index:251731968;mso-width-relative:page;mso-height-relative:page;" filled="f" stroked="f" coordsize="21600,21600" o:gfxdata="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ybjQYNsAAAALAQAADwAAAAAAAAABACAAAAAiAAAAZHJzL2Rvd25yZXYueG1sUEsBAhQAFAAAAAgA&#10;h07iQL0uxnDpAQAAvwMAAA4AAAAAAAAAAQAgAAAAKgEAAGRycy9lMm9Eb2MueG1sUEsFBgAAAAAG&#10;AAYAWQEAAIUFAAAAAA==&#10;">
                <v:fill on="f" focussize="0,0"/>
                <v:stroke on="f"/>
                <v:imagedata o:title=""/>
                <o:lock v:ext="edit" aspectratio="f"/>
                <v:textbox>
                  <w:txbxContent>
                    <w:p>
                      <w:pPr>
                        <w:rPr>
                          <w:color w:val="FFFF00"/>
                        </w:rPr>
                      </w:pPr>
                      <w:r>
                        <w:rPr>
                          <w:rFonts w:hint="eastAsia"/>
                          <w:color w:val="FFFF00"/>
                        </w:rPr>
                        <w:t>N</w:t>
                      </w:r>
                      <w:r>
                        <w:rPr>
                          <w:color w:val="FFFF00"/>
                        </w:rPr>
                        <w:t>1</w:t>
                      </w:r>
                    </w:p>
                  </w:txbxContent>
                </v:textbox>
              </v:rect>
            </w:pict>
          </mc:Fallback>
        </mc:AlternateContent>
      </w:r>
      <w:r>
        <w:rPr>
          <w:b/>
          <w:sz w:val="32"/>
          <w:szCs w:val="32"/>
        </w:rPr>
        <mc:AlternateContent>
          <mc:Choice Requires="wps">
            <w:drawing>
              <wp:anchor distT="0" distB="0" distL="114300" distR="114300" simplePos="0" relativeHeight="251730944" behindDoc="0" locked="0" layoutInCell="1" allowOverlap="1">
                <wp:simplePos x="0" y="0"/>
                <wp:positionH relativeFrom="column">
                  <wp:posOffset>3302635</wp:posOffset>
                </wp:positionH>
                <wp:positionV relativeFrom="paragraph">
                  <wp:posOffset>2593340</wp:posOffset>
                </wp:positionV>
                <wp:extent cx="206375" cy="178435"/>
                <wp:effectExtent l="19050" t="19050" r="41275" b="12065"/>
                <wp:wrapNone/>
                <wp:docPr id="94" name="AutoShape 144"/>
                <wp:cNvGraphicFramePr/>
                <a:graphic xmlns:a="http://schemas.openxmlformats.org/drawingml/2006/main">
                  <a:graphicData uri="http://schemas.microsoft.com/office/word/2010/wordprocessingShape">
                    <wps:wsp>
                      <wps:cNvSpPr>
                        <a:spLocks noChangeArrowheads="1"/>
                      </wps:cNvSpPr>
                      <wps:spPr bwMode="auto">
                        <a:xfrm>
                          <a:off x="0" y="0"/>
                          <a:ext cx="206375" cy="178435"/>
                        </a:xfrm>
                        <a:prstGeom prst="triangle">
                          <a:avLst>
                            <a:gd name="adj" fmla="val 50000"/>
                          </a:avLst>
                        </a:prstGeom>
                        <a:solidFill>
                          <a:schemeClr val="accent4">
                            <a:lumMod val="60000"/>
                            <a:lumOff val="40000"/>
                          </a:schemeClr>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shape id="AutoShape 144" o:spid="_x0000_s1026" o:spt="5" type="#_x0000_t5" style="position:absolute;left:0pt;margin-left:260.05pt;margin-top:204.2pt;height:14.05pt;width:16.25pt;z-index:251730944;mso-width-relative:page;mso-height-relative:page;" fillcolor="#FFD966 [1943]" filled="t" stroked="t" coordsize="21600,21600" o:gfxdata="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Agv7WHaAAAACwEAAA8AAAAAAAAAAQAgAAAAIgAA&#10;AGRycy9kb3ducmV2LnhtbFBLAQIUABQAAAAIAIdO4kDcwc97PwIAAI8EAAAOAAAAAAAAAAEAIAAA&#10;ACkBAABkcnMvZTJvRG9jLnhtbFBLBQYAAAAABgAGAFkBAADaBQAAAAA=&#10;" adj="10800">
                <v:fill on="t" focussize="0,0"/>
                <v:stroke color="#000000" miterlimit="8" joinstyle="miter"/>
                <v:imagedata o:title=""/>
                <o:lock v:ext="edit" aspectratio="f"/>
              </v:shape>
            </w:pict>
          </mc:Fallback>
        </mc:AlternateContent>
      </w:r>
      <w:r>
        <w:rPr>
          <w:b/>
          <w:sz w:val="32"/>
          <w:szCs w:val="32"/>
        </w:rPr>
        <mc:AlternateContent>
          <mc:Choice Requires="wps">
            <w:drawing>
              <wp:anchor distT="0" distB="0" distL="114300" distR="114300" simplePos="0" relativeHeight="251727872" behindDoc="0" locked="0" layoutInCell="1" allowOverlap="1">
                <wp:simplePos x="0" y="0"/>
                <wp:positionH relativeFrom="column">
                  <wp:posOffset>2749550</wp:posOffset>
                </wp:positionH>
                <wp:positionV relativeFrom="paragraph">
                  <wp:posOffset>3438525</wp:posOffset>
                </wp:positionV>
                <wp:extent cx="206375" cy="178435"/>
                <wp:effectExtent l="19050" t="19050" r="41275" b="12065"/>
                <wp:wrapNone/>
                <wp:docPr id="92" name="AutoShape 144"/>
                <wp:cNvGraphicFramePr/>
                <a:graphic xmlns:a="http://schemas.openxmlformats.org/drawingml/2006/main">
                  <a:graphicData uri="http://schemas.microsoft.com/office/word/2010/wordprocessingShape">
                    <wps:wsp>
                      <wps:cNvSpPr>
                        <a:spLocks noChangeArrowheads="1"/>
                      </wps:cNvSpPr>
                      <wps:spPr bwMode="auto">
                        <a:xfrm>
                          <a:off x="0" y="0"/>
                          <a:ext cx="206375" cy="178435"/>
                        </a:xfrm>
                        <a:prstGeom prst="triangle">
                          <a:avLst>
                            <a:gd name="adj" fmla="val 50000"/>
                          </a:avLst>
                        </a:prstGeom>
                        <a:solidFill>
                          <a:schemeClr val="accent4">
                            <a:lumMod val="60000"/>
                            <a:lumOff val="40000"/>
                          </a:schemeClr>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shape id="AutoShape 144" o:spid="_x0000_s1026" o:spt="5" type="#_x0000_t5" style="position:absolute;left:0pt;margin-left:216.5pt;margin-top:270.75pt;height:14.05pt;width:16.25pt;z-index:251727872;mso-width-relative:page;mso-height-relative:page;" fillcolor="#FFD966 [1943]" filled="t" stroked="t" coordsize="21600,21600" o:gfxdata="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AwWchzaAAAACwEAAA8AAAAAAAAAAQAgAAAAIgAA&#10;AGRycy9kb3ducmV2LnhtbFBLAQIUABQAAAAIAIdO4kBAPztFPwIAAI8EAAAOAAAAAAAAAAEAIAAA&#10;ACkBAABkcnMvZTJvRG9jLnhtbFBLBQYAAAAABgAGAFkBAADaBQAAAAA=&#10;" adj="10800">
                <v:fill on="t" focussize="0,0"/>
                <v:stroke color="#000000" miterlimit="8" joinstyle="miter"/>
                <v:imagedata o:title=""/>
                <o:lock v:ext="edit" aspectratio="f"/>
              </v:shape>
            </w:pict>
          </mc:Fallback>
        </mc:AlternateContent>
      </w:r>
      <w:r>
        <w:rPr>
          <w:b/>
          <w:sz w:val="32"/>
          <w:szCs w:val="32"/>
        </w:rPr>
        <mc:AlternateContent>
          <mc:Choice Requires="wps">
            <w:drawing>
              <wp:anchor distT="0" distB="0" distL="114300" distR="114300" simplePos="0" relativeHeight="251721728" behindDoc="0" locked="0" layoutInCell="1" allowOverlap="1">
                <wp:simplePos x="0" y="0"/>
                <wp:positionH relativeFrom="column">
                  <wp:posOffset>2638425</wp:posOffset>
                </wp:positionH>
                <wp:positionV relativeFrom="paragraph">
                  <wp:posOffset>1374775</wp:posOffset>
                </wp:positionV>
                <wp:extent cx="206375" cy="179070"/>
                <wp:effectExtent l="19050" t="19050" r="41275" b="12065"/>
                <wp:wrapNone/>
                <wp:docPr id="88" name="AutoShape 144"/>
                <wp:cNvGraphicFramePr/>
                <a:graphic xmlns:a="http://schemas.openxmlformats.org/drawingml/2006/main">
                  <a:graphicData uri="http://schemas.microsoft.com/office/word/2010/wordprocessingShape">
                    <wps:wsp>
                      <wps:cNvSpPr>
                        <a:spLocks noChangeArrowheads="1"/>
                      </wps:cNvSpPr>
                      <wps:spPr bwMode="auto">
                        <a:xfrm>
                          <a:off x="0" y="0"/>
                          <a:ext cx="206432" cy="178844"/>
                        </a:xfrm>
                        <a:prstGeom prst="triangle">
                          <a:avLst>
                            <a:gd name="adj" fmla="val 50000"/>
                          </a:avLst>
                        </a:prstGeom>
                        <a:solidFill>
                          <a:schemeClr val="accent4">
                            <a:lumMod val="60000"/>
                            <a:lumOff val="40000"/>
                          </a:schemeClr>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shape id="AutoShape 144" o:spid="_x0000_s1026" o:spt="5" type="#_x0000_t5" style="position:absolute;left:0pt;margin-left:207.75pt;margin-top:108.25pt;height:14.1pt;width:16.25pt;z-index:251721728;mso-width-relative:page;mso-height-relative:page;" fillcolor="#FFD966 [1943]" filled="t" stroked="t" coordsize="21600,21600" o:gfxdata="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kJOnW2gAAAAsBAAAPAAAAAAAAAAEAIAAAACIAAABk&#10;cnMvZG93bnJldi54bWxQSwECFAAUAAAACACHTuJAoHcOcz0CAACPBAAADgAAAAAAAAABACAAAAAp&#10;AQAAZHJzL2Uyb0RvYy54bWxQSwUGAAAAAAYABgBZAQAA2AUAAAAA&#10;" adj="10800">
                <v:fill on="t" focussize="0,0"/>
                <v:stroke color="#000000" miterlimit="8" joinstyle="miter"/>
                <v:imagedata o:title=""/>
                <o:lock v:ext="edit" aspectratio="f"/>
              </v:shape>
            </w:pict>
          </mc:Fallback>
        </mc:AlternateContent>
      </w:r>
      <w:r>
        <w:rPr>
          <w:b/>
          <w:sz w:val="32"/>
          <w:szCs w:val="32"/>
        </w:rPr>
        <mc:AlternateContent>
          <mc:Choice Requires="wps">
            <w:drawing>
              <wp:anchor distT="0" distB="0" distL="114300" distR="114300" simplePos="0" relativeHeight="251722752" behindDoc="0" locked="0" layoutInCell="1" allowOverlap="1">
                <wp:simplePos x="0" y="0"/>
                <wp:positionH relativeFrom="column">
                  <wp:posOffset>2382520</wp:posOffset>
                </wp:positionH>
                <wp:positionV relativeFrom="paragraph">
                  <wp:posOffset>1514475</wp:posOffset>
                </wp:positionV>
                <wp:extent cx="424815" cy="267970"/>
                <wp:effectExtent l="0" t="0" r="0" b="0"/>
                <wp:wrapNone/>
                <wp:docPr id="89" name="Rectangle 145"/>
                <wp:cNvGraphicFramePr/>
                <a:graphic xmlns:a="http://schemas.openxmlformats.org/drawingml/2006/main">
                  <a:graphicData uri="http://schemas.microsoft.com/office/word/2010/wordprocessingShape">
                    <wps:wsp>
                      <wps:cNvSpPr>
                        <a:spLocks noChangeArrowheads="1"/>
                      </wps:cNvSpPr>
                      <wps:spPr bwMode="auto">
                        <a:xfrm>
                          <a:off x="0" y="0"/>
                          <a:ext cx="424815" cy="267970"/>
                        </a:xfrm>
                        <a:prstGeom prst="rect">
                          <a:avLst/>
                        </a:prstGeom>
                        <a:noFill/>
                        <a:ln>
                          <a:noFill/>
                        </a:ln>
                      </wps:spPr>
                      <wps:txbx>
                        <w:txbxContent>
                          <w:p>
                            <w:pPr>
                              <w:rPr>
                                <w:color w:val="FFFF00"/>
                              </w:rPr>
                            </w:pPr>
                            <w:r>
                              <w:rPr>
                                <w:rFonts w:hint="eastAsia"/>
                                <w:color w:val="FFFF00"/>
                              </w:rPr>
                              <w:t>N</w:t>
                            </w:r>
                            <w:r>
                              <w:rPr>
                                <w:color w:val="FFFF00"/>
                              </w:rPr>
                              <w:t>4</w:t>
                            </w:r>
                          </w:p>
                        </w:txbxContent>
                      </wps:txbx>
                      <wps:bodyPr rot="0" vert="horz" wrap="square" lIns="91440" tIns="45720" rIns="91440" bIns="45720" anchor="t" anchorCtr="0" upright="1">
                        <a:noAutofit/>
                      </wps:bodyPr>
                    </wps:wsp>
                  </a:graphicData>
                </a:graphic>
              </wp:anchor>
            </w:drawing>
          </mc:Choice>
          <mc:Fallback>
            <w:pict>
              <v:rect id="Rectangle 145" o:spid="_x0000_s1026" o:spt="1" style="position:absolute;left:0pt;margin-left:187.6pt;margin-top:119.25pt;height:21.1pt;width:33.45pt;z-index:251722752;mso-width-relative:page;mso-height-relative:page;" filled="f" stroked="f" coordsize="21600,21600" o:gfxdata="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BHCvCI3AAAAAsBAAAPAAAAAAAAAAEAIAAAACIAAABkcnMvZG93bnJldi54bWxQSwECFAAUAAAA&#10;CACHTuJA2ZzoM+oBAAC/AwAADgAAAAAAAAABACAAAAArAQAAZHJzL2Uyb0RvYy54bWxQSwUGAAAA&#10;AAYABgBZAQAAhwUAAAAA&#10;">
                <v:fill on="f" focussize="0,0"/>
                <v:stroke on="f"/>
                <v:imagedata o:title=""/>
                <o:lock v:ext="edit" aspectratio="f"/>
                <v:textbox>
                  <w:txbxContent>
                    <w:p>
                      <w:pPr>
                        <w:rPr>
                          <w:color w:val="FFFF00"/>
                        </w:rPr>
                      </w:pPr>
                      <w:r>
                        <w:rPr>
                          <w:rFonts w:hint="eastAsia"/>
                          <w:color w:val="FFFF00"/>
                        </w:rPr>
                        <w:t>N</w:t>
                      </w:r>
                      <w:r>
                        <w:rPr>
                          <w:color w:val="FFFF00"/>
                        </w:rPr>
                        <w:t>4</w:t>
                      </w:r>
                    </w:p>
                  </w:txbxContent>
                </v:textbox>
              </v:rect>
            </w:pict>
          </mc:Fallback>
        </mc:AlternateContent>
      </w:r>
      <w:r>
        <mc:AlternateContent>
          <mc:Choice Requires="wps">
            <w:drawing>
              <wp:anchor distT="0" distB="0" distL="114300" distR="114300" simplePos="0" relativeHeight="251713536" behindDoc="0" locked="0" layoutInCell="1" allowOverlap="1">
                <wp:simplePos x="0" y="0"/>
                <wp:positionH relativeFrom="column">
                  <wp:posOffset>3888105</wp:posOffset>
                </wp:positionH>
                <wp:positionV relativeFrom="paragraph">
                  <wp:posOffset>1403985</wp:posOffset>
                </wp:positionV>
                <wp:extent cx="979170" cy="498475"/>
                <wp:effectExtent l="0" t="0" r="12065" b="15875"/>
                <wp:wrapNone/>
                <wp:docPr id="82" name="矩形 82"/>
                <wp:cNvGraphicFramePr/>
                <a:graphic xmlns:a="http://schemas.openxmlformats.org/drawingml/2006/main">
                  <a:graphicData uri="http://schemas.microsoft.com/office/word/2010/wordprocessingShape">
                    <wps:wsp>
                      <wps:cNvSpPr/>
                      <wps:spPr>
                        <a:xfrm>
                          <a:off x="0" y="0"/>
                          <a:ext cx="979055" cy="498764"/>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b/>
                                <w:bCs/>
                                <w:color w:val="FFFF00"/>
                              </w:rPr>
                            </w:pPr>
                            <w:r>
                              <w:rPr>
                                <w:rFonts w:hint="eastAsia"/>
                                <w:b/>
                                <w:bCs/>
                                <w:color w:val="FFFF00"/>
                              </w:rPr>
                              <w:t>强制隔离戒毒中心</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6.15pt;margin-top:110.55pt;height:39.25pt;width:77.1pt;z-index:251713536;v-text-anchor:middle;mso-width-relative:page;mso-height-relative:page;" filled="f" stroked="t" coordsize="21600,21600" o:gfxdata="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HJQEeDaAAAACwEAAA8AAAAAAAAAAQAgAAAAIgAAAGRycy9kb3ducmV2LnhtbFBL&#10;AQIUABQAAAAIAIdO4kD8w1bcZgIAAKoEAAAOAAAAAAAAAAEAIAAAACkBAABkcnMvZTJvRG9jLnht&#10;bFBLBQYAAAAABgAGAFkBAAABBgAAAAA=&#10;">
                <v:fill on="f" focussize="0,0"/>
                <v:stroke weight="1pt" color="#2F528F [3204]" miterlimit="8" joinstyle="miter"/>
                <v:imagedata o:title=""/>
                <o:lock v:ext="edit" aspectratio="f"/>
                <v:textbox>
                  <w:txbxContent>
                    <w:p>
                      <w:pPr>
                        <w:jc w:val="center"/>
                        <w:rPr>
                          <w:b/>
                          <w:bCs/>
                          <w:color w:val="FFFF00"/>
                        </w:rPr>
                      </w:pPr>
                      <w:r>
                        <w:rPr>
                          <w:rFonts w:hint="eastAsia"/>
                          <w:b/>
                          <w:bCs/>
                          <w:color w:val="FFFF00"/>
                        </w:rPr>
                        <w:t>强制隔离戒毒中心</w:t>
                      </w:r>
                    </w:p>
                  </w:txbxContent>
                </v:textbox>
              </v:rect>
            </w:pict>
          </mc:Fallback>
        </mc:AlternateContent>
      </w:r>
      <w:r>
        <mc:AlternateContent>
          <mc:Choice Requires="wps">
            <w:drawing>
              <wp:anchor distT="0" distB="0" distL="114300" distR="114300" simplePos="0" relativeHeight="251719680" behindDoc="0" locked="0" layoutInCell="1" allowOverlap="1">
                <wp:simplePos x="0" y="0"/>
                <wp:positionH relativeFrom="column">
                  <wp:posOffset>2435860</wp:posOffset>
                </wp:positionH>
                <wp:positionV relativeFrom="paragraph">
                  <wp:posOffset>3064510</wp:posOffset>
                </wp:positionV>
                <wp:extent cx="877570" cy="351155"/>
                <wp:effectExtent l="0" t="0" r="0" b="0"/>
                <wp:wrapNone/>
                <wp:docPr id="85" name="矩形 85"/>
                <wp:cNvGraphicFramePr/>
                <a:graphic xmlns:a="http://schemas.openxmlformats.org/drawingml/2006/main">
                  <a:graphicData uri="http://schemas.microsoft.com/office/word/2010/wordprocessingShape">
                    <wps:wsp>
                      <wps:cNvSpPr/>
                      <wps:spPr>
                        <a:xfrm>
                          <a:off x="0" y="0"/>
                          <a:ext cx="877455" cy="35098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b/>
                                <w:bCs/>
                                <w:color w:val="FF0000"/>
                              </w:rPr>
                            </w:pPr>
                            <w:r>
                              <w:rPr>
                                <w:rFonts w:hint="eastAsia"/>
                                <w:b/>
                                <w:bCs/>
                                <w:color w:val="FF0000"/>
                              </w:rPr>
                              <w:t>泵站边界</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1.8pt;margin-top:241.3pt;height:27.65pt;width:69.1pt;z-index:251719680;v-text-anchor:middle;mso-width-relative:page;mso-height-relative:page;" filled="f" stroked="f" coordsize="21600,21600" o:gfxdata="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Wlv7hNkAAAALAQAADwAAAAAAAAABACAA&#10;AAAiAAAAZHJzL2Rvd25yZXYueG1sUEsBAhQAFAAAAAgAh07iQF5IMHxFAgAAYAQAAA4AAAAAAAAA&#10;AQAgAAAAKAEAAGRycy9lMm9Eb2MueG1sUEsFBgAAAAAGAAYAWQEAAN8FAAAAAA==&#10;">
                <v:fill on="f" focussize="0,0"/>
                <v:stroke on="f" weight="1pt" miterlimit="8" joinstyle="miter"/>
                <v:imagedata o:title=""/>
                <o:lock v:ext="edit" aspectratio="f"/>
                <v:textbox>
                  <w:txbxContent>
                    <w:p>
                      <w:pPr>
                        <w:jc w:val="center"/>
                        <w:rPr>
                          <w:b/>
                          <w:bCs/>
                          <w:color w:val="FF0000"/>
                        </w:rPr>
                      </w:pPr>
                      <w:r>
                        <w:rPr>
                          <w:rFonts w:hint="eastAsia"/>
                          <w:b/>
                          <w:bCs/>
                          <w:color w:val="FF0000"/>
                        </w:rPr>
                        <w:t>泵站边界</w:t>
                      </w:r>
                    </w:p>
                  </w:txbxContent>
                </v:textbox>
              </v:rect>
            </w:pict>
          </mc:Fallback>
        </mc:AlternateContent>
      </w:r>
      <w:r>
        <mc:AlternateContent>
          <mc:Choice Requires="wps">
            <w:drawing>
              <wp:anchor distT="0" distB="0" distL="114300" distR="114300" simplePos="0" relativeHeight="251717632" behindDoc="0" locked="0" layoutInCell="1" allowOverlap="1">
                <wp:simplePos x="0" y="0"/>
                <wp:positionH relativeFrom="column">
                  <wp:posOffset>2362200</wp:posOffset>
                </wp:positionH>
                <wp:positionV relativeFrom="paragraph">
                  <wp:posOffset>3803650</wp:posOffset>
                </wp:positionV>
                <wp:extent cx="877570" cy="351155"/>
                <wp:effectExtent l="0" t="0" r="18415" b="11430"/>
                <wp:wrapNone/>
                <wp:docPr id="84" name="矩形 84"/>
                <wp:cNvGraphicFramePr/>
                <a:graphic xmlns:a="http://schemas.openxmlformats.org/drawingml/2006/main">
                  <a:graphicData uri="http://schemas.microsoft.com/office/word/2010/wordprocessingShape">
                    <wps:wsp>
                      <wps:cNvSpPr/>
                      <wps:spPr>
                        <a:xfrm>
                          <a:off x="0" y="0"/>
                          <a:ext cx="877455" cy="350981"/>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b/>
                                <w:bCs/>
                                <w:color w:val="FFFF00"/>
                              </w:rPr>
                            </w:pPr>
                            <w:r>
                              <w:rPr>
                                <w:rFonts w:hint="eastAsia"/>
                                <w:b/>
                                <w:bCs/>
                                <w:color w:val="FFFF00"/>
                              </w:rPr>
                              <w:t>碧桂路</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6pt;margin-top:299.5pt;height:27.65pt;width:69.1pt;z-index:251717632;v-text-anchor:middle;mso-width-relative:page;mso-height-relative:page;" filled="f" stroked="t" coordsize="21600,21600" o:gfxdata="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3FFzr3AAAAAsBAAAPAAAAAAAAAAEAIAAAACIAAABkcnMvZG93bnJldi54bWxQ&#10;SwECFAAUAAAACACHTuJAtWjjqmUCAACqBAAADgAAAAAAAAABACAAAAArAQAAZHJzL2Uyb0RvYy54&#10;bWxQSwUGAAAAAAYABgBZAQAAAgYAAAAA&#10;">
                <v:fill on="f" focussize="0,0"/>
                <v:stroke weight="1pt" color="#2F528F [3204]" miterlimit="8" joinstyle="miter"/>
                <v:imagedata o:title=""/>
                <o:lock v:ext="edit" aspectratio="f"/>
                <v:textbox>
                  <w:txbxContent>
                    <w:p>
                      <w:pPr>
                        <w:jc w:val="center"/>
                        <w:rPr>
                          <w:b/>
                          <w:bCs/>
                          <w:color w:val="FFFF00"/>
                        </w:rPr>
                      </w:pPr>
                      <w:r>
                        <w:rPr>
                          <w:rFonts w:hint="eastAsia"/>
                          <w:b/>
                          <w:bCs/>
                          <w:color w:val="FFFF00"/>
                        </w:rPr>
                        <w:t>碧桂路</w:t>
                      </w:r>
                    </w:p>
                  </w:txbxContent>
                </v:textbox>
              </v:rect>
            </w:pict>
          </mc:Fallback>
        </mc:AlternateContent>
      </w:r>
      <w:r>
        <mc:AlternateContent>
          <mc:Choice Requires="wps">
            <w:drawing>
              <wp:anchor distT="0" distB="0" distL="114300" distR="114300" simplePos="0" relativeHeight="251709440" behindDoc="0" locked="0" layoutInCell="1" allowOverlap="1">
                <wp:simplePos x="0" y="0"/>
                <wp:positionH relativeFrom="column">
                  <wp:posOffset>1348740</wp:posOffset>
                </wp:positionH>
                <wp:positionV relativeFrom="paragraph">
                  <wp:posOffset>748030</wp:posOffset>
                </wp:positionV>
                <wp:extent cx="1127125" cy="350520"/>
                <wp:effectExtent l="0" t="0" r="16510" b="11430"/>
                <wp:wrapNone/>
                <wp:docPr id="80" name="矩形 80"/>
                <wp:cNvGraphicFramePr/>
                <a:graphic xmlns:a="http://schemas.openxmlformats.org/drawingml/2006/main">
                  <a:graphicData uri="http://schemas.microsoft.com/office/word/2010/wordprocessingShape">
                    <wps:wsp>
                      <wps:cNvSpPr/>
                      <wps:spPr>
                        <a:xfrm>
                          <a:off x="0" y="0"/>
                          <a:ext cx="1126837" cy="35052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b/>
                                <w:bCs/>
                                <w:color w:val="FFFF00"/>
                              </w:rPr>
                            </w:pPr>
                            <w:r>
                              <w:rPr>
                                <w:rFonts w:hint="eastAsia"/>
                                <w:b/>
                                <w:bCs/>
                                <w:color w:val="FFFF00"/>
                              </w:rPr>
                              <w:t>梅江区拘留所</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6.2pt;margin-top:58.9pt;height:27.6pt;width:88.75pt;z-index:251709440;v-text-anchor:middle;mso-width-relative:page;mso-height-relative:page;" filled="f" stroked="t" coordsize="21600,21600" o:gfxdata="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shlZ19oAAAALAQAADwAAAAAAAAABACAAAAAiAAAAZHJzL2Rvd25yZXYueG1sUEsB&#10;AhQAFAAAAAgAh07iQPVC+dtlAgAAqwQAAA4AAAAAAAAAAQAgAAAAKQEAAGRycy9lMm9Eb2MueG1s&#10;UEsFBgAAAAAGAAYAWQEAAAAGAAAAAA==&#10;">
                <v:fill on="f" focussize="0,0"/>
                <v:stroke weight="1pt" color="#2F528F [3204]" miterlimit="8" joinstyle="miter"/>
                <v:imagedata o:title=""/>
                <o:lock v:ext="edit" aspectratio="f"/>
                <v:textbox>
                  <w:txbxContent>
                    <w:p>
                      <w:pPr>
                        <w:jc w:val="center"/>
                        <w:rPr>
                          <w:b/>
                          <w:bCs/>
                          <w:color w:val="FFFF00"/>
                        </w:rPr>
                      </w:pPr>
                      <w:r>
                        <w:rPr>
                          <w:rFonts w:hint="eastAsia"/>
                          <w:b/>
                          <w:bCs/>
                          <w:color w:val="FFFF00"/>
                        </w:rPr>
                        <w:t>梅江区拘留所</w:t>
                      </w:r>
                    </w:p>
                  </w:txbxContent>
                </v:textbox>
              </v:rect>
            </w:pict>
          </mc:Fallback>
        </mc:AlternateContent>
      </w:r>
      <w:r>
        <mc:AlternateContent>
          <mc:Choice Requires="wps">
            <w:drawing>
              <wp:anchor distT="0" distB="0" distL="114300" distR="114300" simplePos="0" relativeHeight="251715584" behindDoc="0" locked="0" layoutInCell="1" allowOverlap="1">
                <wp:simplePos x="0" y="0"/>
                <wp:positionH relativeFrom="column">
                  <wp:posOffset>4338955</wp:posOffset>
                </wp:positionH>
                <wp:positionV relativeFrom="paragraph">
                  <wp:posOffset>478155</wp:posOffset>
                </wp:positionV>
                <wp:extent cx="877570" cy="351155"/>
                <wp:effectExtent l="0" t="0" r="18415" b="11430"/>
                <wp:wrapNone/>
                <wp:docPr id="83" name="矩形 83"/>
                <wp:cNvGraphicFramePr/>
                <a:graphic xmlns:a="http://schemas.openxmlformats.org/drawingml/2006/main">
                  <a:graphicData uri="http://schemas.microsoft.com/office/word/2010/wordprocessingShape">
                    <wps:wsp>
                      <wps:cNvSpPr/>
                      <wps:spPr>
                        <a:xfrm>
                          <a:off x="0" y="0"/>
                          <a:ext cx="877455" cy="350981"/>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b/>
                                <w:bCs/>
                                <w:color w:val="FFFF00"/>
                              </w:rPr>
                            </w:pPr>
                            <w:r>
                              <w:rPr>
                                <w:rFonts w:hint="eastAsia"/>
                                <w:b/>
                                <w:bCs/>
                                <w:color w:val="FFFF00"/>
                              </w:rPr>
                              <w:t>居民点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1.65pt;margin-top:37.65pt;height:27.65pt;width:69.1pt;z-index:251715584;v-text-anchor:middle;mso-width-relative:page;mso-height-relative:page;" filled="f" stroked="t" coordsize="21600,21600" o:gfxdata="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PlshJjaAAAACgEAAA8AAAAAAAAAAQAgAAAAIgAAAGRycy9kb3ducmV2LnhtbFBL&#10;AQIUABQAAAAIAIdO4kAtxr+wZgIAAKoEAAAOAAAAAAAAAAEAIAAAACkBAABkcnMvZTJvRG9jLnht&#10;bFBLBQYAAAAABgAGAFkBAAABBgAAAAA=&#10;">
                <v:fill on="f" focussize="0,0"/>
                <v:stroke weight="1pt" color="#2F528F [3204]" miterlimit="8" joinstyle="miter"/>
                <v:imagedata o:title=""/>
                <o:lock v:ext="edit" aspectratio="f"/>
                <v:textbox>
                  <w:txbxContent>
                    <w:p>
                      <w:pPr>
                        <w:jc w:val="center"/>
                        <w:rPr>
                          <w:b/>
                          <w:bCs/>
                          <w:color w:val="FFFF00"/>
                        </w:rPr>
                      </w:pPr>
                      <w:r>
                        <w:rPr>
                          <w:rFonts w:hint="eastAsia"/>
                          <w:b/>
                          <w:bCs/>
                          <w:color w:val="FFFF00"/>
                        </w:rPr>
                        <w:t>居民点</w:t>
                      </w:r>
                    </w:p>
                  </w:txbxContent>
                </v:textbox>
              </v:rect>
            </w:pict>
          </mc:Fallback>
        </mc:AlternateContent>
      </w:r>
      <w:r>
        <mc:AlternateContent>
          <mc:Choice Requires="wps">
            <w:drawing>
              <wp:anchor distT="0" distB="0" distL="114300" distR="114300" simplePos="0" relativeHeight="251711488" behindDoc="0" locked="0" layoutInCell="1" allowOverlap="1">
                <wp:simplePos x="0" y="0"/>
                <wp:positionH relativeFrom="column">
                  <wp:posOffset>3628390</wp:posOffset>
                </wp:positionH>
                <wp:positionV relativeFrom="paragraph">
                  <wp:posOffset>2686685</wp:posOffset>
                </wp:positionV>
                <wp:extent cx="877570" cy="351155"/>
                <wp:effectExtent l="0" t="0" r="18415" b="11430"/>
                <wp:wrapNone/>
                <wp:docPr id="81" name="矩形 81"/>
                <wp:cNvGraphicFramePr/>
                <a:graphic xmlns:a="http://schemas.openxmlformats.org/drawingml/2006/main">
                  <a:graphicData uri="http://schemas.microsoft.com/office/word/2010/wordprocessingShape">
                    <wps:wsp>
                      <wps:cNvSpPr/>
                      <wps:spPr>
                        <a:xfrm>
                          <a:off x="0" y="0"/>
                          <a:ext cx="877455" cy="350981"/>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b/>
                                <w:bCs/>
                                <w:color w:val="FFFF00"/>
                              </w:rPr>
                            </w:pPr>
                            <w:r>
                              <w:rPr>
                                <w:rFonts w:hint="eastAsia"/>
                                <w:b/>
                                <w:bCs/>
                                <w:color w:val="FFFF00"/>
                              </w:rPr>
                              <w:t>荒草地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5.7pt;margin-top:211.55pt;height:27.65pt;width:69.1pt;z-index:251711488;v-text-anchor:middle;mso-width-relative:page;mso-height-relative:page;" filled="f" stroked="t" coordsize="21600,21600" o:gfxdata="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MPieMrbAAAACwEAAA8AAAAAAAAAAQAgAAAAIgAAAGRycy9kb3ducmV2LnhtbFBL&#10;AQIUABQAAAAIAIdO4kDL23owZQIAAKoEAAAOAAAAAAAAAAEAIAAAACoBAABkcnMvZTJvRG9jLnht&#10;bFBLBQYAAAAABgAGAFkBAAABBgAAAAA=&#10;">
                <v:fill on="f" focussize="0,0"/>
                <v:stroke weight="1pt" color="#2F528F [3204]" miterlimit="8" joinstyle="miter"/>
                <v:imagedata o:title=""/>
                <o:lock v:ext="edit" aspectratio="f"/>
                <v:textbox>
                  <w:txbxContent>
                    <w:p>
                      <w:pPr>
                        <w:jc w:val="center"/>
                        <w:rPr>
                          <w:b/>
                          <w:bCs/>
                          <w:color w:val="FFFF00"/>
                        </w:rPr>
                      </w:pPr>
                      <w:r>
                        <w:rPr>
                          <w:rFonts w:hint="eastAsia"/>
                          <w:b/>
                          <w:bCs/>
                          <w:color w:val="FFFF00"/>
                        </w:rPr>
                        <w:t>荒草地</w:t>
                      </w:r>
                    </w:p>
                  </w:txbxContent>
                </v:textbox>
              </v:rect>
            </w:pict>
          </mc:Fallback>
        </mc:AlternateContent>
      </w:r>
      <w:r>
        <mc:AlternateContent>
          <mc:Choice Requires="wps">
            <w:drawing>
              <wp:anchor distT="0" distB="0" distL="114300" distR="114300" simplePos="0" relativeHeight="251707392" behindDoc="0" locked="0" layoutInCell="1" allowOverlap="1">
                <wp:simplePos x="0" y="0"/>
                <wp:positionH relativeFrom="column">
                  <wp:posOffset>997585</wp:posOffset>
                </wp:positionH>
                <wp:positionV relativeFrom="paragraph">
                  <wp:posOffset>2456815</wp:posOffset>
                </wp:positionV>
                <wp:extent cx="877570" cy="351155"/>
                <wp:effectExtent l="0" t="0" r="18415" b="11430"/>
                <wp:wrapNone/>
                <wp:docPr id="79" name="矩形 79"/>
                <wp:cNvGraphicFramePr/>
                <a:graphic xmlns:a="http://schemas.openxmlformats.org/drawingml/2006/main">
                  <a:graphicData uri="http://schemas.microsoft.com/office/word/2010/wordprocessingShape">
                    <wps:wsp>
                      <wps:cNvSpPr/>
                      <wps:spPr>
                        <a:xfrm>
                          <a:off x="0" y="0"/>
                          <a:ext cx="877455" cy="350981"/>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b/>
                                <w:bCs/>
                                <w:color w:val="FFFF00"/>
                              </w:rPr>
                            </w:pPr>
                            <w:r>
                              <w:rPr>
                                <w:rFonts w:hint="eastAsia"/>
                                <w:b/>
                                <w:bCs/>
                                <w:color w:val="FFFF00"/>
                              </w:rPr>
                              <w:t>梅江碧桂园</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8.55pt;margin-top:193.45pt;height:27.65pt;width:69.1pt;z-index:251707392;v-text-anchor:middle;mso-width-relative:page;mso-height-relative:page;" filled="f" stroked="t" coordsize="21600,21600" o:gfxdata="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BkbBIc2wAAAAsBAAAPAAAAAAAAAAEAIAAAACIAAABkcnMvZG93bnJldi54bWxQ&#10;SwECFAAUAAAACACHTuJASe7kXGYCAACqBAAADgAAAAAAAAABACAAAAAqAQAAZHJzL2Uyb0RvYy54&#10;bWxQSwUGAAAAAAYABgBZAQAAAgYAAAAA&#10;">
                <v:fill on="f" focussize="0,0"/>
                <v:stroke weight="1pt" color="#2F528F [3204]" miterlimit="8" joinstyle="miter"/>
                <v:imagedata o:title=""/>
                <o:lock v:ext="edit" aspectratio="f"/>
                <v:textbox>
                  <w:txbxContent>
                    <w:p>
                      <w:pPr>
                        <w:jc w:val="center"/>
                        <w:rPr>
                          <w:b/>
                          <w:bCs/>
                          <w:color w:val="FFFF00"/>
                        </w:rPr>
                      </w:pPr>
                      <w:r>
                        <w:rPr>
                          <w:rFonts w:hint="eastAsia"/>
                          <w:b/>
                          <w:bCs/>
                          <w:color w:val="FFFF00"/>
                        </w:rPr>
                        <w:t>梅江碧桂园</w:t>
                      </w:r>
                    </w:p>
                  </w:txbxContent>
                </v:textbox>
              </v:rect>
            </w:pict>
          </mc:Fallback>
        </mc:AlternateContent>
      </w:r>
      <w:r>
        <mc:AlternateContent>
          <mc:Choice Requires="wps">
            <w:drawing>
              <wp:anchor distT="0" distB="0" distL="114300" distR="114300" simplePos="0" relativeHeight="251706368" behindDoc="0" locked="0" layoutInCell="1" allowOverlap="1">
                <wp:simplePos x="0" y="0"/>
                <wp:positionH relativeFrom="column">
                  <wp:posOffset>2336165</wp:posOffset>
                </wp:positionH>
                <wp:positionV relativeFrom="paragraph">
                  <wp:posOffset>1588135</wp:posOffset>
                </wp:positionV>
                <wp:extent cx="956310" cy="1858010"/>
                <wp:effectExtent l="19050" t="19050" r="34290" b="47625"/>
                <wp:wrapNone/>
                <wp:docPr id="77" name="任意多边形: 形状 77"/>
                <wp:cNvGraphicFramePr/>
                <a:graphic xmlns:a="http://schemas.openxmlformats.org/drawingml/2006/main">
                  <a:graphicData uri="http://schemas.microsoft.com/office/word/2010/wordprocessingShape">
                    <wps:wsp>
                      <wps:cNvSpPr/>
                      <wps:spPr>
                        <a:xfrm>
                          <a:off x="0" y="0"/>
                          <a:ext cx="956313" cy="1857926"/>
                        </a:xfrm>
                        <a:custGeom>
                          <a:avLst/>
                          <a:gdLst>
                            <a:gd name="connsiteX0" fmla="*/ 496629 w 956313"/>
                            <a:gd name="connsiteY0" fmla="*/ 68923 h 1857926"/>
                            <a:gd name="connsiteX1" fmla="*/ 0 w 956313"/>
                            <a:gd name="connsiteY1" fmla="*/ 375852 h 1857926"/>
                            <a:gd name="connsiteX2" fmla="*/ 82414 w 956313"/>
                            <a:gd name="connsiteY2" fmla="*/ 1774799 h 1857926"/>
                            <a:gd name="connsiteX3" fmla="*/ 922923 w 956313"/>
                            <a:gd name="connsiteY3" fmla="*/ 1857926 h 1857926"/>
                            <a:gd name="connsiteX4" fmla="*/ 956313 w 956313"/>
                            <a:gd name="connsiteY4" fmla="*/ 364466 h 1857926"/>
                            <a:gd name="connsiteX5" fmla="*/ 839795 w 956313"/>
                            <a:gd name="connsiteY5" fmla="*/ 444762 h 1857926"/>
                            <a:gd name="connsiteX6" fmla="*/ 664305 w 956313"/>
                            <a:gd name="connsiteY6" fmla="*/ 306217 h 1857926"/>
                            <a:gd name="connsiteX7" fmla="*/ 590414 w 956313"/>
                            <a:gd name="connsiteY7" fmla="*/ 103017 h 1857926"/>
                            <a:gd name="connsiteX8" fmla="*/ 580467 w 956313"/>
                            <a:gd name="connsiteY8" fmla="*/ 0 h 1857926"/>
                            <a:gd name="connsiteX9" fmla="*/ 496629 w 956313"/>
                            <a:gd name="connsiteY9" fmla="*/ 68923 h 18579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956313" h="1857926">
                              <a:moveTo>
                                <a:pt x="496629" y="68923"/>
                              </a:moveTo>
                              <a:lnTo>
                                <a:pt x="0" y="375852"/>
                              </a:lnTo>
                              <a:lnTo>
                                <a:pt x="82414" y="1774799"/>
                              </a:lnTo>
                              <a:lnTo>
                                <a:pt x="922923" y="1857926"/>
                              </a:lnTo>
                              <a:lnTo>
                                <a:pt x="956313" y="364466"/>
                              </a:lnTo>
                              <a:lnTo>
                                <a:pt x="839795" y="444762"/>
                              </a:lnTo>
                              <a:lnTo>
                                <a:pt x="664305" y="306217"/>
                              </a:lnTo>
                              <a:lnTo>
                                <a:pt x="590414" y="103017"/>
                              </a:lnTo>
                              <a:lnTo>
                                <a:pt x="580467" y="0"/>
                              </a:lnTo>
                              <a:lnTo>
                                <a:pt x="496629" y="68923"/>
                              </a:lnTo>
                              <a:close/>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77" o:spid="_x0000_s1026" o:spt="100" style="position:absolute;left:0pt;margin-left:183.95pt;margin-top:125.05pt;height:146.3pt;width:75.3pt;z-index:251706368;v-text-anchor:middle;mso-width-relative:page;mso-height-relative:page;" filled="f" stroked="t" coordsize="956313,1857926" o:gfxdata="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" path="m496629,68923l0,375852,82414,1774799,922923,1857926,956313,364466,839795,444762,664305,306217,590414,103017,580467,0,496629,68923xe">
                <v:path o:connectlocs="496629,68923;0,375852;82414,1774799;922923,1857926;956313,364466;839795,444762;664305,306217;590414,103017;580467,0;496629,68923" o:connectangles="0,0,0,0,0,0,0,0,0,0"/>
                <v:fill on="f" focussize="0,0"/>
                <v:stroke weight="1.5pt" color="#FF0000 [3204]" miterlimit="8" joinstyle="miter"/>
                <v:imagedata o:title=""/>
                <o:lock v:ext="edit" aspectratio="f"/>
              </v:shape>
            </w:pict>
          </mc:Fallback>
        </mc:AlternateContent>
      </w:r>
      <w:r>
        <w:drawing>
          <wp:inline distT="0" distB="0" distL="0" distR="0">
            <wp:extent cx="5433060" cy="4670425"/>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54"/>
                    <a:stretch>
                      <a:fillRect/>
                    </a:stretch>
                  </pic:blipFill>
                  <pic:spPr>
                    <a:xfrm>
                      <a:off x="0" y="0"/>
                      <a:ext cx="5439244" cy="4675752"/>
                    </a:xfrm>
                    <a:prstGeom prst="rect">
                      <a:avLst/>
                    </a:prstGeom>
                  </pic:spPr>
                </pic:pic>
              </a:graphicData>
            </a:graphic>
          </wp:inline>
        </w:drawing>
      </w:r>
    </w:p>
    <w:p>
      <w:pPr>
        <w:jc w:val="center"/>
        <w:rPr>
          <w:b/>
          <w:sz w:val="32"/>
          <w:szCs w:val="32"/>
        </w:rPr>
        <w:sectPr>
          <w:pgSz w:w="11907" w:h="16840"/>
          <w:pgMar w:top="1134" w:right="1134" w:bottom="1531" w:left="1134" w:header="907" w:footer="925" w:gutter="0"/>
          <w:cols w:space="720" w:num="1"/>
          <w:docGrid w:linePitch="326" w:charSpace="-4916"/>
        </w:sectPr>
      </w:pPr>
      <w:r>
        <w:rPr>
          <w:rFonts w:hint="eastAsia"/>
          <w:b/>
          <w:sz w:val="32"/>
          <w:szCs w:val="32"/>
        </w:rPr>
        <w:t>附图</w:t>
      </w:r>
      <w:r>
        <w:rPr>
          <w:b/>
          <w:sz w:val="32"/>
          <w:szCs w:val="32"/>
        </w:rPr>
        <w:t>4</w:t>
      </w:r>
      <w:r>
        <w:rPr>
          <w:rFonts w:hint="eastAsia"/>
          <w:b/>
          <w:sz w:val="32"/>
          <w:szCs w:val="32"/>
        </w:rPr>
        <w:t xml:space="preserve">  加压泵站四至情况及噪声监测点位图</w:t>
      </w:r>
    </w:p>
    <w:p>
      <w:pPr>
        <w:pStyle w:val="138"/>
        <w:ind w:left="420" w:firstLine="0"/>
        <w:rPr>
          <w:rFonts w:ascii="Times New Roman" w:hAnsi="Times New Roman"/>
          <w:color w:val="FF0000"/>
        </w:rPr>
      </w:pPr>
    </w:p>
    <w:p>
      <w:pPr>
        <w:pStyle w:val="138"/>
        <w:ind w:left="420" w:firstLine="0"/>
        <w:rPr>
          <w:rFonts w:ascii="Times New Roman" w:hAnsi="Times New Roman"/>
          <w:color w:val="FF0000"/>
        </w:rPr>
      </w:pPr>
    </w:p>
    <w:p>
      <w:pPr>
        <w:pStyle w:val="138"/>
        <w:ind w:left="420" w:firstLine="0"/>
        <w:rPr>
          <w:rFonts w:ascii="Times New Roman" w:hAnsi="Times New Roman"/>
          <w:color w:val="FF0000"/>
        </w:rPr>
      </w:pPr>
      <w:r>
        <w:rPr>
          <w:rFonts w:ascii="Times New Roman" w:hAnsi="Times New Roman"/>
          <w:color w:val="FF0000"/>
        </w:rPr>
        <mc:AlternateContent>
          <mc:Choice Requires="wps">
            <w:drawing>
              <wp:anchor distT="0" distB="0" distL="114300" distR="114300" simplePos="0" relativeHeight="251738112" behindDoc="0" locked="0" layoutInCell="1" allowOverlap="1">
                <wp:simplePos x="0" y="0"/>
                <wp:positionH relativeFrom="column">
                  <wp:posOffset>2118360</wp:posOffset>
                </wp:positionH>
                <wp:positionV relativeFrom="paragraph">
                  <wp:posOffset>1329690</wp:posOffset>
                </wp:positionV>
                <wp:extent cx="713740" cy="236220"/>
                <wp:effectExtent l="0" t="0" r="448945" b="11430"/>
                <wp:wrapNone/>
                <wp:docPr id="103" name="标注: 弯曲线形 103"/>
                <wp:cNvGraphicFramePr/>
                <a:graphic xmlns:a="http://schemas.openxmlformats.org/drawingml/2006/main">
                  <a:graphicData uri="http://schemas.microsoft.com/office/word/2010/wordprocessingShape">
                    <wps:wsp>
                      <wps:cNvSpPr/>
                      <wps:spPr>
                        <a:xfrm>
                          <a:off x="0" y="0"/>
                          <a:ext cx="713638" cy="236220"/>
                        </a:xfrm>
                        <a:prstGeom prst="borderCallout2">
                          <a:avLst>
                            <a:gd name="adj1" fmla="val 37698"/>
                            <a:gd name="adj2" fmla="val 98089"/>
                            <a:gd name="adj3" fmla="val 40406"/>
                            <a:gd name="adj4" fmla="val 124894"/>
                            <a:gd name="adj5" fmla="val 96258"/>
                            <a:gd name="adj6" fmla="val 161157"/>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sz w:val="18"/>
                                <w:szCs w:val="21"/>
                              </w:rPr>
                            </w:pPr>
                            <w:r>
                              <w:rPr>
                                <w:rFonts w:hint="eastAsia"/>
                                <w:sz w:val="18"/>
                                <w:szCs w:val="21"/>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标注: 弯曲线形 103" o:spid="_x0000_s1026" o:spt="48" type="#_x0000_t48" style="position:absolute;left:0pt;margin-left:166.8pt;margin-top:104.7pt;height:18.6pt;width:56.2pt;z-index:251738112;v-text-anchor:middle;mso-width-relative:page;mso-height-relative:page;" fillcolor="#4472C4 [3204]" filled="t" stroked="t" coordsize="21600,21600" o:gfxdata="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" adj="34810,20792,26977,8728,21187,8143">
                <v:fill on="t" focussize="0,0"/>
                <v:stroke weight="1pt" color="#2F528F [3204]" miterlimit="8" joinstyle="miter"/>
                <v:imagedata o:title=""/>
                <o:lock v:ext="edit" aspectratio="f"/>
                <v:textbox>
                  <w:txbxContent>
                    <w:p>
                      <w:pPr>
                        <w:jc w:val="center"/>
                        <w:rPr>
                          <w:sz w:val="18"/>
                          <w:szCs w:val="21"/>
                        </w:rPr>
                      </w:pPr>
                      <w:r>
                        <w:rPr>
                          <w:rFonts w:hint="eastAsia"/>
                          <w:sz w:val="18"/>
                          <w:szCs w:val="21"/>
                        </w:rPr>
                        <w:t>项目位置</w:t>
                      </w:r>
                    </w:p>
                  </w:txbxContent>
                </v:textbox>
              </v:shape>
            </w:pict>
          </mc:Fallback>
        </mc:AlternateContent>
      </w:r>
      <w:r>
        <w:rPr>
          <w:rFonts w:ascii="Times New Roman" w:hAnsi="Times New Roman"/>
          <w:color w:val="FF0000"/>
        </w:rPr>
        <mc:AlternateContent>
          <mc:Choice Requires="wps">
            <w:drawing>
              <wp:anchor distT="0" distB="0" distL="114300" distR="114300" simplePos="0" relativeHeight="251737088" behindDoc="0" locked="0" layoutInCell="1" allowOverlap="1">
                <wp:simplePos x="0" y="0"/>
                <wp:positionH relativeFrom="column">
                  <wp:posOffset>3237865</wp:posOffset>
                </wp:positionH>
                <wp:positionV relativeFrom="paragraph">
                  <wp:posOffset>1534795</wp:posOffset>
                </wp:positionV>
                <wp:extent cx="64135" cy="57150"/>
                <wp:effectExtent l="0" t="0" r="0" b="635"/>
                <wp:wrapNone/>
                <wp:docPr id="102" name="等腰三角形 102"/>
                <wp:cNvGraphicFramePr/>
                <a:graphic xmlns:a="http://schemas.openxmlformats.org/drawingml/2006/main">
                  <a:graphicData uri="http://schemas.microsoft.com/office/word/2010/wordprocessingShape">
                    <wps:wsp>
                      <wps:cNvSpPr/>
                      <wps:spPr>
                        <a:xfrm>
                          <a:off x="0" y="0"/>
                          <a:ext cx="63944" cy="56839"/>
                        </a:xfrm>
                        <a:prstGeom prst="triangle">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254.95pt;margin-top:120.85pt;height:4.5pt;width:5.05pt;z-index:251737088;v-text-anchor:middle;mso-width-relative:page;mso-height-relative:page;" fillcolor="#00B0F0" filled="t" stroked="f" coordsize="21600,21600" o:gfxdata="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B9Gcvs2AAAAAsBAAAPAAAAAAAAAAEAIAAAACIAAABkcnMvZG93bnJldi54bWxQSwEC&#10;FAAUAAAACACHTuJAQ5AXSGYCAACLBAAADgAAAAAAAAABACAAAAAnAQAAZHJzL2Uyb0RvYy54bWxQ&#10;SwUGAAAAAAYABgBZAQAA/wUAAAAA&#10;" adj="10800">
                <v:fill on="t" focussize="0,0"/>
                <v:stroke on="f" weight="1pt" miterlimit="8" joinstyle="miter"/>
                <v:imagedata o:title=""/>
                <o:lock v:ext="edit" aspectratio="f"/>
              </v:shape>
            </w:pict>
          </mc:Fallback>
        </mc:AlternateContent>
      </w:r>
      <w:r>
        <w:rPr>
          <w:rFonts w:ascii="Times New Roman" w:hAnsi="Times New Roman"/>
          <w:color w:val="FF0000"/>
        </w:rPr>
        <w:drawing>
          <wp:inline distT="0" distB="0" distL="0" distR="0">
            <wp:extent cx="5596890" cy="3998595"/>
            <wp:effectExtent l="0" t="0" r="3810" b="1905"/>
            <wp:docPr id="101" name="图片 101" descr="梅州市生态控制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梅州市生态控制区"/>
                    <pic:cNvPicPr>
                      <a:picLocks noChangeAspect="1" noChangeArrowheads="1"/>
                    </pic:cNvPicPr>
                  </pic:nvPicPr>
                  <pic:blipFill>
                    <a:blip r:embed="rId55" cstate="print">
                      <a:extLst>
                        <a:ext uri="{28A0092B-C50C-407E-A947-70E740481C1C}">
                          <a14:useLocalDpi xmlns:a14="http://schemas.microsoft.com/office/drawing/2010/main" val="0"/>
                        </a:ext>
                      </a:extLst>
                    </a:blip>
                    <a:srcRect t="4922" r="3949" b="9842"/>
                    <a:stretch>
                      <a:fillRect/>
                    </a:stretch>
                  </pic:blipFill>
                  <pic:spPr>
                    <a:xfrm>
                      <a:off x="0" y="0"/>
                      <a:ext cx="5597924" cy="3999318"/>
                    </a:xfrm>
                    <a:prstGeom prst="rect">
                      <a:avLst/>
                    </a:prstGeom>
                    <a:noFill/>
                    <a:ln>
                      <a:noFill/>
                    </a:ln>
                  </pic:spPr>
                </pic:pic>
              </a:graphicData>
            </a:graphic>
          </wp:inline>
        </w:drawing>
      </w:r>
    </w:p>
    <w:p>
      <w:pPr>
        <w:jc w:val="center"/>
        <w:rPr>
          <w:b/>
          <w:sz w:val="32"/>
          <w:szCs w:val="32"/>
        </w:rPr>
      </w:pPr>
      <w:r>
        <w:rPr>
          <w:b/>
          <w:sz w:val="32"/>
          <w:szCs w:val="32"/>
        </w:rPr>
        <w:t>附图5</w:t>
      </w:r>
      <w:r>
        <w:rPr>
          <w:rFonts w:hint="eastAsia"/>
          <w:b/>
          <w:sz w:val="32"/>
          <w:szCs w:val="32"/>
        </w:rPr>
        <w:t xml:space="preserve"> </w:t>
      </w:r>
      <w:r>
        <w:rPr>
          <w:b/>
          <w:sz w:val="32"/>
          <w:szCs w:val="32"/>
        </w:rPr>
        <w:t>项目所在地与生态严控区位置关系图</w:t>
      </w:r>
    </w:p>
    <w:p>
      <w:pPr>
        <w:jc w:val="center"/>
        <w:rPr>
          <w:b/>
          <w:sz w:val="32"/>
          <w:szCs w:val="32"/>
        </w:rPr>
      </w:pPr>
    </w:p>
    <w:p>
      <w:pPr>
        <w:jc w:val="center"/>
        <w:rPr>
          <w:b/>
          <w:sz w:val="32"/>
          <w:szCs w:val="32"/>
        </w:rPr>
        <w:sectPr>
          <w:pgSz w:w="11907" w:h="16840"/>
          <w:pgMar w:top="1134" w:right="1134" w:bottom="1531" w:left="1134" w:header="907" w:footer="925" w:gutter="0"/>
          <w:cols w:space="720" w:num="1"/>
          <w:docGrid w:linePitch="326" w:charSpace="-4916"/>
        </w:sectPr>
      </w:pPr>
    </w:p>
    <w:p>
      <w:pPr>
        <w:pStyle w:val="25"/>
        <w:ind w:left="420" w:hanging="420"/>
        <w:jc w:val="center"/>
        <w:rPr>
          <w:rFonts w:eastAsia="Calibri"/>
          <w:color w:val="FF0000"/>
        </w:rPr>
      </w:pPr>
    </w:p>
    <w:p>
      <w:pPr>
        <w:pStyle w:val="25"/>
        <w:ind w:left="420" w:hanging="420"/>
        <w:jc w:val="center"/>
        <w:rPr>
          <w:rFonts w:eastAsia="Calibri"/>
          <w:color w:val="FF0000"/>
        </w:rPr>
      </w:pPr>
      <w:r>
        <w:rPr>
          <w:rFonts w:eastAsia="Calibri"/>
          <w:color w:val="FF0000"/>
        </w:rPr>
        <mc:AlternateContent>
          <mc:Choice Requires="wps">
            <w:drawing>
              <wp:anchor distT="0" distB="0" distL="114300" distR="114300" simplePos="0" relativeHeight="251741184" behindDoc="0" locked="0" layoutInCell="1" allowOverlap="1">
                <wp:simplePos x="0" y="0"/>
                <wp:positionH relativeFrom="column">
                  <wp:posOffset>3465830</wp:posOffset>
                </wp:positionH>
                <wp:positionV relativeFrom="paragraph">
                  <wp:posOffset>1659890</wp:posOffset>
                </wp:positionV>
                <wp:extent cx="713740" cy="236220"/>
                <wp:effectExtent l="0" t="0" r="448945" b="11430"/>
                <wp:wrapNone/>
                <wp:docPr id="106" name="标注: 弯曲线形 106"/>
                <wp:cNvGraphicFramePr/>
                <a:graphic xmlns:a="http://schemas.openxmlformats.org/drawingml/2006/main">
                  <a:graphicData uri="http://schemas.microsoft.com/office/word/2010/wordprocessingShape">
                    <wps:wsp>
                      <wps:cNvSpPr/>
                      <wps:spPr>
                        <a:xfrm>
                          <a:off x="0" y="0"/>
                          <a:ext cx="713638" cy="236220"/>
                        </a:xfrm>
                        <a:prstGeom prst="borderCallout2">
                          <a:avLst>
                            <a:gd name="adj1" fmla="val 37698"/>
                            <a:gd name="adj2" fmla="val 98089"/>
                            <a:gd name="adj3" fmla="val 40406"/>
                            <a:gd name="adj4" fmla="val 124894"/>
                            <a:gd name="adj5" fmla="val 96258"/>
                            <a:gd name="adj6" fmla="val 161157"/>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sz w:val="18"/>
                                <w:szCs w:val="21"/>
                              </w:rPr>
                            </w:pPr>
                            <w:r>
                              <w:rPr>
                                <w:rFonts w:hint="eastAsia"/>
                                <w:sz w:val="18"/>
                                <w:szCs w:val="21"/>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标注: 弯曲线形 106" o:spid="_x0000_s1026" o:spt="48" type="#_x0000_t48" style="position:absolute;left:0pt;margin-left:272.9pt;margin-top:130.7pt;height:18.6pt;width:56.2pt;z-index:251741184;v-text-anchor:middle;mso-width-relative:page;mso-height-relative:page;" fillcolor="#4472C4 [3204]" filled="t" stroked="t" coordsize="21600,21600" o:gfxdata="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" adj="34810,20792,26977,8728,21187,8143">
                <v:fill on="t" focussize="0,0"/>
                <v:stroke weight="1pt" color="#2F528F [3204]" miterlimit="8" joinstyle="miter"/>
                <v:imagedata o:title=""/>
                <o:lock v:ext="edit" aspectratio="f"/>
                <v:textbox>
                  <w:txbxContent>
                    <w:p>
                      <w:pPr>
                        <w:jc w:val="center"/>
                        <w:rPr>
                          <w:sz w:val="18"/>
                          <w:szCs w:val="21"/>
                        </w:rPr>
                      </w:pPr>
                      <w:r>
                        <w:rPr>
                          <w:rFonts w:hint="eastAsia"/>
                          <w:sz w:val="18"/>
                          <w:szCs w:val="21"/>
                        </w:rPr>
                        <w:t>项目位置</w:t>
                      </w:r>
                    </w:p>
                  </w:txbxContent>
                </v:textbox>
              </v:shape>
            </w:pict>
          </mc:Fallback>
        </mc:AlternateContent>
      </w:r>
      <w:r>
        <w:rPr>
          <w:rFonts w:eastAsia="Calibri"/>
          <w:color w:val="FF0000"/>
        </w:rPr>
        <mc:AlternateContent>
          <mc:Choice Requires="wps">
            <w:drawing>
              <wp:anchor distT="0" distB="0" distL="114300" distR="114300" simplePos="0" relativeHeight="251740160" behindDoc="0" locked="0" layoutInCell="1" allowOverlap="1">
                <wp:simplePos x="0" y="0"/>
                <wp:positionH relativeFrom="column">
                  <wp:posOffset>4594860</wp:posOffset>
                </wp:positionH>
                <wp:positionV relativeFrom="paragraph">
                  <wp:posOffset>1856105</wp:posOffset>
                </wp:positionV>
                <wp:extent cx="63500" cy="56515"/>
                <wp:effectExtent l="0" t="0" r="0" b="635"/>
                <wp:wrapNone/>
                <wp:docPr id="105" name="等腰三角形 105"/>
                <wp:cNvGraphicFramePr/>
                <a:graphic xmlns:a="http://schemas.openxmlformats.org/drawingml/2006/main">
                  <a:graphicData uri="http://schemas.microsoft.com/office/word/2010/wordprocessingShape">
                    <wps:wsp>
                      <wps:cNvSpPr/>
                      <wps:spPr>
                        <a:xfrm>
                          <a:off x="0" y="0"/>
                          <a:ext cx="63500" cy="56515"/>
                        </a:xfrm>
                        <a:prstGeom prst="triangle">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61.8pt;margin-top:146.15pt;height:4.45pt;width:5pt;z-index:251740160;v-text-anchor:middle;mso-width-relative:page;mso-height-relative:page;" fillcolor="#00B0F0" filled="t" stroked="f" coordsize="21600,21600" o:gfxdata="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Du7VNE2QAAAAsBAAAPAAAAAAAAAAEAIAAAACIAAABkcnMvZG93bnJldi54bWxQSwEC&#10;FAAUAAAACACHTuJA5gwBk2UCAACLBAAADgAAAAAAAAABACAAAAAoAQAAZHJzL2Uyb0RvYy54bWxQ&#10;SwUGAAAAAAYABgBZAQAA/wUAAAAA&#10;" adj="10800">
                <v:fill on="t" focussize="0,0"/>
                <v:stroke on="f" weight="1pt" miterlimit="8" joinstyle="miter"/>
                <v:imagedata o:title=""/>
                <o:lock v:ext="edit" aspectratio="f"/>
              </v:shape>
            </w:pict>
          </mc:Fallback>
        </mc:AlternateContent>
      </w:r>
      <w:r>
        <w:rPr>
          <w:rFonts w:eastAsia="Calibri"/>
          <w:color w:val="FF0000"/>
        </w:rPr>
        <w:drawing>
          <wp:inline distT="0" distB="0" distL="0" distR="0">
            <wp:extent cx="7037070" cy="4802505"/>
            <wp:effectExtent l="0" t="0" r="0" b="0"/>
            <wp:docPr id="104" name="图片 104" descr="梅州市大气功能区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梅州市大气功能区划"/>
                    <pic:cNvPicPr>
                      <a:picLocks noChangeAspect="1" noChangeArrowheads="1"/>
                    </pic:cNvPicPr>
                  </pic:nvPicPr>
                  <pic:blipFill>
                    <a:blip r:embed="rId56" cstate="print">
                      <a:extLst>
                        <a:ext uri="{28A0092B-C50C-407E-A947-70E740481C1C}">
                          <a14:useLocalDpi xmlns:a14="http://schemas.microsoft.com/office/drawing/2010/main" val="0"/>
                        </a:ext>
                      </a:extLst>
                    </a:blip>
                    <a:srcRect l="5952" t="4951" r="5118" b="9230"/>
                    <a:stretch>
                      <a:fillRect/>
                    </a:stretch>
                  </pic:blipFill>
                  <pic:spPr>
                    <a:xfrm>
                      <a:off x="0" y="0"/>
                      <a:ext cx="7048166" cy="4810162"/>
                    </a:xfrm>
                    <a:prstGeom prst="rect">
                      <a:avLst/>
                    </a:prstGeom>
                    <a:noFill/>
                    <a:ln>
                      <a:noFill/>
                    </a:ln>
                  </pic:spPr>
                </pic:pic>
              </a:graphicData>
            </a:graphic>
          </wp:inline>
        </w:drawing>
      </w:r>
    </w:p>
    <w:p>
      <w:pPr>
        <w:jc w:val="center"/>
        <w:rPr>
          <w:b/>
          <w:sz w:val="32"/>
          <w:szCs w:val="32"/>
        </w:rPr>
      </w:pPr>
      <w:r>
        <w:rPr>
          <w:b/>
          <w:sz w:val="32"/>
          <w:szCs w:val="32"/>
        </w:rPr>
        <w:t>附图6  项目所在地与大气环境功能区划位置关系图</w:t>
      </w:r>
    </w:p>
    <w:p>
      <w:pPr>
        <w:jc w:val="center"/>
        <w:rPr>
          <w:b/>
          <w:sz w:val="32"/>
          <w:szCs w:val="32"/>
        </w:rPr>
        <w:sectPr>
          <w:pgSz w:w="16840" w:h="11907" w:orient="landscape"/>
          <w:pgMar w:top="1134" w:right="1134" w:bottom="1134" w:left="1531" w:header="907" w:footer="925" w:gutter="0"/>
          <w:cols w:space="720" w:num="1"/>
          <w:docGrid w:linePitch="326" w:charSpace="-4916"/>
        </w:sectPr>
      </w:pPr>
    </w:p>
    <w:p>
      <w:pPr>
        <w:jc w:val="center"/>
        <w:rPr>
          <w:b/>
          <w:sz w:val="32"/>
          <w:szCs w:val="32"/>
        </w:rPr>
      </w:pPr>
      <w:r>
        <mc:AlternateContent>
          <mc:Choice Requires="wps">
            <w:drawing>
              <wp:anchor distT="0" distB="0" distL="114300" distR="114300" simplePos="0" relativeHeight="251772928" behindDoc="0" locked="0" layoutInCell="1" allowOverlap="1">
                <wp:simplePos x="0" y="0"/>
                <wp:positionH relativeFrom="column">
                  <wp:posOffset>3778250</wp:posOffset>
                </wp:positionH>
                <wp:positionV relativeFrom="paragraph">
                  <wp:posOffset>3621405</wp:posOffset>
                </wp:positionV>
                <wp:extent cx="210820" cy="267970"/>
                <wp:effectExtent l="0" t="0" r="75565" b="55880"/>
                <wp:wrapNone/>
                <wp:docPr id="128" name="直接箭头连接符 128"/>
                <wp:cNvGraphicFramePr/>
                <a:graphic xmlns:a="http://schemas.openxmlformats.org/drawingml/2006/main">
                  <a:graphicData uri="http://schemas.microsoft.com/office/word/2010/wordprocessingShape">
                    <wps:wsp>
                      <wps:cNvCnPr/>
                      <wps:spPr>
                        <a:xfrm>
                          <a:off x="0" y="0"/>
                          <a:ext cx="210749" cy="268028"/>
                        </a:xfrm>
                        <a:prstGeom prst="straightConnector1">
                          <a:avLst/>
                        </a:prstGeom>
                        <a:ln>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97.5pt;margin-top:285.15pt;height:21.1pt;width:16.6pt;z-index:251772928;mso-width-relative:page;mso-height-relative:page;" filled="f" stroked="t" coordsize="21600,21600" o:gfxdata="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6mpRFtoAAAALAQAADwAAAAAAAAABACAAAAAiAAAAZHJzL2Rvd25yZXYueG1sUEsB&#10;AhQAFAAAAAgAh07iQED+5RzzAQAAmwMAAA4AAAAAAAAAAQAgAAAAKQEAAGRycy9lMm9Eb2MueG1s&#10;UEsFBgAAAAAGAAYAWQEAAI4FAAAAAA==&#10;">
                <v:fill on="f" focussize="0,0"/>
                <v:stroke weight="0.5pt" color="#00B0F0 [3204]" miterlimit="8" joinstyle="miter" endarrow="block"/>
                <v:imagedata o:title=""/>
                <o:lock v:ext="edit" aspectratio="f"/>
              </v:shape>
            </w:pict>
          </mc:Fallback>
        </mc:AlternateContent>
      </w:r>
      <w:r>
        <mc:AlternateContent>
          <mc:Choice Requires="wps">
            <w:drawing>
              <wp:anchor distT="0" distB="0" distL="114300" distR="114300" simplePos="0" relativeHeight="251770880" behindDoc="0" locked="0" layoutInCell="1" allowOverlap="1">
                <wp:simplePos x="0" y="0"/>
                <wp:positionH relativeFrom="column">
                  <wp:posOffset>5031740</wp:posOffset>
                </wp:positionH>
                <wp:positionV relativeFrom="paragraph">
                  <wp:posOffset>532765</wp:posOffset>
                </wp:positionV>
                <wp:extent cx="198120" cy="351790"/>
                <wp:effectExtent l="38100" t="0" r="30480" b="48895"/>
                <wp:wrapNone/>
                <wp:docPr id="127" name="直接箭头连接符 127"/>
                <wp:cNvGraphicFramePr/>
                <a:graphic xmlns:a="http://schemas.openxmlformats.org/drawingml/2006/main">
                  <a:graphicData uri="http://schemas.microsoft.com/office/word/2010/wordprocessingShape">
                    <wps:wsp>
                      <wps:cNvCnPr/>
                      <wps:spPr>
                        <a:xfrm flipH="1">
                          <a:off x="0" y="0"/>
                          <a:ext cx="198226" cy="351693"/>
                        </a:xfrm>
                        <a:prstGeom prst="straightConnector1">
                          <a:avLst/>
                        </a:prstGeom>
                        <a:ln>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396.2pt;margin-top:41.95pt;height:27.7pt;width:15.6pt;z-index:251770880;mso-width-relative:page;mso-height-relative:page;" filled="f" stroked="t" coordsize="21600,21600" o:gfxdata="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NfUr9LWAAAACgEAAA8AAAAAAAAAAQAgAAAAIgAAAGRycy9kb3ducmV2Lnht&#10;bFBLAQIUABQAAAAIAIdO4kC0TKY3+wEAAKUDAAAOAAAAAAAAAAEAIAAAACUBAABkcnMvZTJvRG9j&#10;LnhtbFBLBQYAAAAABgAGAFkBAACSBQAAAAA=&#10;">
                <v:fill on="f" focussize="0,0"/>
                <v:stroke weight="0.5pt" color="#00B0F0 [3204]" miterlimit="8" joinstyle="miter" endarrow="block"/>
                <v:imagedata o:title=""/>
                <o:lock v:ext="edit" aspectratio="f"/>
              </v:shape>
            </w:pict>
          </mc:Fallback>
        </mc:AlternateContent>
      </w:r>
      <w:r>
        <mc:AlternateContent>
          <mc:Choice Requires="wps">
            <w:drawing>
              <wp:anchor distT="0" distB="0" distL="114300" distR="114300" simplePos="0" relativeHeight="251768832" behindDoc="0" locked="0" layoutInCell="1" allowOverlap="1">
                <wp:simplePos x="0" y="0"/>
                <wp:positionH relativeFrom="column">
                  <wp:posOffset>3375025</wp:posOffset>
                </wp:positionH>
                <wp:positionV relativeFrom="paragraph">
                  <wp:posOffset>641350</wp:posOffset>
                </wp:positionV>
                <wp:extent cx="319405" cy="204470"/>
                <wp:effectExtent l="0" t="0" r="80645" b="62230"/>
                <wp:wrapNone/>
                <wp:docPr id="126" name="直接箭头连接符 126"/>
                <wp:cNvGraphicFramePr/>
                <a:graphic xmlns:a="http://schemas.openxmlformats.org/drawingml/2006/main">
                  <a:graphicData uri="http://schemas.microsoft.com/office/word/2010/wordprocessingShape">
                    <wps:wsp>
                      <wps:cNvCnPr/>
                      <wps:spPr>
                        <a:xfrm>
                          <a:off x="0" y="0"/>
                          <a:ext cx="319720" cy="204621"/>
                        </a:xfrm>
                        <a:prstGeom prst="straightConnector1">
                          <a:avLst/>
                        </a:prstGeom>
                        <a:ln>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65.75pt;margin-top:50.5pt;height:16.1pt;width:25.15pt;z-index:251768832;mso-width-relative:page;mso-height-relative:page;" filled="f" stroked="t" coordsize="21600,21600" o:gfxdata="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D93qV12QAAAAsBAAAPAAAAAAAAAAEAIAAAACIAAABkcnMvZG93bnJldi54bWxQSwEC&#10;FAAUAAAACACHTuJA2M2ttfMBAACbAwAADgAAAAAAAAABACAAAAAoAQAAZHJzL2Uyb0RvYy54bWxQ&#10;SwUGAAAAAAYABgBZAQAAjQUAAAAA&#10;">
                <v:fill on="f" focussize="0,0"/>
                <v:stroke weight="0.5pt" color="#00B0F0 [3204]" miterlimit="8" joinstyle="miter" endarrow="block"/>
                <v:imagedata o:title=""/>
                <o:lock v:ext="edit" aspectratio="f"/>
              </v:shape>
            </w:pict>
          </mc:Fallback>
        </mc:AlternateContent>
      </w:r>
      <w:r>
        <mc:AlternateContent>
          <mc:Choice Requires="wps">
            <w:drawing>
              <wp:anchor distT="0" distB="0" distL="114300" distR="114300" simplePos="0" relativeHeight="251766784" behindDoc="0" locked="0" layoutInCell="1" allowOverlap="1">
                <wp:simplePos x="0" y="0"/>
                <wp:positionH relativeFrom="column">
                  <wp:posOffset>2844800</wp:posOffset>
                </wp:positionH>
                <wp:positionV relativeFrom="paragraph">
                  <wp:posOffset>1754505</wp:posOffset>
                </wp:positionV>
                <wp:extent cx="319405" cy="204470"/>
                <wp:effectExtent l="0" t="0" r="80645" b="62230"/>
                <wp:wrapNone/>
                <wp:docPr id="125" name="直接箭头连接符 125"/>
                <wp:cNvGraphicFramePr/>
                <a:graphic xmlns:a="http://schemas.openxmlformats.org/drawingml/2006/main">
                  <a:graphicData uri="http://schemas.microsoft.com/office/word/2010/wordprocessingShape">
                    <wps:wsp>
                      <wps:cNvCnPr/>
                      <wps:spPr>
                        <a:xfrm>
                          <a:off x="0" y="0"/>
                          <a:ext cx="319720" cy="204621"/>
                        </a:xfrm>
                        <a:prstGeom prst="straightConnector1">
                          <a:avLst/>
                        </a:prstGeom>
                        <a:ln>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24pt;margin-top:138.15pt;height:16.1pt;width:25.15pt;z-index:251766784;mso-width-relative:page;mso-height-relative:page;" filled="f" stroked="t" coordsize="21600,21600" o:gfxdata="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sT1BDNwAAAALAQAADwAAAAAAAAABACAAAAAiAAAAZHJzL2Rvd25yZXYueG1s&#10;UEsBAhQAFAAAAAgAh07iQBJ3CrP0AQAAmwMAAA4AAAAAAAAAAQAgAAAAKwEAAGRycy9lMm9Eb2Mu&#10;eG1sUEsFBgAAAAAGAAYAWQEAAJEFAAAAAA==&#10;">
                <v:fill on="f" focussize="0,0"/>
                <v:stroke weight="0.5pt" color="#00B0F0 [3204]" miterlimit="8" joinstyle="miter" endarrow="block"/>
                <v:imagedata o:title=""/>
                <o:lock v:ext="edit" aspectratio="f"/>
              </v:shape>
            </w:pict>
          </mc:Fallback>
        </mc:AlternateContent>
      </w:r>
      <w:r>
        <mc:AlternateContent>
          <mc:Choice Requires="wps">
            <w:drawing>
              <wp:anchor distT="0" distB="0" distL="114300" distR="114300" simplePos="0" relativeHeight="251765760" behindDoc="0" locked="0" layoutInCell="1" allowOverlap="1">
                <wp:simplePos x="0" y="0"/>
                <wp:positionH relativeFrom="column">
                  <wp:posOffset>3824605</wp:posOffset>
                </wp:positionH>
                <wp:positionV relativeFrom="paragraph">
                  <wp:posOffset>4210685</wp:posOffset>
                </wp:positionV>
                <wp:extent cx="748030" cy="290830"/>
                <wp:effectExtent l="0" t="0" r="0" b="0"/>
                <wp:wrapNone/>
                <wp:docPr id="124" name="矩形 124"/>
                <wp:cNvGraphicFramePr/>
                <a:graphic xmlns:a="http://schemas.openxmlformats.org/drawingml/2006/main">
                  <a:graphicData uri="http://schemas.microsoft.com/office/word/2010/wordprocessingShape">
                    <wps:wsp>
                      <wps:cNvSpPr/>
                      <wps:spPr>
                        <a:xfrm>
                          <a:off x="0" y="0"/>
                          <a:ext cx="748146" cy="2909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color w:val="00B0F0"/>
                                <w:sz w:val="20"/>
                                <w:szCs w:val="22"/>
                              </w:rPr>
                            </w:pPr>
                            <w:r>
                              <w:rPr>
                                <w:rFonts w:hint="eastAsia"/>
                                <w:color w:val="00B0F0"/>
                                <w:sz w:val="20"/>
                                <w:szCs w:val="22"/>
                              </w:rPr>
                              <w:t>周溪河</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1.15pt;margin-top:331.55pt;height:22.9pt;width:58.9pt;z-index:251765760;v-text-anchor:middle;mso-width-relative:page;mso-height-relative:page;" filled="f" stroked="f" coordsize="21600,21600" o:gfxdata="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GOilF3XAAAACwEAAA8AAAAAAAAAAQAgAAAA&#10;IgAAAGRycy9kb3ducmV2LnhtbFBLAQIUABQAAAAIAIdO4kA76zmTRQIAAGIEAAAOAAAAAAAAAAEA&#10;IAAAACYBAABkcnMvZTJvRG9jLnhtbFBLBQYAAAAABgAGAFkBAADdBQAAAAA=&#10;">
                <v:fill on="f" focussize="0,0"/>
                <v:stroke on="f" weight="1pt" miterlimit="8" joinstyle="miter"/>
                <v:imagedata o:title=""/>
                <o:lock v:ext="edit" aspectratio="f"/>
                <v:textbox>
                  <w:txbxContent>
                    <w:p>
                      <w:pPr>
                        <w:jc w:val="center"/>
                        <w:rPr>
                          <w:color w:val="00B0F0"/>
                          <w:sz w:val="20"/>
                          <w:szCs w:val="22"/>
                        </w:rPr>
                      </w:pPr>
                      <w:r>
                        <w:rPr>
                          <w:rFonts w:hint="eastAsia"/>
                          <w:color w:val="00B0F0"/>
                          <w:sz w:val="20"/>
                          <w:szCs w:val="22"/>
                        </w:rPr>
                        <w:t>周溪河</w:t>
                      </w:r>
                    </w:p>
                  </w:txbxContent>
                </v:textbox>
              </v:rect>
            </w:pict>
          </mc:Fallback>
        </mc:AlternateContent>
      </w:r>
      <w:r>
        <mc:AlternateContent>
          <mc:Choice Requires="wps">
            <w:drawing>
              <wp:anchor distT="0" distB="0" distL="114300" distR="114300" simplePos="0" relativeHeight="251763712" behindDoc="0" locked="0" layoutInCell="1" allowOverlap="1">
                <wp:simplePos x="0" y="0"/>
                <wp:positionH relativeFrom="column">
                  <wp:posOffset>2077085</wp:posOffset>
                </wp:positionH>
                <wp:positionV relativeFrom="paragraph">
                  <wp:posOffset>1825625</wp:posOffset>
                </wp:positionV>
                <wp:extent cx="2036445" cy="654685"/>
                <wp:effectExtent l="0" t="0" r="20955" b="12700"/>
                <wp:wrapNone/>
                <wp:docPr id="123" name="任意多边形: 形状 123"/>
                <wp:cNvGraphicFramePr/>
                <a:graphic xmlns:a="http://schemas.openxmlformats.org/drawingml/2006/main">
                  <a:graphicData uri="http://schemas.microsoft.com/office/word/2010/wordprocessingShape">
                    <wps:wsp>
                      <wps:cNvSpPr/>
                      <wps:spPr>
                        <a:xfrm>
                          <a:off x="0" y="0"/>
                          <a:ext cx="2036618" cy="654627"/>
                        </a:xfrm>
                        <a:custGeom>
                          <a:avLst/>
                          <a:gdLst>
                            <a:gd name="connsiteX0" fmla="*/ 2036618 w 2036618"/>
                            <a:gd name="connsiteY0" fmla="*/ 654627 h 654627"/>
                            <a:gd name="connsiteX1" fmla="*/ 1948295 w 2036618"/>
                            <a:gd name="connsiteY1" fmla="*/ 618259 h 654627"/>
                            <a:gd name="connsiteX2" fmla="*/ 1839191 w 2036618"/>
                            <a:gd name="connsiteY2" fmla="*/ 587086 h 654627"/>
                            <a:gd name="connsiteX3" fmla="*/ 1730086 w 2036618"/>
                            <a:gd name="connsiteY3" fmla="*/ 498763 h 654627"/>
                            <a:gd name="connsiteX4" fmla="*/ 1626177 w 2036618"/>
                            <a:gd name="connsiteY4" fmla="*/ 488372 h 654627"/>
                            <a:gd name="connsiteX5" fmla="*/ 1563832 w 2036618"/>
                            <a:gd name="connsiteY5" fmla="*/ 477982 h 654627"/>
                            <a:gd name="connsiteX6" fmla="*/ 1485900 w 2036618"/>
                            <a:gd name="connsiteY6" fmla="*/ 384463 h 654627"/>
                            <a:gd name="connsiteX7" fmla="*/ 1439141 w 2036618"/>
                            <a:gd name="connsiteY7" fmla="*/ 296141 h 654627"/>
                            <a:gd name="connsiteX8" fmla="*/ 1397577 w 2036618"/>
                            <a:gd name="connsiteY8" fmla="*/ 228600 h 654627"/>
                            <a:gd name="connsiteX9" fmla="*/ 1324841 w 2036618"/>
                            <a:gd name="connsiteY9" fmla="*/ 228600 h 654627"/>
                            <a:gd name="connsiteX10" fmla="*/ 1262495 w 2036618"/>
                            <a:gd name="connsiteY10" fmla="*/ 290945 h 654627"/>
                            <a:gd name="connsiteX11" fmla="*/ 1210541 w 2036618"/>
                            <a:gd name="connsiteY11" fmla="*/ 332509 h 654627"/>
                            <a:gd name="connsiteX12" fmla="*/ 1091045 w 2036618"/>
                            <a:gd name="connsiteY12" fmla="*/ 311727 h 654627"/>
                            <a:gd name="connsiteX13" fmla="*/ 1033895 w 2036618"/>
                            <a:gd name="connsiteY13" fmla="*/ 275359 h 654627"/>
                            <a:gd name="connsiteX14" fmla="*/ 961159 w 2036618"/>
                            <a:gd name="connsiteY14" fmla="*/ 202622 h 654627"/>
                            <a:gd name="connsiteX15" fmla="*/ 841663 w 2036618"/>
                            <a:gd name="connsiteY15" fmla="*/ 176645 h 654627"/>
                            <a:gd name="connsiteX16" fmla="*/ 768927 w 2036618"/>
                            <a:gd name="connsiteY16" fmla="*/ 145472 h 654627"/>
                            <a:gd name="connsiteX17" fmla="*/ 701386 w 2036618"/>
                            <a:gd name="connsiteY17" fmla="*/ 72736 h 654627"/>
                            <a:gd name="connsiteX18" fmla="*/ 509154 w 2036618"/>
                            <a:gd name="connsiteY18" fmla="*/ 36368 h 654627"/>
                            <a:gd name="connsiteX19" fmla="*/ 415636 w 2036618"/>
                            <a:gd name="connsiteY19" fmla="*/ 72736 h 654627"/>
                            <a:gd name="connsiteX20" fmla="*/ 249382 w 2036618"/>
                            <a:gd name="connsiteY20" fmla="*/ 103909 h 654627"/>
                            <a:gd name="connsiteX21" fmla="*/ 161059 w 2036618"/>
                            <a:gd name="connsiteY21" fmla="*/ 83127 h 654627"/>
                            <a:gd name="connsiteX22" fmla="*/ 41563 w 2036618"/>
                            <a:gd name="connsiteY22" fmla="*/ 25977 h 654627"/>
                            <a:gd name="connsiteX23" fmla="*/ 0 w 2036618"/>
                            <a:gd name="connsiteY23" fmla="*/ 0 h 65462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2036618" h="654627">
                              <a:moveTo>
                                <a:pt x="2036618" y="654627"/>
                              </a:moveTo>
                              <a:lnTo>
                                <a:pt x="1948295" y="618259"/>
                              </a:lnTo>
                              <a:lnTo>
                                <a:pt x="1839191" y="587086"/>
                              </a:lnTo>
                              <a:lnTo>
                                <a:pt x="1730086" y="498763"/>
                              </a:lnTo>
                              <a:lnTo>
                                <a:pt x="1626177" y="488372"/>
                              </a:lnTo>
                              <a:lnTo>
                                <a:pt x="1563832" y="477982"/>
                              </a:lnTo>
                              <a:lnTo>
                                <a:pt x="1485900" y="384463"/>
                              </a:lnTo>
                              <a:lnTo>
                                <a:pt x="1439141" y="296141"/>
                              </a:lnTo>
                              <a:lnTo>
                                <a:pt x="1397577" y="228600"/>
                              </a:lnTo>
                              <a:lnTo>
                                <a:pt x="1324841" y="228600"/>
                              </a:lnTo>
                              <a:lnTo>
                                <a:pt x="1262495" y="290945"/>
                              </a:lnTo>
                              <a:lnTo>
                                <a:pt x="1210541" y="332509"/>
                              </a:lnTo>
                              <a:lnTo>
                                <a:pt x="1091045" y="311727"/>
                              </a:lnTo>
                              <a:lnTo>
                                <a:pt x="1033895" y="275359"/>
                              </a:lnTo>
                              <a:lnTo>
                                <a:pt x="961159" y="202622"/>
                              </a:lnTo>
                              <a:lnTo>
                                <a:pt x="841663" y="176645"/>
                              </a:lnTo>
                              <a:lnTo>
                                <a:pt x="768927" y="145472"/>
                              </a:lnTo>
                              <a:lnTo>
                                <a:pt x="701386" y="72736"/>
                              </a:lnTo>
                              <a:lnTo>
                                <a:pt x="509154" y="36368"/>
                              </a:lnTo>
                              <a:lnTo>
                                <a:pt x="415636" y="72736"/>
                              </a:lnTo>
                              <a:lnTo>
                                <a:pt x="249382" y="103909"/>
                              </a:lnTo>
                              <a:lnTo>
                                <a:pt x="161059" y="83127"/>
                              </a:lnTo>
                              <a:lnTo>
                                <a:pt x="41563" y="25977"/>
                              </a:lnTo>
                              <a:lnTo>
                                <a:pt x="0" y="0"/>
                              </a:lnTo>
                            </a:path>
                          </a:pathLst>
                        </a:cu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123" o:spid="_x0000_s1026" o:spt="100" style="position:absolute;left:0pt;margin-left:163.55pt;margin-top:143.75pt;height:51.55pt;width:160.35pt;z-index:251763712;v-text-anchor:middle;mso-width-relative:page;mso-height-relative:page;" filled="f" stroked="t" coordsize="2036618,654627" o:gfxdata="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" path="m2036618,654627l1948295,618259,1839191,587086,1730086,498763,1626177,488372,1563832,477982,1485900,384463,1439141,296141,1397577,228600,1324841,228600,1262495,290945,1210541,332509,1091045,311727,1033895,275359,961159,202622,841663,176645,768927,145472,701386,72736,509154,36368,415636,72736,249382,103909,161059,83127,41563,25977,0,0e">
                <v:path o:connectlocs="2036618,654627;1948295,618259;1839191,587086;1730086,498763;1626177,488372;1563832,477982;1485900,384463;1439141,296141;1397577,228600;1324841,228600;1262495,290945;1210541,332509;1091045,311727;1033895,275359;961159,202622;841663,176645;768927,145472;701386,72736;509154,36368;415636,72736;249382,103909;161059,83127;41563,25977;0,0" o:connectangles="0,0,0,0,0,0,0,0,0,0,0,0,0,0,0,0,0,0,0,0,0,0,0,0"/>
                <v:fill on="f" focussize="0,0"/>
                <v:stroke weight="1pt" color="#00B0F0 [3204]" miterlimit="8" joinstyle="miter"/>
                <v:imagedata o:title=""/>
                <o:lock v:ext="edit" aspectratio="f"/>
              </v:shape>
            </w:pict>
          </mc:Fallback>
        </mc:AlternateContent>
      </w:r>
      <w:r>
        <mc:AlternateContent>
          <mc:Choice Requires="wps">
            <w:drawing>
              <wp:anchor distT="0" distB="0" distL="114300" distR="114300" simplePos="0" relativeHeight="251761664" behindDoc="0" locked="0" layoutInCell="1" allowOverlap="1">
                <wp:simplePos x="0" y="0"/>
                <wp:positionH relativeFrom="column">
                  <wp:posOffset>3178810</wp:posOffset>
                </wp:positionH>
                <wp:positionV relativeFrom="paragraph">
                  <wp:posOffset>287655</wp:posOffset>
                </wp:positionV>
                <wp:extent cx="1445260" cy="5172710"/>
                <wp:effectExtent l="0" t="0" r="40640" b="27940"/>
                <wp:wrapNone/>
                <wp:docPr id="121" name="任意多边形: 形状 121"/>
                <wp:cNvGraphicFramePr/>
                <a:graphic xmlns:a="http://schemas.openxmlformats.org/drawingml/2006/main">
                  <a:graphicData uri="http://schemas.microsoft.com/office/word/2010/wordprocessingShape">
                    <wps:wsp>
                      <wps:cNvSpPr/>
                      <wps:spPr>
                        <a:xfrm>
                          <a:off x="0" y="0"/>
                          <a:ext cx="1445260" cy="5172710"/>
                        </a:xfrm>
                        <a:custGeom>
                          <a:avLst/>
                          <a:gdLst>
                            <a:gd name="connsiteX0" fmla="*/ 1112846 w 1445355"/>
                            <a:gd name="connsiteY0" fmla="*/ 5173088 h 5173088"/>
                            <a:gd name="connsiteX1" fmla="*/ 1074479 w 1445355"/>
                            <a:gd name="connsiteY1" fmla="*/ 5057989 h 5173088"/>
                            <a:gd name="connsiteX2" fmla="*/ 882647 w 1445355"/>
                            <a:gd name="connsiteY2" fmla="*/ 4968467 h 5173088"/>
                            <a:gd name="connsiteX3" fmla="*/ 639660 w 1445355"/>
                            <a:gd name="connsiteY3" fmla="*/ 4872551 h 5173088"/>
                            <a:gd name="connsiteX4" fmla="*/ 537349 w 1445355"/>
                            <a:gd name="connsiteY4" fmla="*/ 4789424 h 5173088"/>
                            <a:gd name="connsiteX5" fmla="*/ 498983 w 1445355"/>
                            <a:gd name="connsiteY5" fmla="*/ 4661536 h 5173088"/>
                            <a:gd name="connsiteX6" fmla="*/ 530955 w 1445355"/>
                            <a:gd name="connsiteY6" fmla="*/ 4399365 h 5173088"/>
                            <a:gd name="connsiteX7" fmla="*/ 524560 w 1445355"/>
                            <a:gd name="connsiteY7" fmla="*/ 4175561 h 5173088"/>
                            <a:gd name="connsiteX8" fmla="*/ 479800 w 1445355"/>
                            <a:gd name="connsiteY8" fmla="*/ 3996518 h 5173088"/>
                            <a:gd name="connsiteX9" fmla="*/ 498983 w 1445355"/>
                            <a:gd name="connsiteY9" fmla="*/ 3919785 h 5173088"/>
                            <a:gd name="connsiteX10" fmla="*/ 601293 w 1445355"/>
                            <a:gd name="connsiteY10" fmla="*/ 4009306 h 5173088"/>
                            <a:gd name="connsiteX11" fmla="*/ 754759 w 1445355"/>
                            <a:gd name="connsiteY11" fmla="*/ 4047673 h 5173088"/>
                            <a:gd name="connsiteX12" fmla="*/ 818703 w 1445355"/>
                            <a:gd name="connsiteY12" fmla="*/ 3881418 h 5173088"/>
                            <a:gd name="connsiteX13" fmla="*/ 831492 w 1445355"/>
                            <a:gd name="connsiteY13" fmla="*/ 3747136 h 5173088"/>
                            <a:gd name="connsiteX14" fmla="*/ 678026 w 1445355"/>
                            <a:gd name="connsiteY14" fmla="*/ 3632036 h 5173088"/>
                            <a:gd name="connsiteX15" fmla="*/ 594899 w 1445355"/>
                            <a:gd name="connsiteY15" fmla="*/ 3561698 h 5173088"/>
                            <a:gd name="connsiteX16" fmla="*/ 524560 w 1445355"/>
                            <a:gd name="connsiteY16" fmla="*/ 3484965 h 5173088"/>
                            <a:gd name="connsiteX17" fmla="*/ 415856 w 1445355"/>
                            <a:gd name="connsiteY17" fmla="*/ 3421021 h 5173088"/>
                            <a:gd name="connsiteX18" fmla="*/ 377489 w 1445355"/>
                            <a:gd name="connsiteY18" fmla="*/ 3350683 h 5173088"/>
                            <a:gd name="connsiteX19" fmla="*/ 454222 w 1445355"/>
                            <a:gd name="connsiteY19" fmla="*/ 3254767 h 5173088"/>
                            <a:gd name="connsiteX20" fmla="*/ 543744 w 1445355"/>
                            <a:gd name="connsiteY20" fmla="*/ 3139667 h 5173088"/>
                            <a:gd name="connsiteX21" fmla="*/ 575716 w 1445355"/>
                            <a:gd name="connsiteY21" fmla="*/ 3056540 h 5173088"/>
                            <a:gd name="connsiteX22" fmla="*/ 530955 w 1445355"/>
                            <a:gd name="connsiteY22" fmla="*/ 2890285 h 5173088"/>
                            <a:gd name="connsiteX23" fmla="*/ 530955 w 1445355"/>
                            <a:gd name="connsiteY23" fmla="*/ 2756003 h 5173088"/>
                            <a:gd name="connsiteX24" fmla="*/ 569321 w 1445355"/>
                            <a:gd name="connsiteY24" fmla="*/ 2730425 h 5173088"/>
                            <a:gd name="connsiteX25" fmla="*/ 678026 w 1445355"/>
                            <a:gd name="connsiteY25" fmla="*/ 2762397 h 5173088"/>
                            <a:gd name="connsiteX26" fmla="*/ 754759 w 1445355"/>
                            <a:gd name="connsiteY26" fmla="*/ 2704848 h 5173088"/>
                            <a:gd name="connsiteX27" fmla="*/ 805914 w 1445355"/>
                            <a:gd name="connsiteY27" fmla="*/ 2615326 h 5173088"/>
                            <a:gd name="connsiteX28" fmla="*/ 793126 w 1445355"/>
                            <a:gd name="connsiteY28" fmla="*/ 2519410 h 5173088"/>
                            <a:gd name="connsiteX29" fmla="*/ 805914 w 1445355"/>
                            <a:gd name="connsiteY29" fmla="*/ 2442677 h 5173088"/>
                            <a:gd name="connsiteX30" fmla="*/ 901830 w 1445355"/>
                            <a:gd name="connsiteY30" fmla="*/ 2378733 h 5173088"/>
                            <a:gd name="connsiteX31" fmla="*/ 914619 w 1445355"/>
                            <a:gd name="connsiteY31" fmla="*/ 2263634 h 5173088"/>
                            <a:gd name="connsiteX32" fmla="*/ 952986 w 1445355"/>
                            <a:gd name="connsiteY32" fmla="*/ 2129351 h 5173088"/>
                            <a:gd name="connsiteX33" fmla="*/ 984958 w 1445355"/>
                            <a:gd name="connsiteY33" fmla="*/ 1975885 h 5173088"/>
                            <a:gd name="connsiteX34" fmla="*/ 1055296 w 1445355"/>
                            <a:gd name="connsiteY34" fmla="*/ 1905547 h 5173088"/>
                            <a:gd name="connsiteX35" fmla="*/ 1112846 w 1445355"/>
                            <a:gd name="connsiteY35" fmla="*/ 1867181 h 5173088"/>
                            <a:gd name="connsiteX36" fmla="*/ 1112846 w 1445355"/>
                            <a:gd name="connsiteY36" fmla="*/ 1796842 h 5173088"/>
                            <a:gd name="connsiteX37" fmla="*/ 1093663 w 1445355"/>
                            <a:gd name="connsiteY37" fmla="*/ 1694532 h 5173088"/>
                            <a:gd name="connsiteX38" fmla="*/ 1138423 w 1445355"/>
                            <a:gd name="connsiteY38" fmla="*/ 1630588 h 5173088"/>
                            <a:gd name="connsiteX39" fmla="*/ 1183184 w 1445355"/>
                            <a:gd name="connsiteY39" fmla="*/ 1566643 h 5173088"/>
                            <a:gd name="connsiteX40" fmla="*/ 1157607 w 1445355"/>
                            <a:gd name="connsiteY40" fmla="*/ 1419572 h 5173088"/>
                            <a:gd name="connsiteX41" fmla="*/ 1176790 w 1445355"/>
                            <a:gd name="connsiteY41" fmla="*/ 1362022 h 5173088"/>
                            <a:gd name="connsiteX42" fmla="*/ 1272706 w 1445355"/>
                            <a:gd name="connsiteY42" fmla="*/ 1310867 h 5173088"/>
                            <a:gd name="connsiteX43" fmla="*/ 1362228 w 1445355"/>
                            <a:gd name="connsiteY43" fmla="*/ 1278895 h 5173088"/>
                            <a:gd name="connsiteX44" fmla="*/ 1445355 w 1445355"/>
                            <a:gd name="connsiteY44" fmla="*/ 1080669 h 5173088"/>
                            <a:gd name="connsiteX45" fmla="*/ 1434040 w 1445355"/>
                            <a:gd name="connsiteY45" fmla="*/ 882946 h 5173088"/>
                            <a:gd name="connsiteX46" fmla="*/ 1349439 w 1445355"/>
                            <a:gd name="connsiteY46" fmla="*/ 824892 h 5173088"/>
                            <a:gd name="connsiteX47" fmla="*/ 1221551 w 1445355"/>
                            <a:gd name="connsiteY47" fmla="*/ 748160 h 5173088"/>
                            <a:gd name="connsiteX48" fmla="*/ 1157607 w 1445355"/>
                            <a:gd name="connsiteY48" fmla="*/ 716188 h 5173088"/>
                            <a:gd name="connsiteX49" fmla="*/ 1029719 w 1445355"/>
                            <a:gd name="connsiteY49" fmla="*/ 767343 h 5173088"/>
                            <a:gd name="connsiteX50" fmla="*/ 978563 w 1445355"/>
                            <a:gd name="connsiteY50" fmla="*/ 780132 h 5173088"/>
                            <a:gd name="connsiteX51" fmla="*/ 844281 w 1445355"/>
                            <a:gd name="connsiteY51" fmla="*/ 773737 h 5173088"/>
                            <a:gd name="connsiteX52" fmla="*/ 754759 w 1445355"/>
                            <a:gd name="connsiteY52" fmla="*/ 703399 h 5173088"/>
                            <a:gd name="connsiteX53" fmla="*/ 562927 w 1445355"/>
                            <a:gd name="connsiteY53" fmla="*/ 517961 h 5173088"/>
                            <a:gd name="connsiteX54" fmla="*/ 402848 w 1445355"/>
                            <a:gd name="connsiteY54" fmla="*/ 358087 h 5173088"/>
                            <a:gd name="connsiteX55" fmla="*/ 0 w 1445355"/>
                            <a:gd name="connsiteY55" fmla="*/ 0 h 517308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Lst>
                          <a:rect l="l" t="t" r="r" b="b"/>
                          <a:pathLst>
                            <a:path w="1445355" h="5173088">
                              <a:moveTo>
                                <a:pt x="1112846" y="5173088"/>
                              </a:moveTo>
                              <a:lnTo>
                                <a:pt x="1074479" y="5057989"/>
                              </a:lnTo>
                              <a:lnTo>
                                <a:pt x="882647" y="4968467"/>
                              </a:lnTo>
                              <a:lnTo>
                                <a:pt x="639660" y="4872551"/>
                              </a:lnTo>
                              <a:lnTo>
                                <a:pt x="537349" y="4789424"/>
                              </a:lnTo>
                              <a:lnTo>
                                <a:pt x="498983" y="4661536"/>
                              </a:lnTo>
                              <a:lnTo>
                                <a:pt x="530955" y="4399365"/>
                              </a:lnTo>
                              <a:lnTo>
                                <a:pt x="524560" y="4175561"/>
                              </a:lnTo>
                              <a:lnTo>
                                <a:pt x="479800" y="3996518"/>
                              </a:lnTo>
                              <a:lnTo>
                                <a:pt x="498983" y="3919785"/>
                              </a:lnTo>
                              <a:lnTo>
                                <a:pt x="601293" y="4009306"/>
                              </a:lnTo>
                              <a:lnTo>
                                <a:pt x="754759" y="4047673"/>
                              </a:lnTo>
                              <a:lnTo>
                                <a:pt x="818703" y="3881418"/>
                              </a:lnTo>
                              <a:lnTo>
                                <a:pt x="831492" y="3747136"/>
                              </a:lnTo>
                              <a:lnTo>
                                <a:pt x="678026" y="3632036"/>
                              </a:lnTo>
                              <a:lnTo>
                                <a:pt x="594899" y="3561698"/>
                              </a:lnTo>
                              <a:lnTo>
                                <a:pt x="524560" y="3484965"/>
                              </a:lnTo>
                              <a:lnTo>
                                <a:pt x="415856" y="3421021"/>
                              </a:lnTo>
                              <a:lnTo>
                                <a:pt x="377489" y="3350683"/>
                              </a:lnTo>
                              <a:lnTo>
                                <a:pt x="454222" y="3254767"/>
                              </a:lnTo>
                              <a:lnTo>
                                <a:pt x="543744" y="3139667"/>
                              </a:lnTo>
                              <a:lnTo>
                                <a:pt x="575716" y="3056540"/>
                              </a:lnTo>
                              <a:lnTo>
                                <a:pt x="530955" y="2890285"/>
                              </a:lnTo>
                              <a:lnTo>
                                <a:pt x="530955" y="2756003"/>
                              </a:lnTo>
                              <a:lnTo>
                                <a:pt x="569321" y="2730425"/>
                              </a:lnTo>
                              <a:lnTo>
                                <a:pt x="678026" y="2762397"/>
                              </a:lnTo>
                              <a:lnTo>
                                <a:pt x="754759" y="2704848"/>
                              </a:lnTo>
                              <a:lnTo>
                                <a:pt x="805914" y="2615326"/>
                              </a:lnTo>
                              <a:lnTo>
                                <a:pt x="793126" y="2519410"/>
                              </a:lnTo>
                              <a:lnTo>
                                <a:pt x="805914" y="2442677"/>
                              </a:lnTo>
                              <a:lnTo>
                                <a:pt x="901830" y="2378733"/>
                              </a:lnTo>
                              <a:lnTo>
                                <a:pt x="914619" y="2263634"/>
                              </a:lnTo>
                              <a:lnTo>
                                <a:pt x="952986" y="2129351"/>
                              </a:lnTo>
                              <a:lnTo>
                                <a:pt x="984958" y="1975885"/>
                              </a:lnTo>
                              <a:lnTo>
                                <a:pt x="1055296" y="1905547"/>
                              </a:lnTo>
                              <a:lnTo>
                                <a:pt x="1112846" y="1867181"/>
                              </a:lnTo>
                              <a:lnTo>
                                <a:pt x="1112846" y="1796842"/>
                              </a:lnTo>
                              <a:lnTo>
                                <a:pt x="1093663" y="1694532"/>
                              </a:lnTo>
                              <a:lnTo>
                                <a:pt x="1138423" y="1630588"/>
                              </a:lnTo>
                              <a:lnTo>
                                <a:pt x="1183184" y="1566643"/>
                              </a:lnTo>
                              <a:lnTo>
                                <a:pt x="1157607" y="1419572"/>
                              </a:lnTo>
                              <a:lnTo>
                                <a:pt x="1176790" y="1362022"/>
                              </a:lnTo>
                              <a:lnTo>
                                <a:pt x="1272706" y="1310867"/>
                              </a:lnTo>
                              <a:lnTo>
                                <a:pt x="1362228" y="1278895"/>
                              </a:lnTo>
                              <a:lnTo>
                                <a:pt x="1445355" y="1080669"/>
                              </a:lnTo>
                              <a:lnTo>
                                <a:pt x="1434040" y="882946"/>
                              </a:lnTo>
                              <a:lnTo>
                                <a:pt x="1349439" y="824892"/>
                              </a:lnTo>
                              <a:lnTo>
                                <a:pt x="1221551" y="748160"/>
                              </a:lnTo>
                              <a:lnTo>
                                <a:pt x="1157607" y="716188"/>
                              </a:lnTo>
                              <a:lnTo>
                                <a:pt x="1029719" y="767343"/>
                              </a:lnTo>
                              <a:lnTo>
                                <a:pt x="978563" y="780132"/>
                              </a:lnTo>
                              <a:lnTo>
                                <a:pt x="844281" y="773737"/>
                              </a:lnTo>
                              <a:lnTo>
                                <a:pt x="754759" y="703399"/>
                              </a:lnTo>
                              <a:lnTo>
                                <a:pt x="562927" y="517961"/>
                              </a:lnTo>
                              <a:lnTo>
                                <a:pt x="402848" y="358087"/>
                              </a:lnTo>
                              <a:cubicBezTo>
                                <a:pt x="211011" y="232331"/>
                                <a:pt x="134283" y="119362"/>
                                <a:pt x="0" y="0"/>
                              </a:cubicBezTo>
                            </a:path>
                          </a:pathLst>
                        </a:cu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121" o:spid="_x0000_s1026" o:spt="100" style="position:absolute;left:0pt;margin-left:250.3pt;margin-top:22.65pt;height:407.3pt;width:113.8pt;z-index:251761664;v-text-anchor:middle;mso-width-relative:page;mso-height-relative:page;" filled="f" stroked="t" coordsize="1445355,5173088" o:gfxdata="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" path="m1112846,5173088l1074479,5057989,882647,4968467,639660,4872551,537349,4789424,498983,4661536,530955,4399365,524560,4175561,479800,3996518,498983,3919785,601293,4009306,754759,4047673,818703,3881418,831492,3747136,678026,3632036,594899,3561698,524560,3484965,415856,3421021,377489,3350683,454222,3254767,543744,3139667,575716,3056540,530955,2890285,530955,2756003,569321,2730425,678026,2762397,754759,2704848,805914,2615326,793126,2519410,805914,2442677,901830,2378733,914619,2263634,952986,2129351,984958,1975885,1055296,1905547,1112846,1867181,1112846,1796842,1093663,1694532,1138423,1630588,1183184,1566643,1157607,1419572,1176790,1362022,1272706,1310867,1362228,1278895,1445355,1080669,1434040,882946,1349439,824892,1221551,748160,1157607,716188,1029719,767343,978563,780132,844281,773737,754759,703399,562927,517961,402848,358087c211011,232331,134283,119362,0,0e">
                <v:path o:connectlocs="1112772,5172710;1074408,5057619;882588,4968103;639617,4872194;537313,4789074;498950,4661195;530920,4399043;524525,4175255;479768,3996225;498950,3919498;601253,4009013;754709,4047377;818649,3881134;831437,3746862;677981,3631770;594859,3561437;524525,3484710;415828,3420771;377464,3350438;454192,3254529;543708,3139437;575678,3056316;530920,2890073;530920,2755801;569283,2730225;677981,2762195;754709,2704650;805861,2615134;793073,2519225;805861,2442498;901770,2378559;914558,2263468;952923,2129195;984893,1975740;1055226,1905407;1112772,1867044;1112772,1796710;1093591,1694408;1138348,1630468;1183106,1566528;1157530,1419468;1176712,1361922;1272622,1310771;1362138,1278801;1445260,1080590;1433945,882881;1349350,824831;1221470,748105;1157530,716135;1029651,767286;978498,780074;844225,773680;754709,703347;562890,517923;402821,358060;0,0" o:connectangles="0,0,0,0,0,0,0,0,0,0,0,0,0,0,0,0,0,0,0,0,0,0,0,0,0,0,0,0,0,0,0,0,0,0,0,0,0,0,0,0,0,0,0,0,0,0,0,0,0,0,0,0,0,0,0,0"/>
                <v:fill on="f" focussize="0,0"/>
                <v:stroke weight="1pt" color="#00B0F0 [3204]" miterlimit="8" joinstyle="miter"/>
                <v:imagedata o:title=""/>
                <o:lock v:ext="edit" aspectratio="f"/>
              </v:shape>
            </w:pict>
          </mc:Fallback>
        </mc:AlternateContent>
      </w:r>
      <w:r>
        <mc:AlternateContent>
          <mc:Choice Requires="wps">
            <w:drawing>
              <wp:anchor distT="0" distB="0" distL="114300" distR="114300" simplePos="0" relativeHeight="251762688" behindDoc="0" locked="0" layoutInCell="1" allowOverlap="1">
                <wp:simplePos x="0" y="0"/>
                <wp:positionH relativeFrom="column">
                  <wp:posOffset>4617720</wp:posOffset>
                </wp:positionH>
                <wp:positionV relativeFrom="paragraph">
                  <wp:posOffset>126365</wp:posOffset>
                </wp:positionV>
                <wp:extent cx="847090" cy="1044575"/>
                <wp:effectExtent l="0" t="0" r="10795" b="22860"/>
                <wp:wrapNone/>
                <wp:docPr id="122" name="任意多边形: 形状 122"/>
                <wp:cNvGraphicFramePr/>
                <a:graphic xmlns:a="http://schemas.openxmlformats.org/drawingml/2006/main">
                  <a:graphicData uri="http://schemas.microsoft.com/office/word/2010/wordprocessingShape">
                    <wps:wsp>
                      <wps:cNvSpPr/>
                      <wps:spPr>
                        <a:xfrm>
                          <a:off x="0" y="0"/>
                          <a:ext cx="846859" cy="1044286"/>
                        </a:xfrm>
                        <a:custGeom>
                          <a:avLst/>
                          <a:gdLst>
                            <a:gd name="connsiteX0" fmla="*/ 0 w 846859"/>
                            <a:gd name="connsiteY0" fmla="*/ 1044286 h 1044286"/>
                            <a:gd name="connsiteX1" fmla="*/ 72736 w 846859"/>
                            <a:gd name="connsiteY1" fmla="*/ 924791 h 1044286"/>
                            <a:gd name="connsiteX2" fmla="*/ 161059 w 846859"/>
                            <a:gd name="connsiteY2" fmla="*/ 820882 h 1044286"/>
                            <a:gd name="connsiteX3" fmla="*/ 176646 w 846859"/>
                            <a:gd name="connsiteY3" fmla="*/ 696191 h 1044286"/>
                            <a:gd name="connsiteX4" fmla="*/ 285750 w 846859"/>
                            <a:gd name="connsiteY4" fmla="*/ 597477 h 1044286"/>
                            <a:gd name="connsiteX5" fmla="*/ 363682 w 846859"/>
                            <a:gd name="connsiteY5" fmla="*/ 613064 h 1044286"/>
                            <a:gd name="connsiteX6" fmla="*/ 431223 w 846859"/>
                            <a:gd name="connsiteY6" fmla="*/ 524741 h 1044286"/>
                            <a:gd name="connsiteX7" fmla="*/ 472786 w 846859"/>
                            <a:gd name="connsiteY7" fmla="*/ 384464 h 1044286"/>
                            <a:gd name="connsiteX8" fmla="*/ 535132 w 846859"/>
                            <a:gd name="connsiteY8" fmla="*/ 296141 h 1044286"/>
                            <a:gd name="connsiteX9" fmla="*/ 587086 w 846859"/>
                            <a:gd name="connsiteY9" fmla="*/ 238991 h 1044286"/>
                            <a:gd name="connsiteX10" fmla="*/ 748146 w 846859"/>
                            <a:gd name="connsiteY10" fmla="*/ 166255 h 1044286"/>
                            <a:gd name="connsiteX11" fmla="*/ 805296 w 846859"/>
                            <a:gd name="connsiteY11" fmla="*/ 77932 h 1044286"/>
                            <a:gd name="connsiteX12" fmla="*/ 846859 w 846859"/>
                            <a:gd name="connsiteY12" fmla="*/ 0 h 10442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846859" h="1044286">
                              <a:moveTo>
                                <a:pt x="0" y="1044286"/>
                              </a:moveTo>
                              <a:lnTo>
                                <a:pt x="72736" y="924791"/>
                              </a:lnTo>
                              <a:lnTo>
                                <a:pt x="161059" y="820882"/>
                              </a:lnTo>
                              <a:lnTo>
                                <a:pt x="176646" y="696191"/>
                              </a:lnTo>
                              <a:lnTo>
                                <a:pt x="285750" y="597477"/>
                              </a:lnTo>
                              <a:lnTo>
                                <a:pt x="363682" y="613064"/>
                              </a:lnTo>
                              <a:lnTo>
                                <a:pt x="431223" y="524741"/>
                              </a:lnTo>
                              <a:lnTo>
                                <a:pt x="472786" y="384464"/>
                              </a:lnTo>
                              <a:lnTo>
                                <a:pt x="535132" y="296141"/>
                              </a:lnTo>
                              <a:lnTo>
                                <a:pt x="587086" y="238991"/>
                              </a:lnTo>
                              <a:lnTo>
                                <a:pt x="748146" y="166255"/>
                              </a:lnTo>
                              <a:lnTo>
                                <a:pt x="805296" y="77932"/>
                              </a:lnTo>
                              <a:lnTo>
                                <a:pt x="846859" y="0"/>
                              </a:lnTo>
                            </a:path>
                          </a:pathLst>
                        </a:cu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122" o:spid="_x0000_s1026" o:spt="100" style="position:absolute;left:0pt;margin-left:363.6pt;margin-top:9.95pt;height:82.25pt;width:66.7pt;z-index:251762688;v-text-anchor:middle;mso-width-relative:page;mso-height-relative:page;" filled="f" stroked="t" coordsize="846859,1044286" o:gfxdata="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" path="m0,1044286l72736,924791,161059,820882,176646,696191,285750,597477,363682,613064,431223,524741,472786,384464,535132,296141,587086,238991,748146,166255,805296,77932,846859,0e">
                <v:path o:connectlocs="0,1044286;72736,924791;161059,820882;176646,696191;285750,597477;363682,613064;431223,524741;472786,384464;535132,296141;587086,238991;748146,166255;805296,77932;846859,0" o:connectangles="0,0,0,0,0,0,0,0,0,0,0,0,0"/>
                <v:fill on="f" focussize="0,0"/>
                <v:stroke weight="1pt" color="#00B0F0 [3204]" miterlimit="8" joinstyle="miter"/>
                <v:imagedata o:title=""/>
                <o:lock v:ext="edit" aspectratio="f"/>
              </v:shape>
            </w:pict>
          </mc:Fallback>
        </mc:AlternateContent>
      </w:r>
      <w:r>
        <mc:AlternateContent>
          <mc:Choice Requires="wps">
            <w:drawing>
              <wp:anchor distT="0" distB="0" distL="114300" distR="114300" simplePos="0" relativeHeight="251760640" behindDoc="0" locked="0" layoutInCell="1" allowOverlap="1">
                <wp:simplePos x="0" y="0"/>
                <wp:positionH relativeFrom="margin">
                  <wp:align>center</wp:align>
                </wp:positionH>
                <wp:positionV relativeFrom="paragraph">
                  <wp:posOffset>110490</wp:posOffset>
                </wp:positionV>
                <wp:extent cx="1886585" cy="290830"/>
                <wp:effectExtent l="0" t="0" r="0" b="0"/>
                <wp:wrapNone/>
                <wp:docPr id="120" name="矩形 120"/>
                <wp:cNvGraphicFramePr/>
                <a:graphic xmlns:a="http://schemas.openxmlformats.org/drawingml/2006/main">
                  <a:graphicData uri="http://schemas.microsoft.com/office/word/2010/wordprocessingShape">
                    <wps:wsp>
                      <wps:cNvSpPr/>
                      <wps:spPr>
                        <a:xfrm>
                          <a:off x="0" y="0"/>
                          <a:ext cx="1886527" cy="29083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b/>
                                <w:bCs/>
                                <w:color w:val="000000" w:themeColor="text1"/>
                                <w14:textFill>
                                  <w14:solidFill>
                                    <w14:schemeClr w14:val="tx1"/>
                                  </w14:solidFill>
                                </w14:textFill>
                              </w:rPr>
                            </w:pPr>
                            <w:r>
                              <w:rPr>
                                <w:b/>
                                <w:bCs/>
                                <w:color w:val="000000" w:themeColor="text1"/>
                                <w:spacing w:val="-6"/>
                                <w:kern w:val="0"/>
                                <w:sz w:val="24"/>
                                <w14:textFill>
                                  <w14:solidFill>
                                    <w14:schemeClr w14:val="tx1"/>
                                  </w14:solidFill>
                                </w14:textFill>
                              </w:rPr>
                              <w:t>梅县何坑口县级森林公园</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top:8.7pt;height:22.9pt;width:148.55pt;mso-position-horizontal:center;mso-position-horizontal-relative:margin;z-index:251760640;v-text-anchor:middle;mso-width-relative:page;mso-height-relative:page;" filled="f" stroked="f" coordsize="21600,21600" o:gfxdata="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uf0l2NUAAAAGAQAADwAAAAAAAAABACAAAAAi&#10;AAAAZHJzL2Rvd25yZXYueG1sUEsBAhQAFAAAAAgAh07iQE9xxTRGAgAAYwQAAA4AAAAAAAAAAQAg&#10;AAAAJAEAAGRycy9lMm9Eb2MueG1sUEsFBgAAAAAGAAYAWQEAANwFAAAAAA==&#10;">
                <v:fill on="f" focussize="0,0"/>
                <v:stroke on="f" weight="1pt" miterlimit="8" joinstyle="miter"/>
                <v:imagedata o:title=""/>
                <o:lock v:ext="edit" aspectratio="f"/>
                <v:textbox>
                  <w:txbxContent>
                    <w:p>
                      <w:pPr>
                        <w:jc w:val="center"/>
                        <w:rPr>
                          <w:b/>
                          <w:bCs/>
                          <w:color w:val="000000" w:themeColor="text1"/>
                          <w14:textFill>
                            <w14:solidFill>
                              <w14:schemeClr w14:val="tx1"/>
                            </w14:solidFill>
                          </w14:textFill>
                        </w:rPr>
                      </w:pPr>
                      <w:r>
                        <w:rPr>
                          <w:b/>
                          <w:bCs/>
                          <w:color w:val="000000" w:themeColor="text1"/>
                          <w:spacing w:val="-6"/>
                          <w:kern w:val="0"/>
                          <w:sz w:val="24"/>
                          <w14:textFill>
                            <w14:solidFill>
                              <w14:schemeClr w14:val="tx1"/>
                            </w14:solidFill>
                          </w14:textFill>
                        </w:rPr>
                        <w:t>梅县何坑口县级森林公园</w:t>
                      </w:r>
                    </w:p>
                  </w:txbxContent>
                </v:textbox>
              </v:rect>
            </w:pict>
          </mc:Fallback>
        </mc:AlternateContent>
      </w:r>
      <w:r>
        <mc:AlternateContent>
          <mc:Choice Requires="wps">
            <w:drawing>
              <wp:anchor distT="0" distB="0" distL="114300" distR="114300" simplePos="0" relativeHeight="251742208" behindDoc="0" locked="0" layoutInCell="1" allowOverlap="1">
                <wp:simplePos x="0" y="0"/>
                <wp:positionH relativeFrom="column">
                  <wp:posOffset>5112385</wp:posOffset>
                </wp:positionH>
                <wp:positionV relativeFrom="paragraph">
                  <wp:posOffset>5165090</wp:posOffset>
                </wp:positionV>
                <wp:extent cx="1844675" cy="290830"/>
                <wp:effectExtent l="0" t="0" r="0" b="0"/>
                <wp:wrapNone/>
                <wp:docPr id="108" name="矩形 108"/>
                <wp:cNvGraphicFramePr/>
                <a:graphic xmlns:a="http://schemas.openxmlformats.org/drawingml/2006/main">
                  <a:graphicData uri="http://schemas.microsoft.com/office/word/2010/wordprocessingShape">
                    <wps:wsp>
                      <wps:cNvSpPr/>
                      <wps:spPr>
                        <a:xfrm>
                          <a:off x="0" y="0"/>
                          <a:ext cx="1844502" cy="29083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梅州天鹅山省级森林公园</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02.55pt;margin-top:406.7pt;height:22.9pt;width:145.25pt;z-index:251742208;v-text-anchor:middle;mso-width-relative:page;mso-height-relative:page;" filled="f" stroked="f" coordsize="21600,21600" o:gfxdata="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Lvgt5LZAAAADAEAAA8AAAAAAAAAAQAg&#10;AAAAIgAAAGRycy9kb3ducmV2LnhtbFBLAQIUABQAAAAIAIdO4kDA2PbwRgIAAGMEAAAOAAAAAAAA&#10;AAEAIAAAACgBAABkcnMvZTJvRG9jLnhtbFBLBQYAAAAABgAGAFkBAADgBQAAAAA=&#10;">
                <v:fill on="f" focussize="0,0"/>
                <v:stroke on="f" weight="1pt" miterlimit="8" joinstyle="miter"/>
                <v:imagedata o:title=""/>
                <o:lock v:ext="edit" aspectratio="f"/>
                <v:textbox>
                  <w:txbxContent>
                    <w:p>
                      <w:pPr>
                        <w:jc w:val="center"/>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梅州天鹅山省级森林公园</w:t>
                      </w:r>
                    </w:p>
                  </w:txbxContent>
                </v:textbox>
              </v:rect>
            </w:pict>
          </mc:Fallback>
        </mc:AlternateContent>
      </w:r>
      <w:r>
        <mc:AlternateContent>
          <mc:Choice Requires="wps">
            <w:drawing>
              <wp:anchor distT="0" distB="0" distL="114300" distR="114300" simplePos="0" relativeHeight="251744256" behindDoc="0" locked="0" layoutInCell="1" allowOverlap="1">
                <wp:simplePos x="0" y="0"/>
                <wp:positionH relativeFrom="column">
                  <wp:posOffset>4447540</wp:posOffset>
                </wp:positionH>
                <wp:positionV relativeFrom="paragraph">
                  <wp:posOffset>2613025</wp:posOffset>
                </wp:positionV>
                <wp:extent cx="1886585" cy="290830"/>
                <wp:effectExtent l="0" t="0" r="0" b="0"/>
                <wp:wrapNone/>
                <wp:docPr id="109" name="矩形 109"/>
                <wp:cNvGraphicFramePr/>
                <a:graphic xmlns:a="http://schemas.openxmlformats.org/drawingml/2006/main">
                  <a:graphicData uri="http://schemas.microsoft.com/office/word/2010/wordprocessingShape">
                    <wps:wsp>
                      <wps:cNvSpPr/>
                      <wps:spPr>
                        <a:xfrm>
                          <a:off x="0" y="0"/>
                          <a:ext cx="1886527" cy="29083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梅县佛子高市级自然保护区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0.2pt;margin-top:205.75pt;height:22.9pt;width:148.55pt;z-index:251744256;v-text-anchor:middle;mso-width-relative:page;mso-height-relative:page;" filled="f" stroked="f" coordsize="21600,21600" o:gfxdata="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nUe7R2QAAAAsBAAAPAAAAAAAAAAEA&#10;IAAAACIAAABkcnMvZG93bnJldi54bWxQSwECFAAUAAAACACHTuJAxpbOO0cCAABjBAAADgAAAAAA&#10;AAABACAAAAAoAQAAZHJzL2Uyb0RvYy54bWxQSwUGAAAAAAYABgBZAQAA4QUAAAAA&#10;">
                <v:fill on="f" focussize="0,0"/>
                <v:stroke on="f" weight="1pt" miterlimit="8" joinstyle="miter"/>
                <v:imagedata o:title=""/>
                <o:lock v:ext="edit" aspectratio="f"/>
                <v:textbox>
                  <w:txbxContent>
                    <w:p>
                      <w:pPr>
                        <w:jc w:val="center"/>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梅县佛子高市级自然保护区</w:t>
                      </w:r>
                    </w:p>
                  </w:txbxContent>
                </v:textbox>
              </v:rect>
            </w:pict>
          </mc:Fallback>
        </mc:AlternateContent>
      </w:r>
      <w:r>
        <mc:AlternateContent>
          <mc:Choice Requires="wps">
            <w:drawing>
              <wp:anchor distT="0" distB="0" distL="114300" distR="114300" simplePos="0" relativeHeight="251752448" behindDoc="0" locked="0" layoutInCell="1" allowOverlap="1">
                <wp:simplePos x="0" y="0"/>
                <wp:positionH relativeFrom="column">
                  <wp:posOffset>4407535</wp:posOffset>
                </wp:positionH>
                <wp:positionV relativeFrom="paragraph">
                  <wp:posOffset>1953895</wp:posOffset>
                </wp:positionV>
                <wp:extent cx="748030" cy="290830"/>
                <wp:effectExtent l="0" t="0" r="0" b="0"/>
                <wp:wrapNone/>
                <wp:docPr id="113" name="矩形 113"/>
                <wp:cNvGraphicFramePr/>
                <a:graphic xmlns:a="http://schemas.openxmlformats.org/drawingml/2006/main">
                  <a:graphicData uri="http://schemas.microsoft.com/office/word/2010/wordprocessingShape">
                    <wps:wsp>
                      <wps:cNvSpPr/>
                      <wps:spPr>
                        <a:xfrm>
                          <a:off x="0" y="0"/>
                          <a:ext cx="748146" cy="2909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color w:val="000000" w:themeColor="text1"/>
                                <w:sz w:val="20"/>
                                <w:szCs w:val="22"/>
                                <w14:textFill>
                                  <w14:solidFill>
                                    <w14:schemeClr w14:val="tx1"/>
                                  </w14:solidFill>
                                </w14:textFill>
                              </w:rPr>
                            </w:pPr>
                            <w:r>
                              <w:rPr>
                                <w:rFonts w:hint="eastAsia"/>
                                <w:color w:val="000000" w:themeColor="text1"/>
                                <w:sz w:val="20"/>
                                <w:szCs w:val="22"/>
                                <w14:textFill>
                                  <w14:solidFill>
                                    <w14:schemeClr w14:val="tx1"/>
                                  </w14:solidFill>
                                </w14:textFill>
                              </w:rPr>
                              <w:t>核心区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7.05pt;margin-top:153.85pt;height:22.9pt;width:58.9pt;z-index:251752448;v-text-anchor:middle;mso-width-relative:page;mso-height-relative:page;" filled="f" stroked="f" coordsize="21600,21600" o:gfxdata="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SHmef2gAAAAsBAAAPAAAAAAAAAAEA&#10;IAAAACIAAABkcnMvZG93bnJldi54bWxQSwECFAAUAAAACACHTuJARvNR2EYCAABiBAAADgAAAAAA&#10;AAABACAAAAApAQAAZHJzL2Uyb0RvYy54bWxQSwUGAAAAAAYABgBZAQAA4QUAAAAA&#10;">
                <v:fill on="f" focussize="0,0"/>
                <v:stroke on="f" weight="1pt" miterlimit="8" joinstyle="miter"/>
                <v:imagedata o:title=""/>
                <o:lock v:ext="edit" aspectratio="f"/>
                <v:textbox>
                  <w:txbxContent>
                    <w:p>
                      <w:pPr>
                        <w:jc w:val="center"/>
                        <w:rPr>
                          <w:color w:val="000000" w:themeColor="text1"/>
                          <w:sz w:val="20"/>
                          <w:szCs w:val="22"/>
                          <w14:textFill>
                            <w14:solidFill>
                              <w14:schemeClr w14:val="tx1"/>
                            </w14:solidFill>
                          </w14:textFill>
                        </w:rPr>
                      </w:pPr>
                      <w:r>
                        <w:rPr>
                          <w:rFonts w:hint="eastAsia"/>
                          <w:color w:val="000000" w:themeColor="text1"/>
                          <w:sz w:val="20"/>
                          <w:szCs w:val="22"/>
                          <w14:textFill>
                            <w14:solidFill>
                              <w14:schemeClr w14:val="tx1"/>
                            </w14:solidFill>
                          </w14:textFill>
                        </w:rPr>
                        <w:t>核心区</w:t>
                      </w:r>
                    </w:p>
                  </w:txbxContent>
                </v:textbox>
              </v:rect>
            </w:pict>
          </mc:Fallback>
        </mc:AlternateContent>
      </w:r>
      <w:r>
        <mc:AlternateContent>
          <mc:Choice Requires="wps">
            <w:drawing>
              <wp:anchor distT="0" distB="0" distL="114300" distR="114300" simplePos="0" relativeHeight="251748352" behindDoc="0" locked="0" layoutInCell="1" allowOverlap="1">
                <wp:simplePos x="0" y="0"/>
                <wp:positionH relativeFrom="column">
                  <wp:posOffset>4457700</wp:posOffset>
                </wp:positionH>
                <wp:positionV relativeFrom="paragraph">
                  <wp:posOffset>3317240</wp:posOffset>
                </wp:positionV>
                <wp:extent cx="748030" cy="290830"/>
                <wp:effectExtent l="0" t="0" r="0" b="0"/>
                <wp:wrapNone/>
                <wp:docPr id="111" name="矩形 111"/>
                <wp:cNvGraphicFramePr/>
                <a:graphic xmlns:a="http://schemas.openxmlformats.org/drawingml/2006/main">
                  <a:graphicData uri="http://schemas.microsoft.com/office/word/2010/wordprocessingShape">
                    <wps:wsp>
                      <wps:cNvSpPr/>
                      <wps:spPr>
                        <a:xfrm>
                          <a:off x="0" y="0"/>
                          <a:ext cx="748146" cy="2909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color w:val="000000" w:themeColor="text1"/>
                                <w:sz w:val="20"/>
                                <w:szCs w:val="22"/>
                                <w14:textFill>
                                  <w14:solidFill>
                                    <w14:schemeClr w14:val="tx1"/>
                                  </w14:solidFill>
                                </w14:textFill>
                              </w:rPr>
                            </w:pPr>
                            <w:r>
                              <w:rPr>
                                <w:rFonts w:hint="eastAsia"/>
                                <w:color w:val="000000" w:themeColor="text1"/>
                                <w:sz w:val="20"/>
                                <w:szCs w:val="22"/>
                                <w14:textFill>
                                  <w14:solidFill>
                                    <w14:schemeClr w14:val="tx1"/>
                                  </w14:solidFill>
                                </w14:textFill>
                              </w:rPr>
                              <w:t>实验区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1pt;margin-top:261.2pt;height:22.9pt;width:58.9pt;z-index:251748352;v-text-anchor:middle;mso-width-relative:page;mso-height-relative:page;" filled="f" stroked="f" coordsize="21600,21600" o:gfxdata="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VKImUtkAAAALAQAADwAAAAAAAAABACAA&#10;AAAiAAAAZHJzL2Rvd25yZXYueG1sUEsBAhQAFAAAAAgAh07iQIbqRfhFAgAAYgQAAA4AAAAAAAAA&#10;AQAgAAAAKAEAAGRycy9lMm9Eb2MueG1sUEsFBgAAAAAGAAYAWQEAAN8FAAAAAA==&#10;">
                <v:fill on="f" focussize="0,0"/>
                <v:stroke on="f" weight="1pt" miterlimit="8" joinstyle="miter"/>
                <v:imagedata o:title=""/>
                <o:lock v:ext="edit" aspectratio="f"/>
                <v:textbox>
                  <w:txbxContent>
                    <w:p>
                      <w:pPr>
                        <w:jc w:val="center"/>
                        <w:rPr>
                          <w:color w:val="000000" w:themeColor="text1"/>
                          <w:sz w:val="20"/>
                          <w:szCs w:val="22"/>
                          <w14:textFill>
                            <w14:solidFill>
                              <w14:schemeClr w14:val="tx1"/>
                            </w14:solidFill>
                          </w14:textFill>
                        </w:rPr>
                      </w:pPr>
                      <w:r>
                        <w:rPr>
                          <w:rFonts w:hint="eastAsia"/>
                          <w:color w:val="000000" w:themeColor="text1"/>
                          <w:sz w:val="20"/>
                          <w:szCs w:val="22"/>
                          <w14:textFill>
                            <w14:solidFill>
                              <w14:schemeClr w14:val="tx1"/>
                            </w14:solidFill>
                          </w14:textFill>
                        </w:rPr>
                        <w:t>实验区</w:t>
                      </w:r>
                    </w:p>
                  </w:txbxContent>
                </v:textbox>
              </v:rect>
            </w:pict>
          </mc:Fallback>
        </mc:AlternateContent>
      </w:r>
      <w:r>
        <mc:AlternateContent>
          <mc:Choice Requires="wps">
            <w:drawing>
              <wp:anchor distT="0" distB="0" distL="114300" distR="114300" simplePos="0" relativeHeight="251750400" behindDoc="0" locked="0" layoutInCell="1" allowOverlap="1">
                <wp:simplePos x="0" y="0"/>
                <wp:positionH relativeFrom="column">
                  <wp:posOffset>5355590</wp:posOffset>
                </wp:positionH>
                <wp:positionV relativeFrom="paragraph">
                  <wp:posOffset>1388110</wp:posOffset>
                </wp:positionV>
                <wp:extent cx="748030" cy="290830"/>
                <wp:effectExtent l="0" t="0" r="0" b="0"/>
                <wp:wrapNone/>
                <wp:docPr id="112" name="矩形 112"/>
                <wp:cNvGraphicFramePr/>
                <a:graphic xmlns:a="http://schemas.openxmlformats.org/drawingml/2006/main">
                  <a:graphicData uri="http://schemas.microsoft.com/office/word/2010/wordprocessingShape">
                    <wps:wsp>
                      <wps:cNvSpPr/>
                      <wps:spPr>
                        <a:xfrm>
                          <a:off x="0" y="0"/>
                          <a:ext cx="748146" cy="2909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color w:val="000000" w:themeColor="text1"/>
                                <w:sz w:val="20"/>
                                <w:szCs w:val="22"/>
                                <w14:textFill>
                                  <w14:solidFill>
                                    <w14:schemeClr w14:val="tx1"/>
                                  </w14:solidFill>
                                </w14:textFill>
                              </w:rPr>
                            </w:pPr>
                            <w:r>
                              <w:rPr>
                                <w:rFonts w:hint="eastAsia"/>
                                <w:color w:val="000000" w:themeColor="text1"/>
                                <w:sz w:val="20"/>
                                <w:szCs w:val="22"/>
                                <w14:textFill>
                                  <w14:solidFill>
                                    <w14:schemeClr w14:val="tx1"/>
                                  </w14:solidFill>
                                </w14:textFill>
                              </w:rPr>
                              <w:t>缓冲区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21.7pt;margin-top:109.3pt;height:22.9pt;width:58.9pt;z-index:251750400;v-text-anchor:middle;mso-width-relative:page;mso-height-relative:page;" filled="f" stroked="f" coordsize="21600,21600" o:gfxdata="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EiAmubZAAAACwEAAA8AAAAAAAAAAQAg&#10;AAAAIgAAAGRycy9kb3ducmV2LnhtbFBLAQIUABQAAAAIAIdO4kCm/1vIRgIAAGIEAAAOAAAAAAAA&#10;AAEAIAAAACgBAABkcnMvZTJvRG9jLnhtbFBLBQYAAAAABgAGAFkBAADgBQAAAAA=&#10;">
                <v:fill on="f" focussize="0,0"/>
                <v:stroke on="f" weight="1pt" miterlimit="8" joinstyle="miter"/>
                <v:imagedata o:title=""/>
                <o:lock v:ext="edit" aspectratio="f"/>
                <v:textbox>
                  <w:txbxContent>
                    <w:p>
                      <w:pPr>
                        <w:jc w:val="center"/>
                        <w:rPr>
                          <w:color w:val="000000" w:themeColor="text1"/>
                          <w:sz w:val="20"/>
                          <w:szCs w:val="22"/>
                          <w14:textFill>
                            <w14:solidFill>
                              <w14:schemeClr w14:val="tx1"/>
                            </w14:solidFill>
                          </w14:textFill>
                        </w:rPr>
                      </w:pPr>
                      <w:r>
                        <w:rPr>
                          <w:rFonts w:hint="eastAsia"/>
                          <w:color w:val="000000" w:themeColor="text1"/>
                          <w:sz w:val="20"/>
                          <w:szCs w:val="22"/>
                          <w14:textFill>
                            <w14:solidFill>
                              <w14:schemeClr w14:val="tx1"/>
                            </w14:solidFill>
                          </w14:textFill>
                        </w:rPr>
                        <w:t>缓冲区</w:t>
                      </w:r>
                    </w:p>
                  </w:txbxContent>
                </v:textbox>
              </v:rect>
            </w:pict>
          </mc:Fallback>
        </mc:AlternateContent>
      </w:r>
      <w:r>
        <mc:AlternateContent>
          <mc:Choice Requires="wps">
            <w:drawing>
              <wp:anchor distT="0" distB="0" distL="114300" distR="114300" simplePos="0" relativeHeight="251746304" behindDoc="0" locked="0" layoutInCell="1" allowOverlap="1">
                <wp:simplePos x="0" y="0"/>
                <wp:positionH relativeFrom="column">
                  <wp:posOffset>5979160</wp:posOffset>
                </wp:positionH>
                <wp:positionV relativeFrom="paragraph">
                  <wp:posOffset>1796415</wp:posOffset>
                </wp:positionV>
                <wp:extent cx="748030" cy="290830"/>
                <wp:effectExtent l="0" t="0" r="0" b="0"/>
                <wp:wrapNone/>
                <wp:docPr id="110" name="矩形 110"/>
                <wp:cNvGraphicFramePr/>
                <a:graphic xmlns:a="http://schemas.openxmlformats.org/drawingml/2006/main">
                  <a:graphicData uri="http://schemas.microsoft.com/office/word/2010/wordprocessingShape">
                    <wps:wsp>
                      <wps:cNvSpPr/>
                      <wps:spPr>
                        <a:xfrm>
                          <a:off x="0" y="0"/>
                          <a:ext cx="748146" cy="2909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color w:val="000000" w:themeColor="text1"/>
                                <w:sz w:val="20"/>
                                <w:szCs w:val="22"/>
                                <w14:textFill>
                                  <w14:solidFill>
                                    <w14:schemeClr w14:val="tx1"/>
                                  </w14:solidFill>
                                </w14:textFill>
                              </w:rPr>
                            </w:pPr>
                            <w:r>
                              <w:rPr>
                                <w:rFonts w:hint="eastAsia"/>
                                <w:color w:val="000000" w:themeColor="text1"/>
                                <w:sz w:val="20"/>
                                <w:szCs w:val="22"/>
                                <w14:textFill>
                                  <w14:solidFill>
                                    <w14:schemeClr w14:val="tx1"/>
                                  </w14:solidFill>
                                </w14:textFill>
                              </w:rPr>
                              <w:t>核心区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70.8pt;margin-top:141.45pt;height:22.9pt;width:58.9pt;z-index:251746304;v-text-anchor:middle;mso-width-relative:page;mso-height-relative:page;" filled="f" stroked="f" coordsize="21600,21600" o:gfxdata="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GLncCjaAAAADAEAAA8AAAAAAAAAAQAg&#10;AAAAIgAAAGRycy9kb3ducmV2LnhtbFBLAQIUABQAAAAIAIdO4kBm5k/oRQIAAGIEAAAOAAAAAAAA&#10;AAEAIAAAACkBAABkcnMvZTJvRG9jLnhtbFBLBQYAAAAABgAGAFkBAADgBQAAAAA=&#10;">
                <v:fill on="f" focussize="0,0"/>
                <v:stroke on="f" weight="1pt" miterlimit="8" joinstyle="miter"/>
                <v:imagedata o:title=""/>
                <o:lock v:ext="edit" aspectratio="f"/>
                <v:textbox>
                  <w:txbxContent>
                    <w:p>
                      <w:pPr>
                        <w:jc w:val="center"/>
                        <w:rPr>
                          <w:color w:val="000000" w:themeColor="text1"/>
                          <w:sz w:val="20"/>
                          <w:szCs w:val="22"/>
                          <w14:textFill>
                            <w14:solidFill>
                              <w14:schemeClr w14:val="tx1"/>
                            </w14:solidFill>
                          </w14:textFill>
                        </w:rPr>
                      </w:pPr>
                      <w:r>
                        <w:rPr>
                          <w:rFonts w:hint="eastAsia"/>
                          <w:color w:val="000000" w:themeColor="text1"/>
                          <w:sz w:val="20"/>
                          <w:szCs w:val="22"/>
                          <w14:textFill>
                            <w14:solidFill>
                              <w14:schemeClr w14:val="tx1"/>
                            </w14:solidFill>
                          </w14:textFill>
                        </w:rPr>
                        <w:t>核心区</w:t>
                      </w:r>
                    </w:p>
                  </w:txbxContent>
                </v:textbox>
              </v:rect>
            </w:pict>
          </mc:Fallback>
        </mc:AlternateContent>
      </w:r>
      <w:r>
        <mc:AlternateContent>
          <mc:Choice Requires="wps">
            <w:drawing>
              <wp:anchor distT="0" distB="0" distL="114300" distR="114300" simplePos="0" relativeHeight="251758592" behindDoc="0" locked="0" layoutInCell="1" allowOverlap="1">
                <wp:simplePos x="0" y="0"/>
                <wp:positionH relativeFrom="column">
                  <wp:posOffset>3053080</wp:posOffset>
                </wp:positionH>
                <wp:positionV relativeFrom="paragraph">
                  <wp:posOffset>2967990</wp:posOffset>
                </wp:positionV>
                <wp:extent cx="748030" cy="290830"/>
                <wp:effectExtent l="0" t="0" r="0" b="0"/>
                <wp:wrapNone/>
                <wp:docPr id="117" name="矩形 117"/>
                <wp:cNvGraphicFramePr/>
                <a:graphic xmlns:a="http://schemas.openxmlformats.org/drawingml/2006/main">
                  <a:graphicData uri="http://schemas.microsoft.com/office/word/2010/wordprocessingShape">
                    <wps:wsp>
                      <wps:cNvSpPr/>
                      <wps:spPr>
                        <a:xfrm>
                          <a:off x="0" y="0"/>
                          <a:ext cx="748146" cy="2909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b/>
                                <w:bCs/>
                                <w:color w:val="FF0000"/>
                                <w:sz w:val="20"/>
                                <w:szCs w:val="22"/>
                              </w:rPr>
                            </w:pPr>
                            <w:r>
                              <w:rPr>
                                <w:rFonts w:hint="eastAsia"/>
                                <w:b/>
                                <w:bCs/>
                                <w:color w:val="FF0000"/>
                                <w:sz w:val="20"/>
                                <w:szCs w:val="22"/>
                              </w:rPr>
                              <w:t>管道走向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40.4pt;margin-top:233.7pt;height:22.9pt;width:58.9pt;z-index:251758592;v-text-anchor:middle;mso-width-relative:page;mso-height-relative:page;" filled="f" stroked="f" coordsize="21600,21600" o:gfxdata="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OT4hGbZAAAACwEAAA8AAAAAAAAAAQAg&#10;AAAAIgAAAGRycy9kb3ducmV2LnhtbFBLAQIUABQAAAAIAIdO4kDGwHmYRgIAAGIEAAAOAAAAAAAA&#10;AAEAIAAAACgBAABkcnMvZTJvRG9jLnhtbFBLBQYAAAAABgAGAFkBAADgBQAAAAA=&#10;">
                <v:fill on="f" focussize="0,0"/>
                <v:stroke on="f" weight="1pt" miterlimit="8" joinstyle="miter"/>
                <v:imagedata o:title=""/>
                <o:lock v:ext="edit" aspectratio="f"/>
                <v:textbox>
                  <w:txbxContent>
                    <w:p>
                      <w:pPr>
                        <w:jc w:val="center"/>
                        <w:rPr>
                          <w:b/>
                          <w:bCs/>
                          <w:color w:val="FF0000"/>
                          <w:sz w:val="20"/>
                          <w:szCs w:val="22"/>
                        </w:rPr>
                      </w:pPr>
                      <w:r>
                        <w:rPr>
                          <w:rFonts w:hint="eastAsia"/>
                          <w:b/>
                          <w:bCs/>
                          <w:color w:val="FF0000"/>
                          <w:sz w:val="20"/>
                          <w:szCs w:val="22"/>
                        </w:rPr>
                        <w:t>管道走向</w:t>
                      </w:r>
                    </w:p>
                  </w:txbxContent>
                </v:textbox>
              </v:rect>
            </w:pict>
          </mc:Fallback>
        </mc:AlternateContent>
      </w:r>
      <w:r>
        <mc:AlternateContent>
          <mc:Choice Requires="wps">
            <w:drawing>
              <wp:anchor distT="0" distB="0" distL="114300" distR="114300" simplePos="0" relativeHeight="251756544" behindDoc="0" locked="0" layoutInCell="1" allowOverlap="1">
                <wp:simplePos x="0" y="0"/>
                <wp:positionH relativeFrom="column">
                  <wp:posOffset>2447925</wp:posOffset>
                </wp:positionH>
                <wp:positionV relativeFrom="paragraph">
                  <wp:posOffset>4650740</wp:posOffset>
                </wp:positionV>
                <wp:extent cx="748030" cy="290830"/>
                <wp:effectExtent l="0" t="0" r="0" b="0"/>
                <wp:wrapNone/>
                <wp:docPr id="116" name="矩形 116"/>
                <wp:cNvGraphicFramePr/>
                <a:graphic xmlns:a="http://schemas.openxmlformats.org/drawingml/2006/main">
                  <a:graphicData uri="http://schemas.microsoft.com/office/word/2010/wordprocessingShape">
                    <wps:wsp>
                      <wps:cNvSpPr/>
                      <wps:spPr>
                        <a:xfrm>
                          <a:off x="0" y="0"/>
                          <a:ext cx="748146" cy="2909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b/>
                                <w:bCs/>
                                <w:color w:val="FF0000"/>
                                <w:sz w:val="20"/>
                                <w:szCs w:val="22"/>
                              </w:rPr>
                            </w:pPr>
                            <w:r>
                              <w:rPr>
                                <w:rFonts w:hint="eastAsia"/>
                                <w:b/>
                                <w:bCs/>
                                <w:color w:val="FF0000"/>
                                <w:sz w:val="20"/>
                                <w:szCs w:val="22"/>
                              </w:rPr>
                              <w:t>泵房位置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2.75pt;margin-top:366.2pt;height:22.9pt;width:58.9pt;z-index:251756544;v-text-anchor:middle;mso-width-relative:page;mso-height-relative:page;" filled="f" stroked="f" coordsize="21600,21600" o:gfxdata="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Nak1cnZAAAACwEAAA8AAAAAAAAAAQAg&#10;AAAAIgAAAGRycy9kb3ducmV2LnhtbFBLAQIUABQAAAAIAIdO4kAmzHOIRgIAAGIEAAAOAAAAAAAA&#10;AAEAIAAAACgBAABkcnMvZTJvRG9jLnhtbFBLBQYAAAAABgAGAFkBAADgBQAAAAA=&#10;">
                <v:fill on="f" focussize="0,0"/>
                <v:stroke on="f" weight="1pt" miterlimit="8" joinstyle="miter"/>
                <v:imagedata o:title=""/>
                <o:lock v:ext="edit" aspectratio="f"/>
                <v:textbox>
                  <w:txbxContent>
                    <w:p>
                      <w:pPr>
                        <w:jc w:val="center"/>
                        <w:rPr>
                          <w:b/>
                          <w:bCs/>
                          <w:color w:val="FF0000"/>
                          <w:sz w:val="20"/>
                          <w:szCs w:val="22"/>
                        </w:rPr>
                      </w:pPr>
                      <w:r>
                        <w:rPr>
                          <w:rFonts w:hint="eastAsia"/>
                          <w:b/>
                          <w:bCs/>
                          <w:color w:val="FF0000"/>
                          <w:sz w:val="20"/>
                          <w:szCs w:val="22"/>
                        </w:rPr>
                        <w:t>泵房位置</w:t>
                      </w:r>
                    </w:p>
                  </w:txbxContent>
                </v:textbox>
              </v:rect>
            </w:pict>
          </mc:Fallback>
        </mc:AlternateContent>
      </w:r>
      <w:r>
        <mc:AlternateContent>
          <mc:Choice Requires="wps">
            <w:drawing>
              <wp:anchor distT="0" distB="0" distL="114300" distR="114300" simplePos="0" relativeHeight="251754496" behindDoc="0" locked="0" layoutInCell="1" allowOverlap="1">
                <wp:simplePos x="0" y="0"/>
                <wp:positionH relativeFrom="column">
                  <wp:posOffset>3167380</wp:posOffset>
                </wp:positionH>
                <wp:positionV relativeFrom="paragraph">
                  <wp:posOffset>1261110</wp:posOffset>
                </wp:positionV>
                <wp:extent cx="1795145" cy="3680460"/>
                <wp:effectExtent l="0" t="0" r="14605" b="34290"/>
                <wp:wrapNone/>
                <wp:docPr id="115" name="任意多边形: 形状 115"/>
                <wp:cNvGraphicFramePr/>
                <a:graphic xmlns:a="http://schemas.openxmlformats.org/drawingml/2006/main">
                  <a:graphicData uri="http://schemas.microsoft.com/office/word/2010/wordprocessingShape">
                    <wps:wsp>
                      <wps:cNvSpPr/>
                      <wps:spPr>
                        <a:xfrm>
                          <a:off x="0" y="0"/>
                          <a:ext cx="1795145" cy="3680460"/>
                        </a:xfrm>
                        <a:custGeom>
                          <a:avLst/>
                          <a:gdLst>
                            <a:gd name="connsiteX0" fmla="*/ 0 w 1336708"/>
                            <a:gd name="connsiteY0" fmla="*/ 2729092 h 2739483"/>
                            <a:gd name="connsiteX1" fmla="*/ 67541 w 1336708"/>
                            <a:gd name="connsiteY1" fmla="*/ 2739483 h 2739483"/>
                            <a:gd name="connsiteX2" fmla="*/ 51955 w 1336708"/>
                            <a:gd name="connsiteY2" fmla="*/ 2453733 h 2739483"/>
                            <a:gd name="connsiteX3" fmla="*/ 46759 w 1336708"/>
                            <a:gd name="connsiteY3" fmla="*/ 2131615 h 2739483"/>
                            <a:gd name="connsiteX4" fmla="*/ 114300 w 1336708"/>
                            <a:gd name="connsiteY4" fmla="*/ 1954970 h 2739483"/>
                            <a:gd name="connsiteX5" fmla="*/ 202623 w 1336708"/>
                            <a:gd name="connsiteY5" fmla="*/ 1788715 h 2739483"/>
                            <a:gd name="connsiteX6" fmla="*/ 436419 w 1336708"/>
                            <a:gd name="connsiteY6" fmla="*/ 1482183 h 2739483"/>
                            <a:gd name="connsiteX7" fmla="*/ 597478 w 1336708"/>
                            <a:gd name="connsiteY7" fmla="*/ 1295147 h 2739483"/>
                            <a:gd name="connsiteX8" fmla="*/ 654628 w 1336708"/>
                            <a:gd name="connsiteY8" fmla="*/ 1154870 h 2739483"/>
                            <a:gd name="connsiteX9" fmla="*/ 742950 w 1336708"/>
                            <a:gd name="connsiteY9" fmla="*/ 848338 h 2739483"/>
                            <a:gd name="connsiteX10" fmla="*/ 841664 w 1336708"/>
                            <a:gd name="connsiteY10" fmla="*/ 666497 h 2739483"/>
                            <a:gd name="connsiteX11" fmla="*/ 862446 w 1336708"/>
                            <a:gd name="connsiteY11" fmla="*/ 624933 h 2739483"/>
                            <a:gd name="connsiteX12" fmla="*/ 914400 w 1336708"/>
                            <a:gd name="connsiteY12" fmla="*/ 323597 h 2739483"/>
                            <a:gd name="connsiteX13" fmla="*/ 1007919 w 1336708"/>
                            <a:gd name="connsiteY13" fmla="*/ 178124 h 2739483"/>
                            <a:gd name="connsiteX14" fmla="*/ 1096241 w 1336708"/>
                            <a:gd name="connsiteY14" fmla="*/ 84606 h 2739483"/>
                            <a:gd name="connsiteX15" fmla="*/ 1267691 w 1336708"/>
                            <a:gd name="connsiteY15" fmla="*/ 27456 h 2739483"/>
                            <a:gd name="connsiteX16" fmla="*/ 1336708 w 1336708"/>
                            <a:gd name="connsiteY16" fmla="*/ 0 h 2739483"/>
                            <a:gd name="connsiteX17" fmla="*/ 1439141 w 1439141"/>
                            <a:gd name="connsiteY17" fmla="*/ 0 h 27899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336708" h="2739483">
                              <a:moveTo>
                                <a:pt x="0" y="2729092"/>
                              </a:moveTo>
                              <a:lnTo>
                                <a:pt x="67541" y="2739483"/>
                              </a:lnTo>
                              <a:lnTo>
                                <a:pt x="51955" y="2453733"/>
                              </a:lnTo>
                              <a:lnTo>
                                <a:pt x="46759" y="2131615"/>
                              </a:lnTo>
                              <a:lnTo>
                                <a:pt x="114300" y="1954970"/>
                              </a:lnTo>
                              <a:lnTo>
                                <a:pt x="202623" y="1788715"/>
                              </a:lnTo>
                              <a:lnTo>
                                <a:pt x="436419" y="1482183"/>
                              </a:lnTo>
                              <a:lnTo>
                                <a:pt x="597478" y="1295147"/>
                              </a:lnTo>
                              <a:lnTo>
                                <a:pt x="654628" y="1154870"/>
                              </a:lnTo>
                              <a:lnTo>
                                <a:pt x="742950" y="848338"/>
                              </a:lnTo>
                              <a:lnTo>
                                <a:pt x="841664" y="666497"/>
                              </a:lnTo>
                              <a:lnTo>
                                <a:pt x="862446" y="624933"/>
                              </a:lnTo>
                              <a:lnTo>
                                <a:pt x="914400" y="323597"/>
                              </a:lnTo>
                              <a:lnTo>
                                <a:pt x="1007919" y="178124"/>
                              </a:lnTo>
                              <a:lnTo>
                                <a:pt x="1096241" y="84606"/>
                              </a:lnTo>
                              <a:lnTo>
                                <a:pt x="1267691" y="27456"/>
                              </a:lnTo>
                              <a:lnTo>
                                <a:pt x="1336708" y="0"/>
                              </a:ln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115" o:spid="_x0000_s1026" o:spt="100" style="position:absolute;left:0pt;margin-left:249.4pt;margin-top:99.3pt;height:289.8pt;width:141.35pt;z-index:251754496;v-text-anchor:middle;mso-width-relative:page;mso-height-relative:page;" filled="f" stroked="t" coordsize="1336708,2739483" o:gfxdata="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" path="m0,2729092l67541,2739483,51955,2453733,46759,2131615,114300,1954970,202623,1788715,436419,1482183,597478,1295147,654628,1154870,742950,848338,841664,666497,862446,624933,914400,323597,1007919,178124,1096241,84606,1267691,27456,1336708,0e">
                <v:path o:connectlocs="0,3666499;90704,3680460;69773,3296558;62795,2863797;153500,2626476;272114,2403115;586093,1991293;802388,1740013;879139,1551552;997751,1139731;1130320,895430;1158230,839589;1228002,434748;1353594,239307;1472207,113667;1702457,36886;1795145,0" o:connectangles="0,0,0,0,0,0,0,0,0,0,0,0,0,0,0,0,0"/>
                <v:fill on="f" focussize="0,0"/>
                <v:stroke weight="1pt" color="#FF0000 [3204]" miterlimit="8" joinstyle="miter"/>
                <v:imagedata o:title=""/>
                <o:lock v:ext="edit" aspectratio="f"/>
              </v:shape>
            </w:pict>
          </mc:Fallback>
        </mc:AlternateContent>
      </w:r>
      <w:r>
        <mc:AlternateContent>
          <mc:Choice Requires="wps">
            <w:drawing>
              <wp:anchor distT="0" distB="0" distL="114300" distR="114300" simplePos="0" relativeHeight="251753472" behindDoc="0" locked="0" layoutInCell="1" allowOverlap="1">
                <wp:simplePos x="0" y="0"/>
                <wp:positionH relativeFrom="column">
                  <wp:posOffset>3138170</wp:posOffset>
                </wp:positionH>
                <wp:positionV relativeFrom="paragraph">
                  <wp:posOffset>4843780</wp:posOffset>
                </wp:positionV>
                <wp:extent cx="74295" cy="57785"/>
                <wp:effectExtent l="0" t="0" r="1905" b="0"/>
                <wp:wrapNone/>
                <wp:docPr id="114" name="椭圆 114"/>
                <wp:cNvGraphicFramePr/>
                <a:graphic xmlns:a="http://schemas.openxmlformats.org/drawingml/2006/main">
                  <a:graphicData uri="http://schemas.microsoft.com/office/word/2010/wordprocessingShape">
                    <wps:wsp>
                      <wps:cNvSpPr/>
                      <wps:spPr>
                        <a:xfrm>
                          <a:off x="0" y="0"/>
                          <a:ext cx="74295" cy="5778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47.1pt;margin-top:381.4pt;height:4.55pt;width:5.85pt;z-index:251753472;v-text-anchor:middle;mso-width-relative:page;mso-height-relative:page;" fillcolor="#FF0000" filled="t" stroked="f" coordsize="21600,21600" o:gfxdata="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RCzCRtgAAAALAQAA&#10;DwAAAAAAAAABACAAAAAiAAAAZHJzL2Rvd25yZXYueG1sUEsBAhQAFAAAAAgAh07iQK2y1i9SAgAA&#10;gQQAAA4AAAAAAAAAAQAgAAAAJwEAAGRycy9lMm9Eb2MueG1sUEsFBgAAAAAGAAYAWQEAAOsFAAAA&#10;AA==&#10;">
                <v:fill on="t" focussize="0,0"/>
                <v:stroke on="f" weight="1pt" miterlimit="8" joinstyle="miter"/>
                <v:imagedata o:title=""/>
                <o:lock v:ext="edit" aspectratio="f"/>
              </v:shape>
            </w:pict>
          </mc:Fallback>
        </mc:AlternateContent>
      </w:r>
      <w:r>
        <w:t xml:space="preserve"> </w:t>
      </w:r>
      <w:r>
        <w:drawing>
          <wp:inline distT="0" distB="0" distL="0" distR="0">
            <wp:extent cx="7418070" cy="5735320"/>
            <wp:effectExtent l="0" t="0" r="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57"/>
                    <a:stretch>
                      <a:fillRect/>
                    </a:stretch>
                  </pic:blipFill>
                  <pic:spPr>
                    <a:xfrm>
                      <a:off x="0" y="0"/>
                      <a:ext cx="7440843" cy="5753357"/>
                    </a:xfrm>
                    <a:prstGeom prst="rect">
                      <a:avLst/>
                    </a:prstGeom>
                  </pic:spPr>
                </pic:pic>
              </a:graphicData>
            </a:graphic>
          </wp:inline>
        </w:drawing>
      </w:r>
    </w:p>
    <w:p>
      <w:pPr>
        <w:jc w:val="center"/>
        <w:rPr>
          <w:b/>
          <w:sz w:val="32"/>
          <w:szCs w:val="32"/>
        </w:rPr>
      </w:pPr>
      <w:r>
        <w:rPr>
          <w:b/>
          <w:sz w:val="32"/>
          <w:szCs w:val="32"/>
        </w:rPr>
        <w:t>附图7  项目所在地与</w:t>
      </w:r>
      <w:r>
        <w:rPr>
          <w:rFonts w:hint="eastAsia"/>
          <w:b/>
          <w:sz w:val="32"/>
          <w:szCs w:val="32"/>
        </w:rPr>
        <w:t>自然保护区、森林公园</w:t>
      </w:r>
      <w:r>
        <w:rPr>
          <w:b/>
          <w:sz w:val="32"/>
          <w:szCs w:val="32"/>
        </w:rPr>
        <w:t>位置关系图</w:t>
      </w:r>
    </w:p>
    <w:p>
      <w:pPr>
        <w:jc w:val="center"/>
        <w:rPr>
          <w:b/>
          <w:sz w:val="32"/>
          <w:szCs w:val="32"/>
        </w:rPr>
        <w:sectPr>
          <w:pgSz w:w="16840" w:h="11907" w:orient="landscape"/>
          <w:pgMar w:top="1134" w:right="1134" w:bottom="1134" w:left="1531" w:header="907" w:footer="925" w:gutter="0"/>
          <w:cols w:space="720" w:num="1"/>
          <w:docGrid w:linePitch="326" w:charSpace="-4916"/>
        </w:sectPr>
      </w:pPr>
    </w:p>
    <w:p>
      <w:pPr>
        <w:rPr>
          <w:b/>
          <w:sz w:val="28"/>
        </w:rPr>
      </w:pPr>
      <w:r>
        <w:rPr>
          <w:b/>
          <w:sz w:val="28"/>
        </w:rPr>
        <w:t>附件1  项目委托书</w:t>
      </w:r>
    </w:p>
    <w:p>
      <w:pPr>
        <w:spacing w:line="360" w:lineRule="auto"/>
        <w:ind w:firstLine="3286" w:firstLineChars="747"/>
        <w:rPr>
          <w:b/>
          <w:sz w:val="44"/>
          <w:szCs w:val="44"/>
        </w:rPr>
      </w:pPr>
    </w:p>
    <w:p>
      <w:pPr>
        <w:spacing w:line="360" w:lineRule="auto"/>
        <w:ind w:firstLine="3286" w:firstLineChars="747"/>
        <w:rPr>
          <w:b/>
          <w:sz w:val="44"/>
          <w:szCs w:val="44"/>
        </w:rPr>
      </w:pPr>
    </w:p>
    <w:p>
      <w:pPr>
        <w:spacing w:line="360" w:lineRule="auto"/>
        <w:ind w:firstLine="3286" w:firstLineChars="747"/>
        <w:rPr>
          <w:b/>
          <w:sz w:val="44"/>
          <w:szCs w:val="44"/>
        </w:rPr>
      </w:pPr>
      <w:r>
        <w:rPr>
          <w:b/>
          <w:sz w:val="44"/>
          <w:szCs w:val="44"/>
        </w:rPr>
        <w:t>委 托 书</w:t>
      </w:r>
    </w:p>
    <w:p>
      <w:pPr>
        <w:spacing w:line="360" w:lineRule="auto"/>
        <w:ind w:firstLine="3360" w:firstLineChars="1050"/>
        <w:rPr>
          <w:sz w:val="32"/>
          <w:szCs w:val="32"/>
        </w:rPr>
      </w:pPr>
    </w:p>
    <w:p>
      <w:pPr>
        <w:spacing w:line="360" w:lineRule="auto"/>
        <w:ind w:firstLine="784" w:firstLineChars="245"/>
        <w:rPr>
          <w:sz w:val="32"/>
          <w:szCs w:val="32"/>
        </w:rPr>
      </w:pPr>
      <w:r>
        <w:rPr>
          <w:sz w:val="32"/>
          <w:szCs w:val="32"/>
        </w:rPr>
        <w:t>兹我司梅州粤海水务有限公司（甲方）现委托深圳市福德源环保科技有限公司（乙方）对梅州市城东片区供水项目进行编制环境影响报告表工作。</w:t>
      </w:r>
      <w:r>
        <w:rPr>
          <w:sz w:val="32"/>
          <w:szCs w:val="32"/>
        </w:rPr>
        <w:cr/>
      </w:r>
      <w:r>
        <w:rPr>
          <w:sz w:val="32"/>
          <w:szCs w:val="32"/>
        </w:rPr>
        <w:t xml:space="preserve">    </w:t>
      </w:r>
    </w:p>
    <w:p>
      <w:pPr>
        <w:spacing w:line="360" w:lineRule="auto"/>
        <w:ind w:firstLine="784" w:firstLineChars="245"/>
        <w:rPr>
          <w:sz w:val="32"/>
          <w:szCs w:val="32"/>
        </w:rPr>
      </w:pPr>
      <w:r>
        <w:rPr>
          <w:sz w:val="32"/>
          <w:szCs w:val="32"/>
        </w:rPr>
        <w:t>特此委托！</w:t>
      </w:r>
    </w:p>
    <w:p>
      <w:pPr>
        <w:spacing w:line="360" w:lineRule="auto"/>
        <w:ind w:firstLine="784" w:firstLineChars="245"/>
        <w:jc w:val="right"/>
        <w:rPr>
          <w:bCs/>
          <w:sz w:val="32"/>
          <w:szCs w:val="32"/>
        </w:rPr>
      </w:pPr>
    </w:p>
    <w:p>
      <w:pPr>
        <w:spacing w:line="360" w:lineRule="auto"/>
        <w:ind w:firstLine="784" w:firstLineChars="245"/>
        <w:jc w:val="right"/>
        <w:rPr>
          <w:bCs/>
          <w:sz w:val="32"/>
          <w:szCs w:val="32"/>
        </w:rPr>
      </w:pPr>
    </w:p>
    <w:p>
      <w:pPr>
        <w:spacing w:line="360" w:lineRule="auto"/>
        <w:ind w:firstLine="784" w:firstLineChars="245"/>
        <w:jc w:val="right"/>
        <w:rPr>
          <w:sz w:val="32"/>
          <w:szCs w:val="32"/>
        </w:rPr>
      </w:pPr>
      <w:r>
        <w:rPr>
          <w:bCs/>
          <w:sz w:val="32"/>
          <w:szCs w:val="32"/>
        </w:rPr>
        <w:t>委托公司：</w:t>
      </w:r>
      <w:r>
        <w:rPr>
          <w:sz w:val="32"/>
          <w:szCs w:val="32"/>
        </w:rPr>
        <w:t>梅州粤海水务有限公司</w:t>
      </w:r>
    </w:p>
    <w:p>
      <w:pPr>
        <w:spacing w:line="360" w:lineRule="auto"/>
        <w:ind w:firstLine="2560" w:firstLineChars="800"/>
        <w:rPr>
          <w:bCs/>
          <w:sz w:val="32"/>
          <w:szCs w:val="32"/>
        </w:rPr>
      </w:pPr>
      <w:r>
        <w:rPr>
          <w:bCs/>
          <w:sz w:val="32"/>
          <w:szCs w:val="32"/>
        </w:rPr>
        <w:t xml:space="preserve">             </w:t>
      </w:r>
      <w:r>
        <w:rPr>
          <w:rFonts w:hint="eastAsia"/>
          <w:bCs/>
          <w:sz w:val="32"/>
          <w:szCs w:val="32"/>
        </w:rPr>
        <w:t xml:space="preserve">        </w:t>
      </w:r>
      <w:r>
        <w:rPr>
          <w:bCs/>
          <w:sz w:val="32"/>
          <w:szCs w:val="32"/>
        </w:rPr>
        <w:t xml:space="preserve"> 20</w:t>
      </w:r>
      <w:r>
        <w:rPr>
          <w:rFonts w:hint="eastAsia"/>
          <w:bCs/>
          <w:sz w:val="32"/>
          <w:szCs w:val="32"/>
        </w:rPr>
        <w:t>20</w:t>
      </w:r>
      <w:r>
        <w:rPr>
          <w:bCs/>
          <w:sz w:val="32"/>
          <w:szCs w:val="32"/>
        </w:rPr>
        <w:t>年5月</w:t>
      </w:r>
      <w:r>
        <w:rPr>
          <w:rFonts w:hint="eastAsia"/>
          <w:bCs/>
          <w:sz w:val="32"/>
          <w:szCs w:val="32"/>
        </w:rPr>
        <w:t>7</w:t>
      </w:r>
      <w:r>
        <w:rPr>
          <w:bCs/>
          <w:sz w:val="32"/>
          <w:szCs w:val="32"/>
        </w:rPr>
        <w:t>日</w:t>
      </w:r>
    </w:p>
    <w:p>
      <w:pPr>
        <w:spacing w:line="360" w:lineRule="auto"/>
        <w:ind w:firstLine="280" w:firstLineChars="100"/>
        <w:rPr>
          <w:b/>
          <w:sz w:val="28"/>
        </w:rPr>
      </w:pPr>
    </w:p>
    <w:p>
      <w:pPr>
        <w:spacing w:line="360" w:lineRule="auto"/>
        <w:ind w:firstLine="280" w:firstLineChars="100"/>
        <w:rPr>
          <w:b/>
          <w:sz w:val="28"/>
        </w:rPr>
      </w:pPr>
    </w:p>
    <w:p>
      <w:pPr>
        <w:spacing w:line="360" w:lineRule="auto"/>
        <w:ind w:firstLine="280" w:firstLineChars="100"/>
        <w:rPr>
          <w:b/>
          <w:color w:val="FF0000"/>
          <w:sz w:val="28"/>
        </w:rPr>
      </w:pPr>
    </w:p>
    <w:p>
      <w:pPr>
        <w:spacing w:line="360" w:lineRule="auto"/>
        <w:ind w:firstLine="280" w:firstLineChars="100"/>
        <w:rPr>
          <w:b/>
          <w:color w:val="FF0000"/>
          <w:sz w:val="28"/>
        </w:rPr>
      </w:pPr>
    </w:p>
    <w:p>
      <w:pPr>
        <w:spacing w:line="360" w:lineRule="auto"/>
        <w:ind w:firstLine="280" w:firstLineChars="100"/>
        <w:rPr>
          <w:b/>
          <w:color w:val="FF0000"/>
          <w:sz w:val="28"/>
        </w:rPr>
      </w:pPr>
    </w:p>
    <w:p>
      <w:pPr>
        <w:spacing w:line="360" w:lineRule="auto"/>
        <w:ind w:firstLine="280" w:firstLineChars="100"/>
        <w:rPr>
          <w:b/>
          <w:color w:val="FF0000"/>
          <w:sz w:val="28"/>
        </w:rPr>
      </w:pPr>
    </w:p>
    <w:p>
      <w:pPr>
        <w:spacing w:line="360" w:lineRule="auto"/>
        <w:ind w:firstLine="280" w:firstLineChars="100"/>
        <w:rPr>
          <w:b/>
          <w:color w:val="FF0000"/>
          <w:sz w:val="28"/>
        </w:rPr>
      </w:pPr>
    </w:p>
    <w:p>
      <w:pPr>
        <w:spacing w:line="360" w:lineRule="auto"/>
        <w:ind w:firstLine="280" w:firstLineChars="100"/>
        <w:rPr>
          <w:b/>
          <w:color w:val="FF0000"/>
          <w:sz w:val="28"/>
        </w:rPr>
      </w:pPr>
    </w:p>
    <w:p>
      <w:pPr>
        <w:rPr>
          <w:b/>
          <w:color w:val="FF0000"/>
          <w:sz w:val="28"/>
        </w:rPr>
        <w:sectPr>
          <w:pgSz w:w="11906" w:h="16838"/>
          <w:pgMar w:top="1440" w:right="1797" w:bottom="1440" w:left="1247" w:header="851" w:footer="992" w:gutter="0"/>
          <w:cols w:space="720" w:num="1"/>
          <w:docGrid w:type="linesAndChars" w:linePitch="312" w:charSpace="0"/>
        </w:sectPr>
      </w:pPr>
    </w:p>
    <w:p>
      <w:pPr>
        <w:ind w:left="283" w:leftChars="1" w:hanging="281" w:hangingChars="100"/>
        <w:rPr>
          <w:b/>
          <w:sz w:val="28"/>
        </w:rPr>
      </w:pPr>
      <w:r>
        <w:rPr>
          <w:b/>
          <w:sz w:val="28"/>
        </w:rPr>
        <w:t>附件</w:t>
      </w:r>
      <w:r>
        <w:rPr>
          <w:rFonts w:hint="eastAsia"/>
          <w:b/>
          <w:sz w:val="28"/>
        </w:rPr>
        <w:t>2</w:t>
      </w:r>
      <w:r>
        <w:rPr>
          <w:b/>
          <w:sz w:val="28"/>
        </w:rPr>
        <w:t xml:space="preserve"> </w:t>
      </w:r>
      <w:r>
        <w:rPr>
          <w:rFonts w:hint="eastAsia"/>
          <w:b/>
          <w:sz w:val="28"/>
        </w:rPr>
        <w:t xml:space="preserve">  监测报告</w:t>
      </w:r>
    </w:p>
    <w:p>
      <w:pPr>
        <w:ind w:left="212" w:leftChars="1" w:hanging="210" w:hangingChars="100"/>
        <w:jc w:val="center"/>
        <w:rPr>
          <w:b/>
          <w:sz w:val="28"/>
        </w:rPr>
      </w:pPr>
      <w:r>
        <w:drawing>
          <wp:inline distT="0" distB="0" distL="0" distR="0">
            <wp:extent cx="5667375" cy="7629525"/>
            <wp:effectExtent l="0" t="0" r="9525" b="952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58"/>
                    <a:stretch>
                      <a:fillRect/>
                    </a:stretch>
                  </pic:blipFill>
                  <pic:spPr>
                    <a:xfrm>
                      <a:off x="0" y="0"/>
                      <a:ext cx="5667375" cy="7629525"/>
                    </a:xfrm>
                    <a:prstGeom prst="rect">
                      <a:avLst/>
                    </a:prstGeom>
                  </pic:spPr>
                </pic:pic>
              </a:graphicData>
            </a:graphic>
          </wp:inline>
        </w:drawing>
      </w:r>
      <w:r>
        <w:drawing>
          <wp:inline distT="0" distB="0" distL="0" distR="0">
            <wp:extent cx="5676900" cy="7600950"/>
            <wp:effectExtent l="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59"/>
                    <a:stretch>
                      <a:fillRect/>
                    </a:stretch>
                  </pic:blipFill>
                  <pic:spPr>
                    <a:xfrm>
                      <a:off x="0" y="0"/>
                      <a:ext cx="5676900" cy="7600950"/>
                    </a:xfrm>
                    <a:prstGeom prst="rect">
                      <a:avLst/>
                    </a:prstGeom>
                  </pic:spPr>
                </pic:pic>
              </a:graphicData>
            </a:graphic>
          </wp:inline>
        </w:drawing>
      </w:r>
      <w:r>
        <w:drawing>
          <wp:inline distT="0" distB="0" distL="0" distR="0">
            <wp:extent cx="5715000" cy="7543800"/>
            <wp:effectExtent l="0" t="0" r="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60"/>
                    <a:stretch>
                      <a:fillRect/>
                    </a:stretch>
                  </pic:blipFill>
                  <pic:spPr>
                    <a:xfrm>
                      <a:off x="0" y="0"/>
                      <a:ext cx="5715000" cy="7543800"/>
                    </a:xfrm>
                    <a:prstGeom prst="rect">
                      <a:avLst/>
                    </a:prstGeom>
                  </pic:spPr>
                </pic:pic>
              </a:graphicData>
            </a:graphic>
          </wp:inline>
        </w:drawing>
      </w:r>
      <w:r>
        <w:drawing>
          <wp:inline distT="0" distB="0" distL="0" distR="0">
            <wp:extent cx="5715000" cy="7639050"/>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61"/>
                    <a:stretch>
                      <a:fillRect/>
                    </a:stretch>
                  </pic:blipFill>
                  <pic:spPr>
                    <a:xfrm>
                      <a:off x="0" y="0"/>
                      <a:ext cx="5715000" cy="7639050"/>
                    </a:xfrm>
                    <a:prstGeom prst="rect">
                      <a:avLst/>
                    </a:prstGeom>
                  </pic:spPr>
                </pic:pic>
              </a:graphicData>
            </a:graphic>
          </wp:inline>
        </w:drawing>
      </w:r>
      <w:r>
        <w:drawing>
          <wp:inline distT="0" distB="0" distL="0" distR="0">
            <wp:extent cx="5695950" cy="7629525"/>
            <wp:effectExtent l="0" t="0" r="0" b="9525"/>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62"/>
                    <a:stretch>
                      <a:fillRect/>
                    </a:stretch>
                  </pic:blipFill>
                  <pic:spPr>
                    <a:xfrm>
                      <a:off x="0" y="0"/>
                      <a:ext cx="5695950" cy="7629525"/>
                    </a:xfrm>
                    <a:prstGeom prst="rect">
                      <a:avLst/>
                    </a:prstGeom>
                  </pic:spPr>
                </pic:pic>
              </a:graphicData>
            </a:graphic>
          </wp:inline>
        </w:drawing>
      </w:r>
      <w:r>
        <w:drawing>
          <wp:inline distT="0" distB="0" distL="0" distR="0">
            <wp:extent cx="5676900" cy="7667625"/>
            <wp:effectExtent l="0" t="0" r="0" b="9525"/>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63"/>
                    <a:stretch>
                      <a:fillRect/>
                    </a:stretch>
                  </pic:blipFill>
                  <pic:spPr>
                    <a:xfrm>
                      <a:off x="0" y="0"/>
                      <a:ext cx="5676900" cy="7667625"/>
                    </a:xfrm>
                    <a:prstGeom prst="rect">
                      <a:avLst/>
                    </a:prstGeom>
                  </pic:spPr>
                </pic:pic>
              </a:graphicData>
            </a:graphic>
          </wp:inline>
        </w:drawing>
      </w:r>
    </w:p>
    <w:p>
      <w:pPr>
        <w:spacing w:line="220" w:lineRule="atLeast"/>
        <w:jc w:val="center"/>
        <w:rPr>
          <w:color w:val="FF0000"/>
          <w:sz w:val="24"/>
        </w:rPr>
      </w:pPr>
      <w:r>
        <w:drawing>
          <wp:inline distT="0" distB="0" distL="0" distR="0">
            <wp:extent cx="6210935" cy="811339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64"/>
                    <a:stretch>
                      <a:fillRect/>
                    </a:stretch>
                  </pic:blipFill>
                  <pic:spPr>
                    <a:xfrm>
                      <a:off x="0" y="0"/>
                      <a:ext cx="6210935" cy="8113395"/>
                    </a:xfrm>
                    <a:prstGeom prst="rect">
                      <a:avLst/>
                    </a:prstGeom>
                  </pic:spPr>
                </pic:pic>
              </a:graphicData>
            </a:graphic>
          </wp:inline>
        </w:drawing>
      </w:r>
      <w:r>
        <w:drawing>
          <wp:inline distT="0" distB="0" distL="0" distR="0">
            <wp:extent cx="6210935" cy="813625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65"/>
                    <a:stretch>
                      <a:fillRect/>
                    </a:stretch>
                  </pic:blipFill>
                  <pic:spPr>
                    <a:xfrm>
                      <a:off x="0" y="0"/>
                      <a:ext cx="6210935" cy="8136255"/>
                    </a:xfrm>
                    <a:prstGeom prst="rect">
                      <a:avLst/>
                    </a:prstGeom>
                  </pic:spPr>
                </pic:pic>
              </a:graphicData>
            </a:graphic>
          </wp:inline>
        </w:drawing>
      </w:r>
      <w:r>
        <w:drawing>
          <wp:inline distT="0" distB="0" distL="0" distR="0">
            <wp:extent cx="6210935" cy="813689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66"/>
                    <a:stretch>
                      <a:fillRect/>
                    </a:stretch>
                  </pic:blipFill>
                  <pic:spPr>
                    <a:xfrm>
                      <a:off x="0" y="0"/>
                      <a:ext cx="6210935" cy="8136890"/>
                    </a:xfrm>
                    <a:prstGeom prst="rect">
                      <a:avLst/>
                    </a:prstGeom>
                  </pic:spPr>
                </pic:pic>
              </a:graphicData>
            </a:graphic>
          </wp:inline>
        </w:drawing>
      </w:r>
      <w:r>
        <w:drawing>
          <wp:inline distT="0" distB="0" distL="0" distR="0">
            <wp:extent cx="6105525" cy="8248650"/>
            <wp:effectExtent l="0" t="0" r="9525"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67"/>
                    <a:stretch>
                      <a:fillRect/>
                    </a:stretch>
                  </pic:blipFill>
                  <pic:spPr>
                    <a:xfrm>
                      <a:off x="0" y="0"/>
                      <a:ext cx="6105525" cy="8248650"/>
                    </a:xfrm>
                    <a:prstGeom prst="rect">
                      <a:avLst/>
                    </a:prstGeom>
                  </pic:spPr>
                </pic:pic>
              </a:graphicData>
            </a:graphic>
          </wp:inline>
        </w:drawing>
      </w:r>
      <w:r>
        <w:drawing>
          <wp:inline distT="0" distB="0" distL="0" distR="0">
            <wp:extent cx="6210935" cy="8221345"/>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68"/>
                    <a:stretch>
                      <a:fillRect/>
                    </a:stretch>
                  </pic:blipFill>
                  <pic:spPr>
                    <a:xfrm>
                      <a:off x="0" y="0"/>
                      <a:ext cx="6210935" cy="8221345"/>
                    </a:xfrm>
                    <a:prstGeom prst="rect">
                      <a:avLst/>
                    </a:prstGeom>
                  </pic:spPr>
                </pic:pic>
              </a:graphicData>
            </a:graphic>
          </wp:inline>
        </w:drawing>
      </w:r>
      <w:r>
        <w:drawing>
          <wp:inline distT="0" distB="0" distL="0" distR="0">
            <wp:extent cx="6210935" cy="818959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69"/>
                    <a:stretch>
                      <a:fillRect/>
                    </a:stretch>
                  </pic:blipFill>
                  <pic:spPr>
                    <a:xfrm>
                      <a:off x="0" y="0"/>
                      <a:ext cx="6210935" cy="8189595"/>
                    </a:xfrm>
                    <a:prstGeom prst="rect">
                      <a:avLst/>
                    </a:prstGeom>
                  </pic:spPr>
                </pic:pic>
              </a:graphicData>
            </a:graphic>
          </wp:inline>
        </w:drawing>
      </w:r>
      <w:r>
        <w:drawing>
          <wp:inline distT="0" distB="0" distL="0" distR="0">
            <wp:extent cx="6210935" cy="817753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70"/>
                    <a:stretch>
                      <a:fillRect/>
                    </a:stretch>
                  </pic:blipFill>
                  <pic:spPr>
                    <a:xfrm>
                      <a:off x="0" y="0"/>
                      <a:ext cx="6210935" cy="8177530"/>
                    </a:xfrm>
                    <a:prstGeom prst="rect">
                      <a:avLst/>
                    </a:prstGeom>
                  </pic:spPr>
                </pic:pic>
              </a:graphicData>
            </a:graphic>
          </wp:inline>
        </w:drawing>
      </w:r>
      <w:r>
        <w:drawing>
          <wp:inline distT="0" distB="0" distL="0" distR="0">
            <wp:extent cx="6162675" cy="8267700"/>
            <wp:effectExtent l="0" t="0" r="9525"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71"/>
                    <a:stretch>
                      <a:fillRect/>
                    </a:stretch>
                  </pic:blipFill>
                  <pic:spPr>
                    <a:xfrm>
                      <a:off x="0" y="0"/>
                      <a:ext cx="6162675" cy="8267700"/>
                    </a:xfrm>
                    <a:prstGeom prst="rect">
                      <a:avLst/>
                    </a:prstGeom>
                  </pic:spPr>
                </pic:pic>
              </a:graphicData>
            </a:graphic>
          </wp:inline>
        </w:drawing>
      </w:r>
      <w:r>
        <w:drawing>
          <wp:inline distT="0" distB="0" distL="0" distR="0">
            <wp:extent cx="6172200" cy="8258175"/>
            <wp:effectExtent l="0" t="0" r="0" b="952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72"/>
                    <a:stretch>
                      <a:fillRect/>
                    </a:stretch>
                  </pic:blipFill>
                  <pic:spPr>
                    <a:xfrm>
                      <a:off x="0" y="0"/>
                      <a:ext cx="6172200" cy="8258175"/>
                    </a:xfrm>
                    <a:prstGeom prst="rect">
                      <a:avLst/>
                    </a:prstGeom>
                  </pic:spPr>
                </pic:pic>
              </a:graphicData>
            </a:graphic>
          </wp:inline>
        </w:drawing>
      </w:r>
    </w:p>
    <w:p>
      <w:pPr>
        <w:rPr>
          <w:b/>
          <w:color w:val="FF0000"/>
          <w:sz w:val="28"/>
        </w:rPr>
        <w:sectPr>
          <w:footerReference r:id="rId11" w:type="default"/>
          <w:pgSz w:w="11906" w:h="16838"/>
          <w:pgMar w:top="1588" w:right="991" w:bottom="1588" w:left="1134" w:header="851" w:footer="992" w:gutter="0"/>
          <w:cols w:space="720" w:num="1"/>
          <w:docGrid w:linePitch="312" w:charSpace="0"/>
        </w:sectPr>
      </w:pPr>
    </w:p>
    <w:p>
      <w:pPr>
        <w:rPr>
          <w:b/>
          <w:sz w:val="28"/>
        </w:rPr>
      </w:pPr>
      <w:r>
        <w:rPr>
          <w:b/>
          <w:sz w:val="28"/>
        </w:rPr>
        <w:t>附件</w:t>
      </w:r>
      <w:r>
        <w:rPr>
          <w:rFonts w:hint="eastAsia"/>
          <w:b/>
          <w:sz w:val="28"/>
        </w:rPr>
        <w:t>3</w:t>
      </w:r>
      <w:r>
        <w:rPr>
          <w:b/>
          <w:sz w:val="28"/>
        </w:rPr>
        <w:t xml:space="preserve"> </w:t>
      </w:r>
      <w:r>
        <w:rPr>
          <w:rFonts w:hint="eastAsia"/>
          <w:b/>
          <w:sz w:val="28"/>
        </w:rPr>
        <w:t xml:space="preserve">  营业执照</w:t>
      </w:r>
    </w:p>
    <w:p>
      <w:pPr>
        <w:jc w:val="center"/>
        <w:rPr>
          <w:b/>
          <w:color w:val="FF0000"/>
          <w:sz w:val="28"/>
        </w:rPr>
      </w:pPr>
      <w:r>
        <w:drawing>
          <wp:inline distT="0" distB="0" distL="0" distR="0">
            <wp:extent cx="6038850" cy="8534400"/>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73"/>
                    <a:stretch>
                      <a:fillRect/>
                    </a:stretch>
                  </pic:blipFill>
                  <pic:spPr>
                    <a:xfrm>
                      <a:off x="0" y="0"/>
                      <a:ext cx="6038850" cy="8534400"/>
                    </a:xfrm>
                    <a:prstGeom prst="rect">
                      <a:avLst/>
                    </a:prstGeom>
                  </pic:spPr>
                </pic:pic>
              </a:graphicData>
            </a:graphic>
          </wp:inline>
        </w:drawing>
      </w:r>
    </w:p>
    <w:p>
      <w:pPr>
        <w:rPr>
          <w:b/>
          <w:color w:val="FF0000"/>
          <w:sz w:val="28"/>
        </w:rPr>
        <w:sectPr>
          <w:pgSz w:w="11906" w:h="16838"/>
          <w:pgMar w:top="1135" w:right="991" w:bottom="1588" w:left="993" w:header="851" w:footer="992" w:gutter="0"/>
          <w:cols w:space="720" w:num="1"/>
          <w:docGrid w:linePitch="312" w:charSpace="0"/>
        </w:sectPr>
      </w:pPr>
    </w:p>
    <w:p>
      <w:pPr>
        <w:rPr>
          <w:b/>
          <w:sz w:val="28"/>
        </w:rPr>
      </w:pPr>
      <w:r>
        <w:rPr>
          <w:b/>
          <w:sz w:val="28"/>
        </w:rPr>
        <w:t>附件</w:t>
      </w:r>
      <w:r>
        <w:rPr>
          <w:rFonts w:hint="eastAsia"/>
          <w:b/>
          <w:sz w:val="28"/>
        </w:rPr>
        <w:t>4   法人身份证</w:t>
      </w:r>
    </w:p>
    <w:p>
      <w:pPr>
        <w:rPr>
          <w:b/>
          <w:color w:val="FF0000"/>
          <w:sz w:val="28"/>
        </w:rPr>
      </w:pPr>
    </w:p>
    <w:p>
      <w:pPr>
        <w:jc w:val="center"/>
        <w:rPr>
          <w:b/>
          <w:color w:val="FF0000"/>
          <w:sz w:val="28"/>
        </w:rPr>
      </w:pPr>
      <w:r>
        <w:drawing>
          <wp:inline distT="0" distB="0" distL="0" distR="0">
            <wp:extent cx="5808345" cy="7696200"/>
            <wp:effectExtent l="0" t="0" r="1905"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74"/>
                    <a:stretch>
                      <a:fillRect/>
                    </a:stretch>
                  </pic:blipFill>
                  <pic:spPr>
                    <a:xfrm>
                      <a:off x="0" y="0"/>
                      <a:ext cx="5812936" cy="7701682"/>
                    </a:xfrm>
                    <a:prstGeom prst="rect">
                      <a:avLst/>
                    </a:prstGeom>
                  </pic:spPr>
                </pic:pic>
              </a:graphicData>
            </a:graphic>
          </wp:inline>
        </w:drawing>
      </w:r>
    </w:p>
    <w:p>
      <w:pPr>
        <w:rPr>
          <w:b/>
          <w:color w:val="FF0000"/>
          <w:sz w:val="28"/>
        </w:rPr>
      </w:pPr>
    </w:p>
    <w:p>
      <w:pPr>
        <w:rPr>
          <w:b/>
          <w:color w:val="FF0000"/>
          <w:sz w:val="28"/>
        </w:rPr>
      </w:pPr>
    </w:p>
    <w:p>
      <w:pPr>
        <w:rPr>
          <w:b/>
          <w:color w:val="FF0000"/>
          <w:sz w:val="28"/>
        </w:rPr>
        <w:sectPr>
          <w:pgSz w:w="11906" w:h="16838"/>
          <w:pgMar w:top="1588" w:right="991" w:bottom="1588" w:left="993" w:header="851" w:footer="992" w:gutter="0"/>
          <w:cols w:space="720" w:num="1"/>
          <w:docGrid w:linePitch="312" w:charSpace="0"/>
        </w:sectPr>
      </w:pPr>
    </w:p>
    <w:p>
      <w:pPr>
        <w:rPr>
          <w:b/>
          <w:color w:val="FF0000"/>
          <w:sz w:val="28"/>
        </w:rPr>
      </w:pPr>
      <w:r>
        <w:rPr>
          <w:b/>
          <w:color w:val="FF0000"/>
          <w:sz w:val="28"/>
        </w:rPr>
        <w:t>附件</w:t>
      </w:r>
      <w:r>
        <w:rPr>
          <w:rFonts w:hint="eastAsia"/>
          <w:b/>
          <w:color w:val="FF0000"/>
          <w:sz w:val="28"/>
        </w:rPr>
        <w:t>5   市政府常务会议决定事项通知书</w:t>
      </w:r>
    </w:p>
    <w:p>
      <w:pPr>
        <w:jc w:val="center"/>
        <w:rPr>
          <w:b/>
          <w:color w:val="FF0000"/>
          <w:sz w:val="28"/>
        </w:rPr>
      </w:pPr>
      <w:r>
        <w:drawing>
          <wp:inline distT="0" distB="0" distL="0" distR="0">
            <wp:extent cx="5591175" cy="8143875"/>
            <wp:effectExtent l="0" t="0" r="9525" b="952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75"/>
                    <a:stretch>
                      <a:fillRect/>
                    </a:stretch>
                  </pic:blipFill>
                  <pic:spPr>
                    <a:xfrm>
                      <a:off x="0" y="0"/>
                      <a:ext cx="5591175" cy="8143875"/>
                    </a:xfrm>
                    <a:prstGeom prst="rect">
                      <a:avLst/>
                    </a:prstGeom>
                  </pic:spPr>
                </pic:pic>
              </a:graphicData>
            </a:graphic>
          </wp:inline>
        </w:drawing>
      </w:r>
    </w:p>
    <w:p>
      <w:pPr>
        <w:widowControl/>
        <w:jc w:val="center"/>
        <w:rPr>
          <w:rFonts w:ascii="宋体" w:hAnsi="宋体" w:cs="宋体"/>
          <w:color w:val="FF0000"/>
          <w:kern w:val="0"/>
          <w:sz w:val="24"/>
        </w:rPr>
        <w:sectPr>
          <w:pgSz w:w="11906" w:h="16838"/>
          <w:pgMar w:top="1588" w:right="991" w:bottom="1588" w:left="993" w:header="851" w:footer="992" w:gutter="0"/>
          <w:cols w:space="720" w:num="1"/>
          <w:docGrid w:linePitch="312" w:charSpace="0"/>
        </w:sectPr>
      </w:pPr>
    </w:p>
    <w:p>
      <w:pPr>
        <w:rPr>
          <w:b/>
          <w:sz w:val="28"/>
        </w:rPr>
      </w:pPr>
      <w:r>
        <w:rPr>
          <w:b/>
          <w:sz w:val="28"/>
        </w:rPr>
        <w:t>附件</w:t>
      </w:r>
      <w:r>
        <w:rPr>
          <w:rFonts w:hint="eastAsia"/>
          <w:b/>
          <w:sz w:val="28"/>
        </w:rPr>
        <w:t>6   市委领导批示事项办理通知书</w:t>
      </w:r>
    </w:p>
    <w:p>
      <w:pPr>
        <w:jc w:val="center"/>
        <w:rPr>
          <w:b/>
          <w:color w:val="FF0000"/>
          <w:sz w:val="28"/>
        </w:rPr>
      </w:pPr>
      <w:r>
        <w:drawing>
          <wp:inline distT="0" distB="0" distL="0" distR="0">
            <wp:extent cx="5638800" cy="7762875"/>
            <wp:effectExtent l="0" t="0" r="0" b="9525"/>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76"/>
                    <a:stretch>
                      <a:fillRect/>
                    </a:stretch>
                  </pic:blipFill>
                  <pic:spPr>
                    <a:xfrm>
                      <a:off x="0" y="0"/>
                      <a:ext cx="5638800" cy="7762875"/>
                    </a:xfrm>
                    <a:prstGeom prst="rect">
                      <a:avLst/>
                    </a:prstGeom>
                  </pic:spPr>
                </pic:pic>
              </a:graphicData>
            </a:graphic>
          </wp:inline>
        </w:drawing>
      </w:r>
      <w:r>
        <w:t xml:space="preserve"> </w:t>
      </w:r>
      <w:r>
        <w:drawing>
          <wp:inline distT="0" distB="0" distL="0" distR="0">
            <wp:extent cx="5676900" cy="7458075"/>
            <wp:effectExtent l="0" t="0" r="0" b="9525"/>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77"/>
                    <a:stretch>
                      <a:fillRect/>
                    </a:stretch>
                  </pic:blipFill>
                  <pic:spPr>
                    <a:xfrm>
                      <a:off x="0" y="0"/>
                      <a:ext cx="5676900" cy="7458075"/>
                    </a:xfrm>
                    <a:prstGeom prst="rect">
                      <a:avLst/>
                    </a:prstGeom>
                  </pic:spPr>
                </pic:pic>
              </a:graphicData>
            </a:graphic>
          </wp:inline>
        </w:drawing>
      </w:r>
      <w:r>
        <w:t xml:space="preserve"> </w:t>
      </w:r>
      <w:r>
        <w:drawing>
          <wp:inline distT="0" distB="0" distL="0" distR="0">
            <wp:extent cx="5353050" cy="7905750"/>
            <wp:effectExtent l="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78"/>
                    <a:stretch>
                      <a:fillRect/>
                    </a:stretch>
                  </pic:blipFill>
                  <pic:spPr>
                    <a:xfrm>
                      <a:off x="0" y="0"/>
                      <a:ext cx="5353050" cy="7905750"/>
                    </a:xfrm>
                    <a:prstGeom prst="rect">
                      <a:avLst/>
                    </a:prstGeom>
                  </pic:spPr>
                </pic:pic>
              </a:graphicData>
            </a:graphic>
          </wp:inline>
        </w:drawing>
      </w:r>
    </w:p>
    <w:p>
      <w:pPr>
        <w:widowControl/>
        <w:jc w:val="center"/>
        <w:rPr>
          <w:rFonts w:hint="eastAsia" w:ascii="宋体" w:hAnsi="宋体" w:eastAsia="宋体" w:cs="宋体"/>
          <w:color w:val="FF0000"/>
          <w:kern w:val="0"/>
          <w:sz w:val="24"/>
          <w:lang w:eastAsia="zh-CN"/>
        </w:rPr>
      </w:pPr>
      <w:r>
        <w:drawing>
          <wp:inline distT="0" distB="0" distL="0" distR="0">
            <wp:extent cx="5495925" cy="7400925"/>
            <wp:effectExtent l="0" t="0" r="9525" b="9525"/>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79"/>
                    <a:stretch>
                      <a:fillRect/>
                    </a:stretch>
                  </pic:blipFill>
                  <pic:spPr>
                    <a:xfrm>
                      <a:off x="0" y="0"/>
                      <a:ext cx="5495925" cy="7400925"/>
                    </a:xfrm>
                    <a:prstGeom prst="rect">
                      <a:avLst/>
                    </a:prstGeom>
                  </pic:spPr>
                </pic:pic>
              </a:graphicData>
            </a:graphic>
          </wp:inline>
        </w:drawing>
      </w:r>
      <w:r>
        <w:t xml:space="preserve"> </w:t>
      </w:r>
      <w:r>
        <w:drawing>
          <wp:inline distT="0" distB="0" distL="0" distR="0">
            <wp:extent cx="5095875" cy="6905625"/>
            <wp:effectExtent l="0" t="0" r="9525" b="9525"/>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80"/>
                    <a:stretch>
                      <a:fillRect/>
                    </a:stretch>
                  </pic:blipFill>
                  <pic:spPr>
                    <a:xfrm>
                      <a:off x="0" y="0"/>
                      <a:ext cx="5095875" cy="6905625"/>
                    </a:xfrm>
                    <a:prstGeom prst="rect">
                      <a:avLst/>
                    </a:prstGeom>
                  </pic:spPr>
                </pic:pic>
              </a:graphicData>
            </a:graphic>
          </wp:inline>
        </w:drawing>
      </w:r>
      <w:r>
        <w:rPr>
          <w:rFonts w:hint="eastAsia" w:ascii="宋体" w:hAnsi="宋体" w:eastAsia="宋体" w:cs="宋体"/>
          <w:color w:val="FF0000"/>
          <w:kern w:val="0"/>
          <w:sz w:val="24"/>
          <w:lang w:eastAsia="zh-CN"/>
        </w:rPr>
        <w:drawing>
          <wp:inline distT="0" distB="0" distL="114300" distR="114300">
            <wp:extent cx="6109970" cy="8663940"/>
            <wp:effectExtent l="0" t="0" r="5080" b="3810"/>
            <wp:docPr id="107" name="图片 107" descr="78da06802fbda910fa5b84cfe680f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78da06802fbda910fa5b84cfe680fd7"/>
                    <pic:cNvPicPr>
                      <a:picLocks noChangeAspect="1"/>
                    </pic:cNvPicPr>
                  </pic:nvPicPr>
                  <pic:blipFill>
                    <a:blip r:embed="rId81"/>
                    <a:stretch>
                      <a:fillRect/>
                    </a:stretch>
                  </pic:blipFill>
                  <pic:spPr>
                    <a:xfrm>
                      <a:off x="0" y="0"/>
                      <a:ext cx="6109970" cy="8663940"/>
                    </a:xfrm>
                    <a:prstGeom prst="rect">
                      <a:avLst/>
                    </a:prstGeom>
                  </pic:spPr>
                </pic:pic>
              </a:graphicData>
            </a:graphic>
          </wp:inline>
        </w:drawing>
      </w:r>
    </w:p>
    <w:sectPr>
      <w:pgSz w:w="11906" w:h="16838"/>
      <w:pgMar w:top="1588" w:right="991" w:bottom="1588" w:left="993" w:header="851" w:footer="992" w:gutter="0"/>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楷体_GB2312">
    <w:altName w:val="楷体"/>
    <w:panose1 w:val="00000000000000000000"/>
    <w:charset w:val="86"/>
    <w:family w:val="modern"/>
    <w:pitch w:val="default"/>
    <w:sig w:usb0="00000000" w:usb1="00000000" w:usb2="00000010" w:usb3="00000000" w:csb0="00040000" w:csb1="00000000"/>
  </w:font>
  <w:font w:name="Impact">
    <w:panose1 w:val="020B0806030902050204"/>
    <w:charset w:val="00"/>
    <w:family w:val="swiss"/>
    <w:pitch w:val="default"/>
    <w:sig w:usb0="00000287" w:usb1="00000000" w:usb2="00000000" w:usb3="00000000" w:csb0="2000009F" w:csb1="DFD70000"/>
  </w:font>
  <w:font w:name="隶书">
    <w:panose1 w:val="02010509060101010101"/>
    <w:charset w:val="86"/>
    <w:family w:val="modern"/>
    <w:pitch w:val="default"/>
    <w:sig w:usb0="00000001" w:usb1="080E0000" w:usb2="00000000" w:usb3="00000000" w:csb0="00040000" w:csb1="00000000"/>
  </w:font>
  <w:font w:name="ˎ̥">
    <w:altName w:val="Times New Roman"/>
    <w:panose1 w:val="00000000000000000000"/>
    <w:charset w:val="00"/>
    <w:family w:val="auto"/>
    <w:pitch w:val="default"/>
    <w:sig w:usb0="00000000" w:usb1="00000000" w:usb2="00000000" w:usb3="00000000" w:csb0="00040001" w:csb1="00000000"/>
  </w:font>
  <w:font w:name="仿宋体">
    <w:altName w:val="宋体"/>
    <w:panose1 w:val="00000000000000000000"/>
    <w:charset w:val="86"/>
    <w:family w:val="roman"/>
    <w:pitch w:val="default"/>
    <w:sig w:usb0="00000000" w:usb1="00000000" w:usb2="00000010" w:usb3="00000000" w:csb0="00040000" w:csb1="00000000"/>
  </w:font>
  <w:font w:name="Verdana">
    <w:panose1 w:val="020B0604030504040204"/>
    <w:charset w:val="00"/>
    <w:family w:val="swiss"/>
    <w:pitch w:val="default"/>
    <w:sig w:usb0="A10006FF" w:usb1="4000205B" w:usb2="00000010" w:usb3="00000000" w:csb0="2000019F" w:csb1="00000000"/>
  </w:font>
  <w:font w:name="仿宋_GB2312">
    <w:altName w:val="仿宋"/>
    <w:panose1 w:val="02010609030101010101"/>
    <w:charset w:val="86"/>
    <w:family w:val="modern"/>
    <w:pitch w:val="default"/>
    <w:sig w:usb0="00000000" w:usb1="00000000" w:usb2="00000010" w:usb3="00000000" w:csb0="00040000" w:csb1="00000000"/>
  </w:font>
  <w:font w:name="”“Times New Roman”“">
    <w:altName w:val="宋体"/>
    <w:panose1 w:val="00000000000000000000"/>
    <w:charset w:val="86"/>
    <w:family w:val="roman"/>
    <w:pitch w:val="default"/>
    <w:sig w:usb0="00000000" w:usb1="00000000" w:usb2="00000010" w:usb3="00000000" w:csb0="00040000" w:csb1="00000000"/>
  </w:font>
  <w:font w:name="Tms Rmn">
    <w:altName w:val="Segoe Print"/>
    <w:panose1 w:val="02020603040505020304"/>
    <w:charset w:val="00"/>
    <w:family w:val="roman"/>
    <w:pitch w:val="default"/>
    <w:sig w:usb0="00000000" w:usb1="00000000" w:usb2="00000000" w:usb3="00000000" w:csb0="00000001" w:csb1="00000000"/>
  </w:font>
  <w:font w:name="等线">
    <w:altName w:val="Arial Unicode MS"/>
    <w:panose1 w:val="02010600030101010101"/>
    <w:charset w:val="86"/>
    <w:family w:val="auto"/>
    <w:pitch w:val="default"/>
    <w:sig w:usb0="00000000" w:usb1="00000000" w:usb2="00000016" w:usb3="00000000" w:csb0="0004000F" w:csb1="00000000"/>
  </w:font>
  <w:font w:name="Segoe UI Emoji">
    <w:altName w:val="Segoe UI"/>
    <w:panose1 w:val="020B0502040204020203"/>
    <w:charset w:val="00"/>
    <w:family w:val="swiss"/>
    <w:pitch w:val="default"/>
    <w:sig w:usb0="00000000" w:usb1="00000000" w:usb2="00000000" w:usb3="00000000" w:csb0="00000001" w:csb1="00000000"/>
  </w:font>
  <w:font w:name="Wingdings 2">
    <w:panose1 w:val="05020102010507070707"/>
    <w:charset w:val="02"/>
    <w:family w:val="roman"/>
    <w:pitch w:val="default"/>
    <w:sig w:usb0="00000000" w:usb1="00000000" w:usb2="00000000" w:usb3="00000000" w:csb0="80000000" w:csb1="00000000"/>
  </w:font>
  <w:font w:name="新宋体">
    <w:panose1 w:val="02010609030101010101"/>
    <w:charset w:val="86"/>
    <w:family w:val="modern"/>
    <w:pitch w:val="default"/>
    <w:sig w:usb0="00000003" w:usb1="288F0000" w:usb2="00000006" w:usb3="00000000" w:csb0="00040001" w:csb1="00000000"/>
  </w:font>
  <w:font w:name="等线">
    <w:altName w:val="Arial Unicode MS"/>
    <w:panose1 w:val="00000000000000000000"/>
    <w:charset w:val="00"/>
    <w:family w:val="auto"/>
    <w:pitch w:val="default"/>
    <w:sig w:usb0="00000000" w:usb1="00000000" w:usb2="00000000" w:usb3="00000000" w:csb0="00000000" w:csb1="00000000"/>
  </w:font>
  <w:font w:name="Arial Unicode MS">
    <w:panose1 w:val="020B0604020202020204"/>
    <w:charset w:val="86"/>
    <w:family w:val="auto"/>
    <w:pitch w:val="default"/>
    <w:sig w:usb0="FFFFFFFF" w:usb1="E9FFFFFF" w:usb2="0000003F" w:usb3="00000000" w:csb0="603F01FF" w:csb1="FFFF0000"/>
  </w:font>
  <w:font w:name="楷体">
    <w:panose1 w:val="02010609060101010101"/>
    <w:charset w:val="86"/>
    <w:family w:val="auto"/>
    <w:pitch w:val="default"/>
    <w:sig w:usb0="800002BF" w:usb1="38CF7CFA" w:usb2="00000016" w:usb3="00000000" w:csb0="00040001" w:csb1="00000000"/>
  </w:font>
  <w:font w:name="Segoe UI">
    <w:panose1 w:val="020B0502040204020203"/>
    <w:charset w:val="00"/>
    <w:family w:val="auto"/>
    <w:pitch w:val="default"/>
    <w:sig w:usb0="E10022FF" w:usb1="C000E47F" w:usb2="00000029" w:usb3="00000000" w:csb0="200001DF" w:csb1="2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framePr w:wrap="around" w:vAnchor="text" w:hAnchor="margin" w:xAlign="center" w:y="1"/>
      <w:rPr>
        <w:rStyle w:val="37"/>
      </w:rPr>
    </w:pPr>
    <w:r>
      <w:fldChar w:fldCharType="begin"/>
    </w:r>
    <w:r>
      <w:rPr>
        <w:rStyle w:val="37"/>
      </w:rPr>
      <w:instrText xml:space="preserve">PAGE  </w:instrText>
    </w:r>
    <w:r>
      <w:fldChar w:fldCharType="separate"/>
    </w:r>
    <w:r>
      <w:rPr>
        <w:rStyle w:val="37"/>
      </w:rPr>
      <w:t>1</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framePr w:wrap="around" w:vAnchor="text" w:hAnchor="margin" w:xAlign="center" w:y="1"/>
      <w:jc w:val="center"/>
      <w:rPr>
        <w:rStyle w:val="37"/>
      </w:rPr>
    </w:pPr>
    <w:r>
      <w:fldChar w:fldCharType="begin"/>
    </w:r>
    <w:r>
      <w:rPr>
        <w:rStyle w:val="37"/>
      </w:rPr>
      <w:instrText xml:space="preserve">PAGE  </w:instrText>
    </w:r>
    <w:r>
      <w:fldChar w:fldCharType="separate"/>
    </w:r>
    <w:r>
      <w:rPr>
        <w:rStyle w:val="37"/>
      </w:rPr>
      <w:t>25</w:t>
    </w:r>
    <w: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framePr w:wrap="around" w:vAnchor="text" w:hAnchor="margin" w:xAlign="center" w:y="1"/>
      <w:rPr>
        <w:rStyle w:val="37"/>
      </w:rPr>
    </w:pPr>
    <w:r>
      <w:fldChar w:fldCharType="begin"/>
    </w:r>
    <w:r>
      <w:rPr>
        <w:rStyle w:val="37"/>
      </w:rPr>
      <w:instrText xml:space="preserve">PAGE  </w:instrText>
    </w:r>
    <w:r>
      <w:fldChar w:fldCharType="separate"/>
    </w:r>
    <w:r>
      <w:rPr>
        <w:rStyle w:val="37"/>
      </w:rPr>
      <w:t>36</w:t>
    </w:r>
    <w:r>
      <w:fldChar w:fldCharType="end"/>
    </w:r>
  </w:p>
  <w:p>
    <w:pPr>
      <w:pStyle w:val="23"/>
      <w:framePr w:wrap="around" w:vAnchor="text" w:hAnchor="page" w:x="1314" w:y="-51"/>
      <w:rPr>
        <w:rStyle w:val="37"/>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framePr w:wrap="around" w:vAnchor="text" w:hAnchor="margin" w:xAlign="center" w:y="1"/>
      <w:jc w:val="center"/>
      <w:rPr>
        <w:rStyle w:val="37"/>
      </w:rPr>
    </w:pPr>
    <w:r>
      <w:fldChar w:fldCharType="begin"/>
    </w:r>
    <w:r>
      <w:rPr>
        <w:rStyle w:val="37"/>
      </w:rPr>
      <w:instrText xml:space="preserve">PAGE  </w:instrText>
    </w:r>
    <w:r>
      <w:fldChar w:fldCharType="separate"/>
    </w:r>
    <w:r>
      <w:rPr>
        <w:rStyle w:val="37"/>
      </w:rPr>
      <w:t>40</w:t>
    </w:r>
    <w:r>
      <w:fldChar w:fldCharType="end"/>
    </w:r>
  </w:p>
  <w:p>
    <w:pPr>
      <w:pStyle w:val="23"/>
      <w:framePr w:wrap="around" w:vAnchor="text" w:hAnchor="margin" w:xAlign="center" w:y="1"/>
      <w:rPr>
        <w:rStyle w:val="37"/>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framePr w:wrap="around" w:vAnchor="text" w:hAnchor="margin" w:xAlign="center" w:y="1"/>
      <w:jc w:val="center"/>
      <w:rPr>
        <w:rStyle w:val="37"/>
      </w:rPr>
    </w:pPr>
    <w:r>
      <w:fldChar w:fldCharType="begin"/>
    </w:r>
    <w:r>
      <w:rPr>
        <w:rStyle w:val="37"/>
      </w:rPr>
      <w:instrText xml:space="preserve"> PAGE </w:instrText>
    </w:r>
    <w:r>
      <w:fldChar w:fldCharType="separate"/>
    </w:r>
    <w:r>
      <w:rPr>
        <w:rStyle w:val="37"/>
      </w:rPr>
      <w:t>44</w:t>
    </w:r>
    <w:r>
      <w:fldChar w:fldCharType="end"/>
    </w:r>
  </w:p>
  <w:p>
    <w:pPr>
      <w:pStyle w:val="23"/>
      <w:framePr w:wrap="around" w:vAnchor="text" w:hAnchor="margin" w:xAlign="center" w:y="1"/>
      <w:rPr>
        <w:rStyle w:val="37"/>
      </w:rPr>
    </w:pPr>
  </w:p>
  <w:p>
    <w:pPr>
      <w:pStyle w:val="23"/>
      <w:jc w:val="center"/>
      <w:rPr>
        <w:rStyle w:val="37"/>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jc w:val="center"/>
      <w:rPr>
        <w:rStyle w:val="37"/>
      </w:rPr>
    </w:pPr>
    <w:r>
      <w:rPr>
        <w:rStyle w:val="37"/>
        <w:rFonts w:hint="eastAsia"/>
      </w:rPr>
      <w:t>30</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jc w:val="center"/>
      <w:rPr>
        <w:rStyle w:val="37"/>
      </w:rPr>
    </w:pPr>
    <w:r>
      <w:fldChar w:fldCharType="begin"/>
    </w:r>
    <w:r>
      <w:instrText xml:space="preserve">PAGE   \* MERGEFORMAT</w:instrText>
    </w:r>
    <w:r>
      <w:fldChar w:fldCharType="separate"/>
    </w:r>
    <w:r>
      <w:rPr>
        <w:lang w:val="zh-CN"/>
      </w:rPr>
      <w:t>47</w:t>
    </w:r>
    <w:r>
      <w:rPr>
        <w:lang w:val="zh-CN"/>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jc w:val="center"/>
      <w:rPr>
        <w:rStyle w:val="37"/>
      </w:rPr>
    </w:pPr>
    <w:r>
      <w:fldChar w:fldCharType="begin"/>
    </w:r>
    <w:r>
      <w:instrText xml:space="preserve">PAGE   \* MERGEFORMAT</w:instrText>
    </w:r>
    <w:r>
      <w:fldChar w:fldCharType="separate"/>
    </w:r>
    <w:r>
      <w:rPr>
        <w:lang w:val="zh-CN"/>
      </w:rPr>
      <w:t>47</w:t>
    </w:r>
    <w:r>
      <w:rPr>
        <w:lang w:val="zh-CN"/>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framePr w:wrap="around" w:vAnchor="text" w:hAnchor="margin" w:xAlign="center" w:y="1"/>
      <w:rPr>
        <w:rStyle w:val="37"/>
      </w:rPr>
    </w:pPr>
  </w:p>
  <w:p>
    <w:pPr>
      <w:pStyle w:val="23"/>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9F76C17"/>
    <w:multiLevelType w:val="multilevel"/>
    <w:tmpl w:val="69F76C17"/>
    <w:lvl w:ilvl="0" w:tentative="0">
      <w:start w:val="1"/>
      <w:numFmt w:val="chineseCountingThousand"/>
      <w:suff w:val="space"/>
      <w:lvlText w:val="第%1章"/>
      <w:lvlJc w:val="left"/>
      <w:pPr>
        <w:ind w:left="0" w:firstLine="0"/>
      </w:pPr>
      <w:rPr>
        <w:rFonts w:hint="eastAsia" w:ascii="隶书" w:eastAsia="隶书"/>
        <w:b/>
        <w:i w:val="0"/>
        <w:color w:val="000000"/>
        <w:sz w:val="36"/>
      </w:rPr>
    </w:lvl>
    <w:lvl w:ilvl="1" w:tentative="0">
      <w:start w:val="1"/>
      <w:numFmt w:val="chineseCountingThousand"/>
      <w:suff w:val="nothing"/>
      <w:lvlText w:val="%2."/>
      <w:lvlJc w:val="left"/>
      <w:pPr>
        <w:ind w:left="425" w:hanging="425"/>
      </w:pPr>
      <w:rPr>
        <w:rFonts w:hint="eastAsia"/>
      </w:rPr>
    </w:lvl>
    <w:lvl w:ilvl="2" w:tentative="0">
      <w:start w:val="1"/>
      <w:numFmt w:val="chineseCountingThousand"/>
      <w:suff w:val="nothing"/>
      <w:lvlText w:val="(%3)."/>
      <w:lvlJc w:val="left"/>
      <w:pPr>
        <w:ind w:left="0" w:firstLine="0"/>
      </w:pPr>
      <w:rPr>
        <w:rFonts w:hint="eastAsia" w:ascii="楷体_GB2312" w:eastAsia="楷体_GB2312"/>
      </w:rPr>
    </w:lvl>
    <w:lvl w:ilvl="3" w:tentative="0">
      <w:start w:val="1"/>
      <w:numFmt w:val="decimal"/>
      <w:pStyle w:val="5"/>
      <w:suff w:val="nothing"/>
      <w:lvlText w:val="%4."/>
      <w:lvlJc w:val="left"/>
      <w:pPr>
        <w:ind w:left="0" w:firstLine="0"/>
      </w:pPr>
      <w:rPr>
        <w:rFonts w:hint="eastAsia" w:ascii="宋体" w:eastAsia="宋体"/>
      </w:rPr>
    </w:lvl>
    <w:lvl w:ilvl="4" w:tentative="0">
      <w:start w:val="1"/>
      <w:numFmt w:val="decimal"/>
      <w:pStyle w:val="6"/>
      <w:suff w:val="nothing"/>
      <w:lvlText w:val="(%5)."/>
      <w:lvlJc w:val="left"/>
      <w:pPr>
        <w:ind w:left="0" w:firstLine="0"/>
      </w:pPr>
      <w:rPr>
        <w:rFonts w:hint="eastAsia" w:ascii="宋体" w:eastAsia="宋体"/>
      </w:rPr>
    </w:lvl>
    <w:lvl w:ilvl="5" w:tentative="0">
      <w:start w:val="1"/>
      <w:numFmt w:val="upperLetter"/>
      <w:pStyle w:val="8"/>
      <w:lvlText w:val="%6."/>
      <w:lvlJc w:val="left"/>
      <w:pPr>
        <w:tabs>
          <w:tab w:val="left" w:pos="0"/>
        </w:tabs>
        <w:ind w:left="0" w:firstLine="0"/>
      </w:pPr>
      <w:rPr>
        <w:rFonts w:hint="eastAsia" w:ascii="宋体" w:eastAsia="宋体"/>
      </w:rPr>
    </w:lvl>
    <w:lvl w:ilvl="6" w:tentative="0">
      <w:start w:val="1"/>
      <w:numFmt w:val="decimal"/>
      <w:pStyle w:val="9"/>
      <w:lvlText w:val="%7"/>
      <w:lvlJc w:val="left"/>
      <w:pPr>
        <w:tabs>
          <w:tab w:val="left" w:pos="0"/>
        </w:tabs>
        <w:ind w:left="0" w:firstLine="0"/>
      </w:pPr>
      <w:rPr>
        <w:rFonts w:hint="default" w:ascii="Times New Roman" w:hAnsi="Times New Roman"/>
      </w:rPr>
    </w:lvl>
    <w:lvl w:ilvl="7" w:tentative="0">
      <w:start w:val="1"/>
      <w:numFmt w:val="decimal"/>
      <w:pStyle w:val="10"/>
      <w:lvlText w:val="%8"/>
      <w:lvlJc w:val="left"/>
      <w:pPr>
        <w:tabs>
          <w:tab w:val="left" w:pos="0"/>
        </w:tabs>
        <w:ind w:left="0" w:firstLine="0"/>
      </w:pPr>
      <w:rPr>
        <w:rFonts w:hint="default" w:ascii="Times New Roman" w:hAnsi="Times New Roman"/>
      </w:rPr>
    </w:lvl>
    <w:lvl w:ilvl="8" w:tentative="0">
      <w:start w:val="1"/>
      <w:numFmt w:val="decimal"/>
      <w:pStyle w:val="11"/>
      <w:lvlText w:val="%9"/>
      <w:lvlJc w:val="left"/>
      <w:pPr>
        <w:tabs>
          <w:tab w:val="left" w:pos="0"/>
        </w:tabs>
        <w:ind w:left="0" w:firstLine="0"/>
      </w:pPr>
      <w:rPr>
        <w:rFonts w:hint="default" w:ascii="Times New Roman" w:hAnsi="Times New Roman"/>
      </w:rPr>
    </w:lvl>
  </w:abstractNum>
  <w:abstractNum w:abstractNumId="1">
    <w:nsid w:val="7DCF4EAE"/>
    <w:multiLevelType w:val="multilevel"/>
    <w:tmpl w:val="7DCF4EAE"/>
    <w:lvl w:ilvl="0" w:tentative="0">
      <w:start w:val="0"/>
      <w:numFmt w:val="decimal"/>
      <w:lvlText w:val="%1."/>
      <w:lvlJc w:val="left"/>
      <w:pPr>
        <w:tabs>
          <w:tab w:val="left" w:pos="360"/>
        </w:tabs>
        <w:ind w:left="360" w:hanging="360"/>
      </w:pPr>
      <w:rPr>
        <w:rFonts w:hint="eastAsia"/>
      </w:rPr>
    </w:lvl>
    <w:lvl w:ilvl="1" w:tentative="0">
      <w:start w:val="1"/>
      <w:numFmt w:val="lowerLetter"/>
      <w:lvlText w:val="%2)"/>
      <w:lvlJc w:val="left"/>
      <w:pPr>
        <w:tabs>
          <w:tab w:val="left" w:pos="840"/>
        </w:tabs>
        <w:ind w:left="840" w:hanging="420"/>
      </w:pPr>
    </w:lvl>
    <w:lvl w:ilvl="2" w:tentative="0">
      <w:start w:val="1"/>
      <w:numFmt w:val="lowerRoman"/>
      <w:pStyle w:val="4"/>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HorizontalSpacing w:val="105"/>
  <w:drawingGridVerticalSpacing w:val="156"/>
  <w:displayHorizontalDrawingGridEvery w:val="0"/>
  <w:displayVerticalDrawingGridEvery w:val="2"/>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55A6B"/>
    <w:rsid w:val="00001B07"/>
    <w:rsid w:val="00002DA2"/>
    <w:rsid w:val="000039D8"/>
    <w:rsid w:val="00003A15"/>
    <w:rsid w:val="00004301"/>
    <w:rsid w:val="00004769"/>
    <w:rsid w:val="000048F0"/>
    <w:rsid w:val="0000507B"/>
    <w:rsid w:val="00005AED"/>
    <w:rsid w:val="000074CF"/>
    <w:rsid w:val="00011B47"/>
    <w:rsid w:val="000123CA"/>
    <w:rsid w:val="00012C01"/>
    <w:rsid w:val="0001347A"/>
    <w:rsid w:val="00015ABD"/>
    <w:rsid w:val="00017B2D"/>
    <w:rsid w:val="00021D17"/>
    <w:rsid w:val="00022B4C"/>
    <w:rsid w:val="000244A1"/>
    <w:rsid w:val="0002465B"/>
    <w:rsid w:val="00030C02"/>
    <w:rsid w:val="000340AE"/>
    <w:rsid w:val="00036931"/>
    <w:rsid w:val="0004000D"/>
    <w:rsid w:val="000407FC"/>
    <w:rsid w:val="000425EE"/>
    <w:rsid w:val="00043DDD"/>
    <w:rsid w:val="00044914"/>
    <w:rsid w:val="0004586E"/>
    <w:rsid w:val="00046243"/>
    <w:rsid w:val="000465DC"/>
    <w:rsid w:val="0004679F"/>
    <w:rsid w:val="00050481"/>
    <w:rsid w:val="00050EDC"/>
    <w:rsid w:val="00051F22"/>
    <w:rsid w:val="0005224B"/>
    <w:rsid w:val="00052887"/>
    <w:rsid w:val="000531E8"/>
    <w:rsid w:val="0005368F"/>
    <w:rsid w:val="000552C3"/>
    <w:rsid w:val="000558E6"/>
    <w:rsid w:val="00057180"/>
    <w:rsid w:val="000602A7"/>
    <w:rsid w:val="00060395"/>
    <w:rsid w:val="0006109B"/>
    <w:rsid w:val="00061864"/>
    <w:rsid w:val="00061A45"/>
    <w:rsid w:val="0006203D"/>
    <w:rsid w:val="000626B7"/>
    <w:rsid w:val="00062E62"/>
    <w:rsid w:val="00063936"/>
    <w:rsid w:val="00065360"/>
    <w:rsid w:val="000657A4"/>
    <w:rsid w:val="00066DE3"/>
    <w:rsid w:val="00067998"/>
    <w:rsid w:val="000705EB"/>
    <w:rsid w:val="0007095A"/>
    <w:rsid w:val="00070CA2"/>
    <w:rsid w:val="000710B7"/>
    <w:rsid w:val="0007155C"/>
    <w:rsid w:val="00072B8E"/>
    <w:rsid w:val="000730CF"/>
    <w:rsid w:val="00077B64"/>
    <w:rsid w:val="0008114C"/>
    <w:rsid w:val="00081430"/>
    <w:rsid w:val="000832CD"/>
    <w:rsid w:val="00085C31"/>
    <w:rsid w:val="000860F3"/>
    <w:rsid w:val="00087A50"/>
    <w:rsid w:val="00096937"/>
    <w:rsid w:val="000A05C5"/>
    <w:rsid w:val="000A10C4"/>
    <w:rsid w:val="000A250F"/>
    <w:rsid w:val="000A32A5"/>
    <w:rsid w:val="000A3364"/>
    <w:rsid w:val="000A511F"/>
    <w:rsid w:val="000A6695"/>
    <w:rsid w:val="000A6AD2"/>
    <w:rsid w:val="000A7BE1"/>
    <w:rsid w:val="000B2C01"/>
    <w:rsid w:val="000B2E47"/>
    <w:rsid w:val="000B3CCF"/>
    <w:rsid w:val="000B495C"/>
    <w:rsid w:val="000B49A9"/>
    <w:rsid w:val="000B5FB3"/>
    <w:rsid w:val="000B62A0"/>
    <w:rsid w:val="000B7E82"/>
    <w:rsid w:val="000C1A0F"/>
    <w:rsid w:val="000C2DBB"/>
    <w:rsid w:val="000C3E78"/>
    <w:rsid w:val="000C3FAA"/>
    <w:rsid w:val="000C682E"/>
    <w:rsid w:val="000C718C"/>
    <w:rsid w:val="000C7875"/>
    <w:rsid w:val="000D13AF"/>
    <w:rsid w:val="000D7567"/>
    <w:rsid w:val="000D7EA7"/>
    <w:rsid w:val="000E13CB"/>
    <w:rsid w:val="000E15E2"/>
    <w:rsid w:val="000E1B76"/>
    <w:rsid w:val="000E343A"/>
    <w:rsid w:val="000E4A31"/>
    <w:rsid w:val="000E5020"/>
    <w:rsid w:val="000E5B25"/>
    <w:rsid w:val="000E6B1A"/>
    <w:rsid w:val="000E70D9"/>
    <w:rsid w:val="000E71BF"/>
    <w:rsid w:val="000F09AE"/>
    <w:rsid w:val="000F0DDA"/>
    <w:rsid w:val="000F20D9"/>
    <w:rsid w:val="000F2F8A"/>
    <w:rsid w:val="000F3040"/>
    <w:rsid w:val="000F42F2"/>
    <w:rsid w:val="000F4B80"/>
    <w:rsid w:val="000F4BCD"/>
    <w:rsid w:val="000F6569"/>
    <w:rsid w:val="000F72CE"/>
    <w:rsid w:val="000F7459"/>
    <w:rsid w:val="00100543"/>
    <w:rsid w:val="00100580"/>
    <w:rsid w:val="00105565"/>
    <w:rsid w:val="001068DB"/>
    <w:rsid w:val="00111905"/>
    <w:rsid w:val="00112630"/>
    <w:rsid w:val="0012002F"/>
    <w:rsid w:val="001205F4"/>
    <w:rsid w:val="00121298"/>
    <w:rsid w:val="00121810"/>
    <w:rsid w:val="00121AF0"/>
    <w:rsid w:val="001220A8"/>
    <w:rsid w:val="001221FA"/>
    <w:rsid w:val="00122267"/>
    <w:rsid w:val="00122956"/>
    <w:rsid w:val="0012481B"/>
    <w:rsid w:val="001249B1"/>
    <w:rsid w:val="0012583C"/>
    <w:rsid w:val="001265E9"/>
    <w:rsid w:val="00133282"/>
    <w:rsid w:val="00133735"/>
    <w:rsid w:val="00133983"/>
    <w:rsid w:val="00133E7B"/>
    <w:rsid w:val="00136DF1"/>
    <w:rsid w:val="00140C0D"/>
    <w:rsid w:val="00141512"/>
    <w:rsid w:val="00141B04"/>
    <w:rsid w:val="00141C2C"/>
    <w:rsid w:val="0014445E"/>
    <w:rsid w:val="001445CE"/>
    <w:rsid w:val="001464BE"/>
    <w:rsid w:val="00146E5D"/>
    <w:rsid w:val="001478E6"/>
    <w:rsid w:val="00151070"/>
    <w:rsid w:val="0015274A"/>
    <w:rsid w:val="00153F49"/>
    <w:rsid w:val="0015565C"/>
    <w:rsid w:val="00155870"/>
    <w:rsid w:val="00157310"/>
    <w:rsid w:val="00162373"/>
    <w:rsid w:val="00162623"/>
    <w:rsid w:val="00162DB2"/>
    <w:rsid w:val="00163667"/>
    <w:rsid w:val="001636CA"/>
    <w:rsid w:val="00164672"/>
    <w:rsid w:val="00165F62"/>
    <w:rsid w:val="00166E5C"/>
    <w:rsid w:val="00166E5D"/>
    <w:rsid w:val="0017147C"/>
    <w:rsid w:val="00171534"/>
    <w:rsid w:val="00171760"/>
    <w:rsid w:val="0017189D"/>
    <w:rsid w:val="00172E22"/>
    <w:rsid w:val="00173474"/>
    <w:rsid w:val="001741DF"/>
    <w:rsid w:val="00174217"/>
    <w:rsid w:val="001758E5"/>
    <w:rsid w:val="0017655D"/>
    <w:rsid w:val="0017742E"/>
    <w:rsid w:val="00177ADE"/>
    <w:rsid w:val="001813D3"/>
    <w:rsid w:val="001845EC"/>
    <w:rsid w:val="00185AD1"/>
    <w:rsid w:val="00186045"/>
    <w:rsid w:val="00187079"/>
    <w:rsid w:val="00190F00"/>
    <w:rsid w:val="00190F39"/>
    <w:rsid w:val="00190FAA"/>
    <w:rsid w:val="00191322"/>
    <w:rsid w:val="001918C7"/>
    <w:rsid w:val="00191C6E"/>
    <w:rsid w:val="00193987"/>
    <w:rsid w:val="00194130"/>
    <w:rsid w:val="00195C19"/>
    <w:rsid w:val="001979FF"/>
    <w:rsid w:val="00197EDE"/>
    <w:rsid w:val="001A021C"/>
    <w:rsid w:val="001A06B9"/>
    <w:rsid w:val="001A3584"/>
    <w:rsid w:val="001A435F"/>
    <w:rsid w:val="001A520B"/>
    <w:rsid w:val="001A6187"/>
    <w:rsid w:val="001A6C54"/>
    <w:rsid w:val="001B2B8E"/>
    <w:rsid w:val="001B34BE"/>
    <w:rsid w:val="001B34D8"/>
    <w:rsid w:val="001B663C"/>
    <w:rsid w:val="001C0807"/>
    <w:rsid w:val="001C198F"/>
    <w:rsid w:val="001C1E89"/>
    <w:rsid w:val="001C2630"/>
    <w:rsid w:val="001C2BE9"/>
    <w:rsid w:val="001C2C52"/>
    <w:rsid w:val="001C3F75"/>
    <w:rsid w:val="001C41EB"/>
    <w:rsid w:val="001C68CC"/>
    <w:rsid w:val="001C6D9E"/>
    <w:rsid w:val="001C6DCF"/>
    <w:rsid w:val="001D1E29"/>
    <w:rsid w:val="001D2B2D"/>
    <w:rsid w:val="001D3016"/>
    <w:rsid w:val="001D3C7E"/>
    <w:rsid w:val="001D4EFD"/>
    <w:rsid w:val="001D552E"/>
    <w:rsid w:val="001D610D"/>
    <w:rsid w:val="001D6739"/>
    <w:rsid w:val="001E05C4"/>
    <w:rsid w:val="001E0B01"/>
    <w:rsid w:val="001E3B7E"/>
    <w:rsid w:val="001E42FA"/>
    <w:rsid w:val="001E569E"/>
    <w:rsid w:val="001F0B91"/>
    <w:rsid w:val="001F1723"/>
    <w:rsid w:val="001F3518"/>
    <w:rsid w:val="00203880"/>
    <w:rsid w:val="00203B6B"/>
    <w:rsid w:val="0020765C"/>
    <w:rsid w:val="00210454"/>
    <w:rsid w:val="002105B6"/>
    <w:rsid w:val="002106D4"/>
    <w:rsid w:val="00210BA8"/>
    <w:rsid w:val="00211989"/>
    <w:rsid w:val="00212176"/>
    <w:rsid w:val="0021235B"/>
    <w:rsid w:val="00212C3F"/>
    <w:rsid w:val="002147D4"/>
    <w:rsid w:val="00215D2B"/>
    <w:rsid w:val="00216D7E"/>
    <w:rsid w:val="00217430"/>
    <w:rsid w:val="00217FC2"/>
    <w:rsid w:val="00222D43"/>
    <w:rsid w:val="00224060"/>
    <w:rsid w:val="00226489"/>
    <w:rsid w:val="00226647"/>
    <w:rsid w:val="0023000C"/>
    <w:rsid w:val="00232FA4"/>
    <w:rsid w:val="00233A78"/>
    <w:rsid w:val="00233A97"/>
    <w:rsid w:val="00234EE7"/>
    <w:rsid w:val="00235A93"/>
    <w:rsid w:val="00236C9D"/>
    <w:rsid w:val="00237EB2"/>
    <w:rsid w:val="00240177"/>
    <w:rsid w:val="0024154A"/>
    <w:rsid w:val="00241AB7"/>
    <w:rsid w:val="002426B1"/>
    <w:rsid w:val="00243795"/>
    <w:rsid w:val="00243F35"/>
    <w:rsid w:val="00244E9F"/>
    <w:rsid w:val="002462B6"/>
    <w:rsid w:val="0024692B"/>
    <w:rsid w:val="002473BB"/>
    <w:rsid w:val="00247E2C"/>
    <w:rsid w:val="00251558"/>
    <w:rsid w:val="00252315"/>
    <w:rsid w:val="002536A0"/>
    <w:rsid w:val="002539D7"/>
    <w:rsid w:val="002548D9"/>
    <w:rsid w:val="00254AB7"/>
    <w:rsid w:val="002558F1"/>
    <w:rsid w:val="00260714"/>
    <w:rsid w:val="0026135A"/>
    <w:rsid w:val="00261CBC"/>
    <w:rsid w:val="00262A44"/>
    <w:rsid w:val="00263D27"/>
    <w:rsid w:val="002657AC"/>
    <w:rsid w:val="00266A0F"/>
    <w:rsid w:val="00266D0A"/>
    <w:rsid w:val="00267013"/>
    <w:rsid w:val="00270097"/>
    <w:rsid w:val="00270468"/>
    <w:rsid w:val="00270C80"/>
    <w:rsid w:val="00271305"/>
    <w:rsid w:val="00274977"/>
    <w:rsid w:val="002759E5"/>
    <w:rsid w:val="00275C1F"/>
    <w:rsid w:val="00275DBC"/>
    <w:rsid w:val="00277335"/>
    <w:rsid w:val="00280370"/>
    <w:rsid w:val="00280897"/>
    <w:rsid w:val="00281C8A"/>
    <w:rsid w:val="00282796"/>
    <w:rsid w:val="00283825"/>
    <w:rsid w:val="00286EBC"/>
    <w:rsid w:val="00287951"/>
    <w:rsid w:val="00290B6E"/>
    <w:rsid w:val="0029129F"/>
    <w:rsid w:val="00292178"/>
    <w:rsid w:val="002929E6"/>
    <w:rsid w:val="00295057"/>
    <w:rsid w:val="00295950"/>
    <w:rsid w:val="00297CD6"/>
    <w:rsid w:val="00297FC2"/>
    <w:rsid w:val="002A0927"/>
    <w:rsid w:val="002A16CA"/>
    <w:rsid w:val="002A1D57"/>
    <w:rsid w:val="002A2E8A"/>
    <w:rsid w:val="002A4051"/>
    <w:rsid w:val="002A41C2"/>
    <w:rsid w:val="002A4C7A"/>
    <w:rsid w:val="002A51EF"/>
    <w:rsid w:val="002A67CD"/>
    <w:rsid w:val="002A6EFA"/>
    <w:rsid w:val="002A724B"/>
    <w:rsid w:val="002B0B89"/>
    <w:rsid w:val="002B20B2"/>
    <w:rsid w:val="002B37E3"/>
    <w:rsid w:val="002B47A7"/>
    <w:rsid w:val="002B6F3B"/>
    <w:rsid w:val="002B7495"/>
    <w:rsid w:val="002B7BA7"/>
    <w:rsid w:val="002B7E98"/>
    <w:rsid w:val="002C0975"/>
    <w:rsid w:val="002C15E6"/>
    <w:rsid w:val="002C1CE8"/>
    <w:rsid w:val="002C2F27"/>
    <w:rsid w:val="002C58B3"/>
    <w:rsid w:val="002C5A26"/>
    <w:rsid w:val="002C716E"/>
    <w:rsid w:val="002D026D"/>
    <w:rsid w:val="002D0434"/>
    <w:rsid w:val="002D095A"/>
    <w:rsid w:val="002D20E0"/>
    <w:rsid w:val="002D2175"/>
    <w:rsid w:val="002D33C8"/>
    <w:rsid w:val="002D4F81"/>
    <w:rsid w:val="002D571D"/>
    <w:rsid w:val="002E02DF"/>
    <w:rsid w:val="002E20C1"/>
    <w:rsid w:val="002E21A7"/>
    <w:rsid w:val="002E2373"/>
    <w:rsid w:val="002E270D"/>
    <w:rsid w:val="002E2EBD"/>
    <w:rsid w:val="002E326E"/>
    <w:rsid w:val="002E390F"/>
    <w:rsid w:val="002E6BAB"/>
    <w:rsid w:val="002E7667"/>
    <w:rsid w:val="002E7808"/>
    <w:rsid w:val="002E7B20"/>
    <w:rsid w:val="002F03A4"/>
    <w:rsid w:val="002F160B"/>
    <w:rsid w:val="002F49BA"/>
    <w:rsid w:val="00302BFD"/>
    <w:rsid w:val="00303AF9"/>
    <w:rsid w:val="00306690"/>
    <w:rsid w:val="00307476"/>
    <w:rsid w:val="003074E6"/>
    <w:rsid w:val="00307B57"/>
    <w:rsid w:val="00311051"/>
    <w:rsid w:val="00311630"/>
    <w:rsid w:val="003123B7"/>
    <w:rsid w:val="003124DD"/>
    <w:rsid w:val="0031385C"/>
    <w:rsid w:val="00314A72"/>
    <w:rsid w:val="00316F97"/>
    <w:rsid w:val="00317569"/>
    <w:rsid w:val="003223D0"/>
    <w:rsid w:val="00322823"/>
    <w:rsid w:val="003229E1"/>
    <w:rsid w:val="00322B76"/>
    <w:rsid w:val="00322F80"/>
    <w:rsid w:val="0032372A"/>
    <w:rsid w:val="00324C0A"/>
    <w:rsid w:val="003259FB"/>
    <w:rsid w:val="00327AB6"/>
    <w:rsid w:val="00331615"/>
    <w:rsid w:val="00331DBF"/>
    <w:rsid w:val="00333494"/>
    <w:rsid w:val="0033352E"/>
    <w:rsid w:val="00334928"/>
    <w:rsid w:val="00335DBF"/>
    <w:rsid w:val="00336F1B"/>
    <w:rsid w:val="00341BED"/>
    <w:rsid w:val="0034296A"/>
    <w:rsid w:val="003439BF"/>
    <w:rsid w:val="00343B9A"/>
    <w:rsid w:val="00346066"/>
    <w:rsid w:val="00347A41"/>
    <w:rsid w:val="00347C8B"/>
    <w:rsid w:val="00351836"/>
    <w:rsid w:val="003519CD"/>
    <w:rsid w:val="00352D49"/>
    <w:rsid w:val="003531C4"/>
    <w:rsid w:val="003533F7"/>
    <w:rsid w:val="00353564"/>
    <w:rsid w:val="003539CC"/>
    <w:rsid w:val="00354960"/>
    <w:rsid w:val="00355842"/>
    <w:rsid w:val="00355896"/>
    <w:rsid w:val="00356B56"/>
    <w:rsid w:val="0035758E"/>
    <w:rsid w:val="003620AA"/>
    <w:rsid w:val="00362571"/>
    <w:rsid w:val="00363C0F"/>
    <w:rsid w:val="00364A0A"/>
    <w:rsid w:val="00364BFD"/>
    <w:rsid w:val="00366DFB"/>
    <w:rsid w:val="00367A5E"/>
    <w:rsid w:val="003703EC"/>
    <w:rsid w:val="0037195A"/>
    <w:rsid w:val="0037292A"/>
    <w:rsid w:val="0037327C"/>
    <w:rsid w:val="00375FB3"/>
    <w:rsid w:val="0037614E"/>
    <w:rsid w:val="0037660C"/>
    <w:rsid w:val="00377C14"/>
    <w:rsid w:val="00380068"/>
    <w:rsid w:val="003818D2"/>
    <w:rsid w:val="00381DC7"/>
    <w:rsid w:val="00383B20"/>
    <w:rsid w:val="003850C6"/>
    <w:rsid w:val="003958FE"/>
    <w:rsid w:val="00395F14"/>
    <w:rsid w:val="00397C09"/>
    <w:rsid w:val="003A0DB7"/>
    <w:rsid w:val="003A395A"/>
    <w:rsid w:val="003A4EBE"/>
    <w:rsid w:val="003A5271"/>
    <w:rsid w:val="003B023B"/>
    <w:rsid w:val="003B2EA7"/>
    <w:rsid w:val="003B4BF8"/>
    <w:rsid w:val="003B6184"/>
    <w:rsid w:val="003B6F1A"/>
    <w:rsid w:val="003B740D"/>
    <w:rsid w:val="003C1CDC"/>
    <w:rsid w:val="003C22F9"/>
    <w:rsid w:val="003C3460"/>
    <w:rsid w:val="003C379F"/>
    <w:rsid w:val="003C3864"/>
    <w:rsid w:val="003C3A75"/>
    <w:rsid w:val="003C44B6"/>
    <w:rsid w:val="003C6E8F"/>
    <w:rsid w:val="003C7D19"/>
    <w:rsid w:val="003D18C3"/>
    <w:rsid w:val="003D18C5"/>
    <w:rsid w:val="003D1E60"/>
    <w:rsid w:val="003D3925"/>
    <w:rsid w:val="003D7997"/>
    <w:rsid w:val="003E0213"/>
    <w:rsid w:val="003E2A2A"/>
    <w:rsid w:val="003E30DC"/>
    <w:rsid w:val="003E33F4"/>
    <w:rsid w:val="003E367F"/>
    <w:rsid w:val="003E4506"/>
    <w:rsid w:val="003E5A08"/>
    <w:rsid w:val="003E622E"/>
    <w:rsid w:val="003F1D19"/>
    <w:rsid w:val="003F22A1"/>
    <w:rsid w:val="003F2750"/>
    <w:rsid w:val="003F2ECA"/>
    <w:rsid w:val="003F4D2B"/>
    <w:rsid w:val="003F5391"/>
    <w:rsid w:val="003F5B0C"/>
    <w:rsid w:val="003F7504"/>
    <w:rsid w:val="00400019"/>
    <w:rsid w:val="00402290"/>
    <w:rsid w:val="00402CD6"/>
    <w:rsid w:val="00404B51"/>
    <w:rsid w:val="00404D2B"/>
    <w:rsid w:val="00405D62"/>
    <w:rsid w:val="00406149"/>
    <w:rsid w:val="00407656"/>
    <w:rsid w:val="00407998"/>
    <w:rsid w:val="00411BB8"/>
    <w:rsid w:val="00412679"/>
    <w:rsid w:val="00415916"/>
    <w:rsid w:val="00420006"/>
    <w:rsid w:val="00420499"/>
    <w:rsid w:val="00421C13"/>
    <w:rsid w:val="004220AF"/>
    <w:rsid w:val="0042417C"/>
    <w:rsid w:val="004265EF"/>
    <w:rsid w:val="00426FDA"/>
    <w:rsid w:val="004314F2"/>
    <w:rsid w:val="00431561"/>
    <w:rsid w:val="004327F5"/>
    <w:rsid w:val="00432D2B"/>
    <w:rsid w:val="004361F1"/>
    <w:rsid w:val="004367D5"/>
    <w:rsid w:val="00436D24"/>
    <w:rsid w:val="004417C0"/>
    <w:rsid w:val="004431FB"/>
    <w:rsid w:val="00443BB6"/>
    <w:rsid w:val="0044406A"/>
    <w:rsid w:val="00445BE8"/>
    <w:rsid w:val="00445FC1"/>
    <w:rsid w:val="00447857"/>
    <w:rsid w:val="00447E5F"/>
    <w:rsid w:val="00450559"/>
    <w:rsid w:val="00453572"/>
    <w:rsid w:val="004545DD"/>
    <w:rsid w:val="00455E33"/>
    <w:rsid w:val="00456E40"/>
    <w:rsid w:val="004577CB"/>
    <w:rsid w:val="00457EFA"/>
    <w:rsid w:val="00462632"/>
    <w:rsid w:val="00464226"/>
    <w:rsid w:val="00464837"/>
    <w:rsid w:val="00464B81"/>
    <w:rsid w:val="004661A5"/>
    <w:rsid w:val="00466FD4"/>
    <w:rsid w:val="004671C9"/>
    <w:rsid w:val="0046776E"/>
    <w:rsid w:val="00467989"/>
    <w:rsid w:val="00467C3A"/>
    <w:rsid w:val="00470B54"/>
    <w:rsid w:val="00471432"/>
    <w:rsid w:val="004714B4"/>
    <w:rsid w:val="00473611"/>
    <w:rsid w:val="0047377C"/>
    <w:rsid w:val="004742B9"/>
    <w:rsid w:val="004753D6"/>
    <w:rsid w:val="0047559D"/>
    <w:rsid w:val="00476E54"/>
    <w:rsid w:val="004775A4"/>
    <w:rsid w:val="004806DE"/>
    <w:rsid w:val="00486863"/>
    <w:rsid w:val="00486F7B"/>
    <w:rsid w:val="00487458"/>
    <w:rsid w:val="00487DA7"/>
    <w:rsid w:val="004902D3"/>
    <w:rsid w:val="00491FEF"/>
    <w:rsid w:val="00494208"/>
    <w:rsid w:val="00495BBA"/>
    <w:rsid w:val="00495F8D"/>
    <w:rsid w:val="00497C3B"/>
    <w:rsid w:val="00497F82"/>
    <w:rsid w:val="004A2F7B"/>
    <w:rsid w:val="004A3D01"/>
    <w:rsid w:val="004A4BE9"/>
    <w:rsid w:val="004A6C19"/>
    <w:rsid w:val="004A7862"/>
    <w:rsid w:val="004A7E7E"/>
    <w:rsid w:val="004B089A"/>
    <w:rsid w:val="004B2104"/>
    <w:rsid w:val="004B236C"/>
    <w:rsid w:val="004B3E10"/>
    <w:rsid w:val="004B4B71"/>
    <w:rsid w:val="004B7BF9"/>
    <w:rsid w:val="004C0285"/>
    <w:rsid w:val="004C2BDB"/>
    <w:rsid w:val="004C2D9D"/>
    <w:rsid w:val="004C7C9F"/>
    <w:rsid w:val="004D08F5"/>
    <w:rsid w:val="004D0BB6"/>
    <w:rsid w:val="004D1B4D"/>
    <w:rsid w:val="004D267A"/>
    <w:rsid w:val="004D30A4"/>
    <w:rsid w:val="004D4DA8"/>
    <w:rsid w:val="004D595A"/>
    <w:rsid w:val="004D640E"/>
    <w:rsid w:val="004D67B7"/>
    <w:rsid w:val="004E0E26"/>
    <w:rsid w:val="004E3681"/>
    <w:rsid w:val="004E3782"/>
    <w:rsid w:val="004E3D1E"/>
    <w:rsid w:val="004E4148"/>
    <w:rsid w:val="004E4269"/>
    <w:rsid w:val="004E4546"/>
    <w:rsid w:val="004E54C8"/>
    <w:rsid w:val="004E5CBA"/>
    <w:rsid w:val="004E6755"/>
    <w:rsid w:val="004E69D0"/>
    <w:rsid w:val="004E78F7"/>
    <w:rsid w:val="004F0EA4"/>
    <w:rsid w:val="004F25CE"/>
    <w:rsid w:val="004F2EB2"/>
    <w:rsid w:val="004F474C"/>
    <w:rsid w:val="004F491F"/>
    <w:rsid w:val="004F6EAE"/>
    <w:rsid w:val="00501180"/>
    <w:rsid w:val="00504274"/>
    <w:rsid w:val="00506847"/>
    <w:rsid w:val="00506D95"/>
    <w:rsid w:val="0050759A"/>
    <w:rsid w:val="00507670"/>
    <w:rsid w:val="00507DA7"/>
    <w:rsid w:val="00510184"/>
    <w:rsid w:val="00510F3B"/>
    <w:rsid w:val="005144F4"/>
    <w:rsid w:val="005219E8"/>
    <w:rsid w:val="0052327D"/>
    <w:rsid w:val="00523B2A"/>
    <w:rsid w:val="00524CE2"/>
    <w:rsid w:val="00525A30"/>
    <w:rsid w:val="00527E07"/>
    <w:rsid w:val="005350AB"/>
    <w:rsid w:val="005356C9"/>
    <w:rsid w:val="0053716A"/>
    <w:rsid w:val="00541F41"/>
    <w:rsid w:val="00543199"/>
    <w:rsid w:val="00543BBE"/>
    <w:rsid w:val="00545596"/>
    <w:rsid w:val="00545CDF"/>
    <w:rsid w:val="005461A9"/>
    <w:rsid w:val="00546632"/>
    <w:rsid w:val="00551093"/>
    <w:rsid w:val="005516F1"/>
    <w:rsid w:val="00551B57"/>
    <w:rsid w:val="00554270"/>
    <w:rsid w:val="005547DE"/>
    <w:rsid w:val="00554EF8"/>
    <w:rsid w:val="00555251"/>
    <w:rsid w:val="005556C0"/>
    <w:rsid w:val="005560AA"/>
    <w:rsid w:val="0055700D"/>
    <w:rsid w:val="00557065"/>
    <w:rsid w:val="0056365C"/>
    <w:rsid w:val="005643EC"/>
    <w:rsid w:val="00564750"/>
    <w:rsid w:val="005648AE"/>
    <w:rsid w:val="00564B0E"/>
    <w:rsid w:val="00565379"/>
    <w:rsid w:val="005658CA"/>
    <w:rsid w:val="0056678F"/>
    <w:rsid w:val="00566918"/>
    <w:rsid w:val="00566C56"/>
    <w:rsid w:val="00567C9D"/>
    <w:rsid w:val="00567DC1"/>
    <w:rsid w:val="005707C2"/>
    <w:rsid w:val="00573EED"/>
    <w:rsid w:val="005747CB"/>
    <w:rsid w:val="00576324"/>
    <w:rsid w:val="00576861"/>
    <w:rsid w:val="005806BC"/>
    <w:rsid w:val="00580ADA"/>
    <w:rsid w:val="00583181"/>
    <w:rsid w:val="005831D0"/>
    <w:rsid w:val="00584984"/>
    <w:rsid w:val="00586977"/>
    <w:rsid w:val="0059097D"/>
    <w:rsid w:val="00592EF9"/>
    <w:rsid w:val="00593760"/>
    <w:rsid w:val="00594632"/>
    <w:rsid w:val="0059596D"/>
    <w:rsid w:val="0059780A"/>
    <w:rsid w:val="00597C16"/>
    <w:rsid w:val="005A1630"/>
    <w:rsid w:val="005A1BAE"/>
    <w:rsid w:val="005A399C"/>
    <w:rsid w:val="005A3A3B"/>
    <w:rsid w:val="005A3FEA"/>
    <w:rsid w:val="005A4CC3"/>
    <w:rsid w:val="005A5DEC"/>
    <w:rsid w:val="005A6747"/>
    <w:rsid w:val="005A7837"/>
    <w:rsid w:val="005A7B27"/>
    <w:rsid w:val="005B09C9"/>
    <w:rsid w:val="005B0FC2"/>
    <w:rsid w:val="005B123A"/>
    <w:rsid w:val="005B2252"/>
    <w:rsid w:val="005B2296"/>
    <w:rsid w:val="005B2373"/>
    <w:rsid w:val="005B3406"/>
    <w:rsid w:val="005B3570"/>
    <w:rsid w:val="005B6ABC"/>
    <w:rsid w:val="005C06CC"/>
    <w:rsid w:val="005C2833"/>
    <w:rsid w:val="005C4AF4"/>
    <w:rsid w:val="005C4B5F"/>
    <w:rsid w:val="005C55F7"/>
    <w:rsid w:val="005C5E47"/>
    <w:rsid w:val="005C7C29"/>
    <w:rsid w:val="005D123D"/>
    <w:rsid w:val="005D1607"/>
    <w:rsid w:val="005D16F6"/>
    <w:rsid w:val="005D2173"/>
    <w:rsid w:val="005D40D8"/>
    <w:rsid w:val="005D4BB6"/>
    <w:rsid w:val="005D5F9A"/>
    <w:rsid w:val="005D6BEB"/>
    <w:rsid w:val="005D74F8"/>
    <w:rsid w:val="005E07B4"/>
    <w:rsid w:val="005E3B86"/>
    <w:rsid w:val="005E4FF9"/>
    <w:rsid w:val="005E6D1D"/>
    <w:rsid w:val="005E6E2E"/>
    <w:rsid w:val="005F1F0E"/>
    <w:rsid w:val="005F258B"/>
    <w:rsid w:val="005F2989"/>
    <w:rsid w:val="005F4CE9"/>
    <w:rsid w:val="005F5004"/>
    <w:rsid w:val="005F69D4"/>
    <w:rsid w:val="005F6A91"/>
    <w:rsid w:val="005F7B58"/>
    <w:rsid w:val="00600250"/>
    <w:rsid w:val="0060077A"/>
    <w:rsid w:val="006041A0"/>
    <w:rsid w:val="006070E3"/>
    <w:rsid w:val="006073F4"/>
    <w:rsid w:val="00611B3A"/>
    <w:rsid w:val="006123C7"/>
    <w:rsid w:val="00612C13"/>
    <w:rsid w:val="00613F23"/>
    <w:rsid w:val="006142E6"/>
    <w:rsid w:val="00614852"/>
    <w:rsid w:val="00614C69"/>
    <w:rsid w:val="00615BFA"/>
    <w:rsid w:val="00620257"/>
    <w:rsid w:val="00620C18"/>
    <w:rsid w:val="006235B8"/>
    <w:rsid w:val="006235D5"/>
    <w:rsid w:val="00630329"/>
    <w:rsid w:val="0063196B"/>
    <w:rsid w:val="00633CD3"/>
    <w:rsid w:val="00634C8F"/>
    <w:rsid w:val="0063706C"/>
    <w:rsid w:val="00637566"/>
    <w:rsid w:val="006408F3"/>
    <w:rsid w:val="006451FD"/>
    <w:rsid w:val="00646334"/>
    <w:rsid w:val="00646590"/>
    <w:rsid w:val="006514FA"/>
    <w:rsid w:val="00654956"/>
    <w:rsid w:val="006560A4"/>
    <w:rsid w:val="006560A7"/>
    <w:rsid w:val="00657663"/>
    <w:rsid w:val="006608E8"/>
    <w:rsid w:val="0066139A"/>
    <w:rsid w:val="006618C0"/>
    <w:rsid w:val="00664E73"/>
    <w:rsid w:val="00665C72"/>
    <w:rsid w:val="0066684D"/>
    <w:rsid w:val="00667F1E"/>
    <w:rsid w:val="006707BE"/>
    <w:rsid w:val="00671BB2"/>
    <w:rsid w:val="006743D1"/>
    <w:rsid w:val="006747D0"/>
    <w:rsid w:val="00675A3D"/>
    <w:rsid w:val="00675B5E"/>
    <w:rsid w:val="00675EB1"/>
    <w:rsid w:val="00677DF4"/>
    <w:rsid w:val="00681BFA"/>
    <w:rsid w:val="006832E0"/>
    <w:rsid w:val="00683735"/>
    <w:rsid w:val="00683957"/>
    <w:rsid w:val="00685404"/>
    <w:rsid w:val="00685599"/>
    <w:rsid w:val="00685BFC"/>
    <w:rsid w:val="006862BE"/>
    <w:rsid w:val="0068644A"/>
    <w:rsid w:val="00690838"/>
    <w:rsid w:val="00690D76"/>
    <w:rsid w:val="00691752"/>
    <w:rsid w:val="0069198A"/>
    <w:rsid w:val="00693CAD"/>
    <w:rsid w:val="0069570D"/>
    <w:rsid w:val="00697873"/>
    <w:rsid w:val="006A151A"/>
    <w:rsid w:val="006A1A72"/>
    <w:rsid w:val="006A1D65"/>
    <w:rsid w:val="006A3731"/>
    <w:rsid w:val="006A3FEA"/>
    <w:rsid w:val="006A4B05"/>
    <w:rsid w:val="006A505D"/>
    <w:rsid w:val="006A73D9"/>
    <w:rsid w:val="006B115E"/>
    <w:rsid w:val="006B14B6"/>
    <w:rsid w:val="006B2EF0"/>
    <w:rsid w:val="006B564A"/>
    <w:rsid w:val="006C1A90"/>
    <w:rsid w:val="006C209C"/>
    <w:rsid w:val="006C29E3"/>
    <w:rsid w:val="006C3824"/>
    <w:rsid w:val="006C3C23"/>
    <w:rsid w:val="006C542B"/>
    <w:rsid w:val="006C5A68"/>
    <w:rsid w:val="006C66EC"/>
    <w:rsid w:val="006D1DD5"/>
    <w:rsid w:val="006D2249"/>
    <w:rsid w:val="006D334B"/>
    <w:rsid w:val="006D3EAD"/>
    <w:rsid w:val="006D4689"/>
    <w:rsid w:val="006D4A21"/>
    <w:rsid w:val="006D4FFE"/>
    <w:rsid w:val="006D61CE"/>
    <w:rsid w:val="006D6297"/>
    <w:rsid w:val="006D6919"/>
    <w:rsid w:val="006D7746"/>
    <w:rsid w:val="006D7C9E"/>
    <w:rsid w:val="006E0330"/>
    <w:rsid w:val="006E35C0"/>
    <w:rsid w:val="006E366A"/>
    <w:rsid w:val="006E4904"/>
    <w:rsid w:val="006E4AA2"/>
    <w:rsid w:val="006F0B35"/>
    <w:rsid w:val="006F10B3"/>
    <w:rsid w:val="006F196D"/>
    <w:rsid w:val="006F39EC"/>
    <w:rsid w:val="006F4649"/>
    <w:rsid w:val="006F479B"/>
    <w:rsid w:val="006F58A2"/>
    <w:rsid w:val="006F5B85"/>
    <w:rsid w:val="006F6692"/>
    <w:rsid w:val="0070059B"/>
    <w:rsid w:val="007042F2"/>
    <w:rsid w:val="00704DD2"/>
    <w:rsid w:val="00704FBF"/>
    <w:rsid w:val="0070557B"/>
    <w:rsid w:val="00707CE6"/>
    <w:rsid w:val="00712754"/>
    <w:rsid w:val="007129E3"/>
    <w:rsid w:val="007147C4"/>
    <w:rsid w:val="00714BF1"/>
    <w:rsid w:val="00714C6B"/>
    <w:rsid w:val="0071664B"/>
    <w:rsid w:val="00716D11"/>
    <w:rsid w:val="00716E96"/>
    <w:rsid w:val="0072143C"/>
    <w:rsid w:val="00724A10"/>
    <w:rsid w:val="007252F5"/>
    <w:rsid w:val="0072584A"/>
    <w:rsid w:val="00725F24"/>
    <w:rsid w:val="0072743B"/>
    <w:rsid w:val="00732159"/>
    <w:rsid w:val="007322D5"/>
    <w:rsid w:val="00732B7D"/>
    <w:rsid w:val="00733621"/>
    <w:rsid w:val="00734DD8"/>
    <w:rsid w:val="00735081"/>
    <w:rsid w:val="00736257"/>
    <w:rsid w:val="00736871"/>
    <w:rsid w:val="00737AA7"/>
    <w:rsid w:val="00737E50"/>
    <w:rsid w:val="00740D50"/>
    <w:rsid w:val="00741047"/>
    <w:rsid w:val="00741B6A"/>
    <w:rsid w:val="00742563"/>
    <w:rsid w:val="00744418"/>
    <w:rsid w:val="00745B5E"/>
    <w:rsid w:val="00746CE7"/>
    <w:rsid w:val="007478AF"/>
    <w:rsid w:val="00747AC4"/>
    <w:rsid w:val="00747EA3"/>
    <w:rsid w:val="007511A9"/>
    <w:rsid w:val="007515D3"/>
    <w:rsid w:val="00753DA3"/>
    <w:rsid w:val="00754BA2"/>
    <w:rsid w:val="00755516"/>
    <w:rsid w:val="00756479"/>
    <w:rsid w:val="00756C44"/>
    <w:rsid w:val="00756F1A"/>
    <w:rsid w:val="00757078"/>
    <w:rsid w:val="00757C2F"/>
    <w:rsid w:val="007601C7"/>
    <w:rsid w:val="007613EE"/>
    <w:rsid w:val="0076182B"/>
    <w:rsid w:val="00762BF5"/>
    <w:rsid w:val="0076335C"/>
    <w:rsid w:val="00764067"/>
    <w:rsid w:val="0076427D"/>
    <w:rsid w:val="0076457F"/>
    <w:rsid w:val="00765ACD"/>
    <w:rsid w:val="00765B60"/>
    <w:rsid w:val="007660D8"/>
    <w:rsid w:val="007671B4"/>
    <w:rsid w:val="00772598"/>
    <w:rsid w:val="00773112"/>
    <w:rsid w:val="0077347A"/>
    <w:rsid w:val="00774F8F"/>
    <w:rsid w:val="00775194"/>
    <w:rsid w:val="00775CF9"/>
    <w:rsid w:val="0077678A"/>
    <w:rsid w:val="00777991"/>
    <w:rsid w:val="00777D6B"/>
    <w:rsid w:val="00780C75"/>
    <w:rsid w:val="00782DF8"/>
    <w:rsid w:val="0078378D"/>
    <w:rsid w:val="007839A2"/>
    <w:rsid w:val="0078537A"/>
    <w:rsid w:val="007858AA"/>
    <w:rsid w:val="00786238"/>
    <w:rsid w:val="00787398"/>
    <w:rsid w:val="00790B4A"/>
    <w:rsid w:val="007922A0"/>
    <w:rsid w:val="00792964"/>
    <w:rsid w:val="0079360F"/>
    <w:rsid w:val="00793858"/>
    <w:rsid w:val="00795971"/>
    <w:rsid w:val="00796A92"/>
    <w:rsid w:val="007977C7"/>
    <w:rsid w:val="007978D3"/>
    <w:rsid w:val="00797A2F"/>
    <w:rsid w:val="007A029F"/>
    <w:rsid w:val="007A11E1"/>
    <w:rsid w:val="007A3150"/>
    <w:rsid w:val="007A521E"/>
    <w:rsid w:val="007A539D"/>
    <w:rsid w:val="007A63DA"/>
    <w:rsid w:val="007A679A"/>
    <w:rsid w:val="007A7EA5"/>
    <w:rsid w:val="007B077E"/>
    <w:rsid w:val="007B0A26"/>
    <w:rsid w:val="007B1790"/>
    <w:rsid w:val="007B2E2D"/>
    <w:rsid w:val="007B326B"/>
    <w:rsid w:val="007B36E6"/>
    <w:rsid w:val="007B3C7B"/>
    <w:rsid w:val="007B43F2"/>
    <w:rsid w:val="007B6763"/>
    <w:rsid w:val="007C154C"/>
    <w:rsid w:val="007C331B"/>
    <w:rsid w:val="007C3B94"/>
    <w:rsid w:val="007C50ED"/>
    <w:rsid w:val="007C54CA"/>
    <w:rsid w:val="007C7B98"/>
    <w:rsid w:val="007C7D36"/>
    <w:rsid w:val="007C7DA6"/>
    <w:rsid w:val="007D029E"/>
    <w:rsid w:val="007D41DB"/>
    <w:rsid w:val="007D4E26"/>
    <w:rsid w:val="007D4FFA"/>
    <w:rsid w:val="007D5DCB"/>
    <w:rsid w:val="007D5F2A"/>
    <w:rsid w:val="007D63C7"/>
    <w:rsid w:val="007D645D"/>
    <w:rsid w:val="007D71BB"/>
    <w:rsid w:val="007E21EE"/>
    <w:rsid w:val="007E2CB5"/>
    <w:rsid w:val="007E2E2F"/>
    <w:rsid w:val="007E4909"/>
    <w:rsid w:val="007E5019"/>
    <w:rsid w:val="007E5755"/>
    <w:rsid w:val="007E619A"/>
    <w:rsid w:val="007E785D"/>
    <w:rsid w:val="007F0123"/>
    <w:rsid w:val="007F048F"/>
    <w:rsid w:val="007F0D45"/>
    <w:rsid w:val="007F1EC5"/>
    <w:rsid w:val="007F2764"/>
    <w:rsid w:val="007F3221"/>
    <w:rsid w:val="007F3F8E"/>
    <w:rsid w:val="007F45FC"/>
    <w:rsid w:val="007F4AE5"/>
    <w:rsid w:val="007F6233"/>
    <w:rsid w:val="007F7B52"/>
    <w:rsid w:val="00800308"/>
    <w:rsid w:val="008012C3"/>
    <w:rsid w:val="00802608"/>
    <w:rsid w:val="00802FA0"/>
    <w:rsid w:val="008030BE"/>
    <w:rsid w:val="00803186"/>
    <w:rsid w:val="00803FCA"/>
    <w:rsid w:val="00810C37"/>
    <w:rsid w:val="00813C0D"/>
    <w:rsid w:val="00813E34"/>
    <w:rsid w:val="00815734"/>
    <w:rsid w:val="00815A41"/>
    <w:rsid w:val="00816125"/>
    <w:rsid w:val="008163A9"/>
    <w:rsid w:val="008167C0"/>
    <w:rsid w:val="008176D0"/>
    <w:rsid w:val="00820241"/>
    <w:rsid w:val="00820476"/>
    <w:rsid w:val="00821243"/>
    <w:rsid w:val="0082380C"/>
    <w:rsid w:val="00823A1C"/>
    <w:rsid w:val="00823E41"/>
    <w:rsid w:val="00826810"/>
    <w:rsid w:val="0082693A"/>
    <w:rsid w:val="00826D3D"/>
    <w:rsid w:val="00831B36"/>
    <w:rsid w:val="00831BA1"/>
    <w:rsid w:val="00832632"/>
    <w:rsid w:val="00833B03"/>
    <w:rsid w:val="008353E5"/>
    <w:rsid w:val="00835892"/>
    <w:rsid w:val="00837CBB"/>
    <w:rsid w:val="00841E63"/>
    <w:rsid w:val="00842D03"/>
    <w:rsid w:val="00843DAB"/>
    <w:rsid w:val="0084428D"/>
    <w:rsid w:val="00845AEF"/>
    <w:rsid w:val="00845BBB"/>
    <w:rsid w:val="008461D8"/>
    <w:rsid w:val="00846228"/>
    <w:rsid w:val="008518E2"/>
    <w:rsid w:val="00851D4D"/>
    <w:rsid w:val="00851FC1"/>
    <w:rsid w:val="0085310A"/>
    <w:rsid w:val="00854DC4"/>
    <w:rsid w:val="0085523C"/>
    <w:rsid w:val="008569F7"/>
    <w:rsid w:val="00860C1E"/>
    <w:rsid w:val="0086124F"/>
    <w:rsid w:val="008617E8"/>
    <w:rsid w:val="00862C19"/>
    <w:rsid w:val="00862E0B"/>
    <w:rsid w:val="00862FAF"/>
    <w:rsid w:val="008630A9"/>
    <w:rsid w:val="0086434C"/>
    <w:rsid w:val="008670ED"/>
    <w:rsid w:val="008674A5"/>
    <w:rsid w:val="00867851"/>
    <w:rsid w:val="00870382"/>
    <w:rsid w:val="00870A8B"/>
    <w:rsid w:val="008719F6"/>
    <w:rsid w:val="00872CD5"/>
    <w:rsid w:val="0087350B"/>
    <w:rsid w:val="008811D2"/>
    <w:rsid w:val="00881C03"/>
    <w:rsid w:val="00882308"/>
    <w:rsid w:val="008853E5"/>
    <w:rsid w:val="00886F08"/>
    <w:rsid w:val="00887087"/>
    <w:rsid w:val="00887904"/>
    <w:rsid w:val="00890D65"/>
    <w:rsid w:val="00892759"/>
    <w:rsid w:val="00892B37"/>
    <w:rsid w:val="00893C4B"/>
    <w:rsid w:val="008952C2"/>
    <w:rsid w:val="00895C39"/>
    <w:rsid w:val="0089634D"/>
    <w:rsid w:val="008975D4"/>
    <w:rsid w:val="008A1891"/>
    <w:rsid w:val="008A2A44"/>
    <w:rsid w:val="008A3830"/>
    <w:rsid w:val="008A4EA0"/>
    <w:rsid w:val="008A603E"/>
    <w:rsid w:val="008B06CF"/>
    <w:rsid w:val="008B0E76"/>
    <w:rsid w:val="008B0FCD"/>
    <w:rsid w:val="008B1537"/>
    <w:rsid w:val="008B166A"/>
    <w:rsid w:val="008B2F42"/>
    <w:rsid w:val="008B3E2B"/>
    <w:rsid w:val="008B40CA"/>
    <w:rsid w:val="008B4DDD"/>
    <w:rsid w:val="008B5E58"/>
    <w:rsid w:val="008B67F4"/>
    <w:rsid w:val="008B6E3B"/>
    <w:rsid w:val="008C0255"/>
    <w:rsid w:val="008C1256"/>
    <w:rsid w:val="008C147E"/>
    <w:rsid w:val="008C3045"/>
    <w:rsid w:val="008C4563"/>
    <w:rsid w:val="008C4867"/>
    <w:rsid w:val="008C6833"/>
    <w:rsid w:val="008C6DA9"/>
    <w:rsid w:val="008D0A49"/>
    <w:rsid w:val="008D0F6A"/>
    <w:rsid w:val="008D159E"/>
    <w:rsid w:val="008D2A8E"/>
    <w:rsid w:val="008D33F8"/>
    <w:rsid w:val="008D34E0"/>
    <w:rsid w:val="008D4696"/>
    <w:rsid w:val="008D489E"/>
    <w:rsid w:val="008D5D30"/>
    <w:rsid w:val="008D62B1"/>
    <w:rsid w:val="008D74BF"/>
    <w:rsid w:val="008E14FD"/>
    <w:rsid w:val="008E38E7"/>
    <w:rsid w:val="008E6581"/>
    <w:rsid w:val="008E7784"/>
    <w:rsid w:val="008F2DFC"/>
    <w:rsid w:val="008F30BD"/>
    <w:rsid w:val="008F3BCE"/>
    <w:rsid w:val="008F3C2C"/>
    <w:rsid w:val="008F46B9"/>
    <w:rsid w:val="008F7E20"/>
    <w:rsid w:val="009008CB"/>
    <w:rsid w:val="00900D4A"/>
    <w:rsid w:val="009012A3"/>
    <w:rsid w:val="009021FC"/>
    <w:rsid w:val="0090288F"/>
    <w:rsid w:val="00903377"/>
    <w:rsid w:val="00903807"/>
    <w:rsid w:val="009072BD"/>
    <w:rsid w:val="009074EB"/>
    <w:rsid w:val="00907A58"/>
    <w:rsid w:val="00907A6B"/>
    <w:rsid w:val="00912484"/>
    <w:rsid w:val="00913158"/>
    <w:rsid w:val="009136E7"/>
    <w:rsid w:val="00914006"/>
    <w:rsid w:val="00914C00"/>
    <w:rsid w:val="009167D2"/>
    <w:rsid w:val="00921ED8"/>
    <w:rsid w:val="00922C7A"/>
    <w:rsid w:val="00923950"/>
    <w:rsid w:val="0092473F"/>
    <w:rsid w:val="00924894"/>
    <w:rsid w:val="009269AE"/>
    <w:rsid w:val="0093076A"/>
    <w:rsid w:val="009309BA"/>
    <w:rsid w:val="009320D8"/>
    <w:rsid w:val="0093231A"/>
    <w:rsid w:val="00932FF5"/>
    <w:rsid w:val="00935E1B"/>
    <w:rsid w:val="00936376"/>
    <w:rsid w:val="00937D05"/>
    <w:rsid w:val="00940273"/>
    <w:rsid w:val="00942FE4"/>
    <w:rsid w:val="00944C06"/>
    <w:rsid w:val="0094515F"/>
    <w:rsid w:val="0094614F"/>
    <w:rsid w:val="0094653B"/>
    <w:rsid w:val="00947BED"/>
    <w:rsid w:val="00950A9F"/>
    <w:rsid w:val="0095187F"/>
    <w:rsid w:val="00952221"/>
    <w:rsid w:val="0095291A"/>
    <w:rsid w:val="00953402"/>
    <w:rsid w:val="0095508E"/>
    <w:rsid w:val="00955A4E"/>
    <w:rsid w:val="009564C5"/>
    <w:rsid w:val="00956FCC"/>
    <w:rsid w:val="00957513"/>
    <w:rsid w:val="009609AA"/>
    <w:rsid w:val="00961541"/>
    <w:rsid w:val="00961B57"/>
    <w:rsid w:val="00963BFF"/>
    <w:rsid w:val="0096727A"/>
    <w:rsid w:val="00967CA5"/>
    <w:rsid w:val="00970D81"/>
    <w:rsid w:val="00971FD4"/>
    <w:rsid w:val="009747AF"/>
    <w:rsid w:val="0097484A"/>
    <w:rsid w:val="00974FC6"/>
    <w:rsid w:val="00975253"/>
    <w:rsid w:val="00975A75"/>
    <w:rsid w:val="009778E5"/>
    <w:rsid w:val="00977A13"/>
    <w:rsid w:val="00977A86"/>
    <w:rsid w:val="00977F77"/>
    <w:rsid w:val="00980B78"/>
    <w:rsid w:val="00980C88"/>
    <w:rsid w:val="00982ECE"/>
    <w:rsid w:val="0098401B"/>
    <w:rsid w:val="0098436E"/>
    <w:rsid w:val="00985853"/>
    <w:rsid w:val="00985CA4"/>
    <w:rsid w:val="00986480"/>
    <w:rsid w:val="009864FE"/>
    <w:rsid w:val="0098664C"/>
    <w:rsid w:val="00986E13"/>
    <w:rsid w:val="00987529"/>
    <w:rsid w:val="00987942"/>
    <w:rsid w:val="00990E93"/>
    <w:rsid w:val="00992677"/>
    <w:rsid w:val="00993DCB"/>
    <w:rsid w:val="00994B61"/>
    <w:rsid w:val="00995F83"/>
    <w:rsid w:val="009963A0"/>
    <w:rsid w:val="00997822"/>
    <w:rsid w:val="009A23E8"/>
    <w:rsid w:val="009A28C7"/>
    <w:rsid w:val="009A363C"/>
    <w:rsid w:val="009A3B91"/>
    <w:rsid w:val="009A49EA"/>
    <w:rsid w:val="009A6C94"/>
    <w:rsid w:val="009B15D1"/>
    <w:rsid w:val="009B1632"/>
    <w:rsid w:val="009B2F5C"/>
    <w:rsid w:val="009B3AF0"/>
    <w:rsid w:val="009B4C89"/>
    <w:rsid w:val="009B4FC0"/>
    <w:rsid w:val="009B5D1E"/>
    <w:rsid w:val="009B694F"/>
    <w:rsid w:val="009B71BF"/>
    <w:rsid w:val="009C026B"/>
    <w:rsid w:val="009C0323"/>
    <w:rsid w:val="009C0FB8"/>
    <w:rsid w:val="009C22BA"/>
    <w:rsid w:val="009C2301"/>
    <w:rsid w:val="009C299B"/>
    <w:rsid w:val="009C31B8"/>
    <w:rsid w:val="009C4EBC"/>
    <w:rsid w:val="009C7768"/>
    <w:rsid w:val="009D002B"/>
    <w:rsid w:val="009D0597"/>
    <w:rsid w:val="009D0D0A"/>
    <w:rsid w:val="009D14D3"/>
    <w:rsid w:val="009D1BDD"/>
    <w:rsid w:val="009D2A93"/>
    <w:rsid w:val="009D6886"/>
    <w:rsid w:val="009D6EE2"/>
    <w:rsid w:val="009D6F28"/>
    <w:rsid w:val="009E2044"/>
    <w:rsid w:val="009E44AF"/>
    <w:rsid w:val="009E4C83"/>
    <w:rsid w:val="009E5764"/>
    <w:rsid w:val="009E655F"/>
    <w:rsid w:val="009E7B03"/>
    <w:rsid w:val="009F00F5"/>
    <w:rsid w:val="009F09B5"/>
    <w:rsid w:val="009F1360"/>
    <w:rsid w:val="009F3C82"/>
    <w:rsid w:val="009F46D4"/>
    <w:rsid w:val="009F5854"/>
    <w:rsid w:val="009F7F43"/>
    <w:rsid w:val="00A009C8"/>
    <w:rsid w:val="00A00E3D"/>
    <w:rsid w:val="00A03C2C"/>
    <w:rsid w:val="00A04D03"/>
    <w:rsid w:val="00A052B1"/>
    <w:rsid w:val="00A06259"/>
    <w:rsid w:val="00A06467"/>
    <w:rsid w:val="00A06A37"/>
    <w:rsid w:val="00A1002B"/>
    <w:rsid w:val="00A10B4D"/>
    <w:rsid w:val="00A11E15"/>
    <w:rsid w:val="00A145E9"/>
    <w:rsid w:val="00A1471E"/>
    <w:rsid w:val="00A15263"/>
    <w:rsid w:val="00A16B06"/>
    <w:rsid w:val="00A176B2"/>
    <w:rsid w:val="00A20F91"/>
    <w:rsid w:val="00A22041"/>
    <w:rsid w:val="00A226C2"/>
    <w:rsid w:val="00A22EAC"/>
    <w:rsid w:val="00A23433"/>
    <w:rsid w:val="00A23812"/>
    <w:rsid w:val="00A24B12"/>
    <w:rsid w:val="00A26500"/>
    <w:rsid w:val="00A3051C"/>
    <w:rsid w:val="00A31BC9"/>
    <w:rsid w:val="00A33743"/>
    <w:rsid w:val="00A33C1E"/>
    <w:rsid w:val="00A37624"/>
    <w:rsid w:val="00A376A7"/>
    <w:rsid w:val="00A40E55"/>
    <w:rsid w:val="00A418F5"/>
    <w:rsid w:val="00A41EF7"/>
    <w:rsid w:val="00A43A64"/>
    <w:rsid w:val="00A4455E"/>
    <w:rsid w:val="00A450F1"/>
    <w:rsid w:val="00A4543E"/>
    <w:rsid w:val="00A470D2"/>
    <w:rsid w:val="00A51717"/>
    <w:rsid w:val="00A53740"/>
    <w:rsid w:val="00A53CDE"/>
    <w:rsid w:val="00A5418D"/>
    <w:rsid w:val="00A5616C"/>
    <w:rsid w:val="00A5696A"/>
    <w:rsid w:val="00A56FD8"/>
    <w:rsid w:val="00A6122A"/>
    <w:rsid w:val="00A62A86"/>
    <w:rsid w:val="00A62EB6"/>
    <w:rsid w:val="00A64DD3"/>
    <w:rsid w:val="00A65D04"/>
    <w:rsid w:val="00A66788"/>
    <w:rsid w:val="00A67343"/>
    <w:rsid w:val="00A67DBF"/>
    <w:rsid w:val="00A67F5D"/>
    <w:rsid w:val="00A70085"/>
    <w:rsid w:val="00A72274"/>
    <w:rsid w:val="00A731A1"/>
    <w:rsid w:val="00A76DF8"/>
    <w:rsid w:val="00A7794C"/>
    <w:rsid w:val="00A77AD5"/>
    <w:rsid w:val="00A77B2A"/>
    <w:rsid w:val="00A819DA"/>
    <w:rsid w:val="00A828DC"/>
    <w:rsid w:val="00A82C73"/>
    <w:rsid w:val="00A83344"/>
    <w:rsid w:val="00A834D8"/>
    <w:rsid w:val="00A83D98"/>
    <w:rsid w:val="00A912DA"/>
    <w:rsid w:val="00A926C3"/>
    <w:rsid w:val="00A92F80"/>
    <w:rsid w:val="00A933CE"/>
    <w:rsid w:val="00A93760"/>
    <w:rsid w:val="00A94004"/>
    <w:rsid w:val="00A95DB3"/>
    <w:rsid w:val="00A95E89"/>
    <w:rsid w:val="00A966B8"/>
    <w:rsid w:val="00A97C5A"/>
    <w:rsid w:val="00AA0B56"/>
    <w:rsid w:val="00AA0C5A"/>
    <w:rsid w:val="00AA358B"/>
    <w:rsid w:val="00AA4FD0"/>
    <w:rsid w:val="00AA5DF4"/>
    <w:rsid w:val="00AA6000"/>
    <w:rsid w:val="00AA6A60"/>
    <w:rsid w:val="00AB0A52"/>
    <w:rsid w:val="00AB19FD"/>
    <w:rsid w:val="00AB1C80"/>
    <w:rsid w:val="00AB3453"/>
    <w:rsid w:val="00AB3A25"/>
    <w:rsid w:val="00AB62F2"/>
    <w:rsid w:val="00AB62FB"/>
    <w:rsid w:val="00AB6E72"/>
    <w:rsid w:val="00AC0880"/>
    <w:rsid w:val="00AC0CD8"/>
    <w:rsid w:val="00AC1CA8"/>
    <w:rsid w:val="00AC345B"/>
    <w:rsid w:val="00AC408D"/>
    <w:rsid w:val="00AC7AE0"/>
    <w:rsid w:val="00AD08A8"/>
    <w:rsid w:val="00AD1988"/>
    <w:rsid w:val="00AD28F3"/>
    <w:rsid w:val="00AD323C"/>
    <w:rsid w:val="00AD6926"/>
    <w:rsid w:val="00AD6A28"/>
    <w:rsid w:val="00AD778E"/>
    <w:rsid w:val="00AE12B1"/>
    <w:rsid w:val="00AE1BB1"/>
    <w:rsid w:val="00AE3126"/>
    <w:rsid w:val="00AE3DA6"/>
    <w:rsid w:val="00AE3F68"/>
    <w:rsid w:val="00AE43E0"/>
    <w:rsid w:val="00AE5112"/>
    <w:rsid w:val="00AE6575"/>
    <w:rsid w:val="00AE7FA3"/>
    <w:rsid w:val="00AF1DAA"/>
    <w:rsid w:val="00AF4F5B"/>
    <w:rsid w:val="00AF4FD8"/>
    <w:rsid w:val="00AF7002"/>
    <w:rsid w:val="00AF737E"/>
    <w:rsid w:val="00B02194"/>
    <w:rsid w:val="00B0270E"/>
    <w:rsid w:val="00B03454"/>
    <w:rsid w:val="00B03A3D"/>
    <w:rsid w:val="00B05958"/>
    <w:rsid w:val="00B07358"/>
    <w:rsid w:val="00B07EE8"/>
    <w:rsid w:val="00B1014F"/>
    <w:rsid w:val="00B11514"/>
    <w:rsid w:val="00B11BCA"/>
    <w:rsid w:val="00B12C51"/>
    <w:rsid w:val="00B13158"/>
    <w:rsid w:val="00B138E4"/>
    <w:rsid w:val="00B139F8"/>
    <w:rsid w:val="00B140EA"/>
    <w:rsid w:val="00B15084"/>
    <w:rsid w:val="00B15885"/>
    <w:rsid w:val="00B205F2"/>
    <w:rsid w:val="00B21638"/>
    <w:rsid w:val="00B238AD"/>
    <w:rsid w:val="00B256EC"/>
    <w:rsid w:val="00B269E0"/>
    <w:rsid w:val="00B26F6E"/>
    <w:rsid w:val="00B2753B"/>
    <w:rsid w:val="00B27581"/>
    <w:rsid w:val="00B322C4"/>
    <w:rsid w:val="00B328E8"/>
    <w:rsid w:val="00B32CCB"/>
    <w:rsid w:val="00B36DCA"/>
    <w:rsid w:val="00B4045C"/>
    <w:rsid w:val="00B413E2"/>
    <w:rsid w:val="00B414C9"/>
    <w:rsid w:val="00B44062"/>
    <w:rsid w:val="00B44B13"/>
    <w:rsid w:val="00B45E0C"/>
    <w:rsid w:val="00B5098B"/>
    <w:rsid w:val="00B51541"/>
    <w:rsid w:val="00B5292F"/>
    <w:rsid w:val="00B53A1C"/>
    <w:rsid w:val="00B53B0F"/>
    <w:rsid w:val="00B544B5"/>
    <w:rsid w:val="00B56E65"/>
    <w:rsid w:val="00B57026"/>
    <w:rsid w:val="00B60C89"/>
    <w:rsid w:val="00B61B89"/>
    <w:rsid w:val="00B62E8A"/>
    <w:rsid w:val="00B63AEF"/>
    <w:rsid w:val="00B64B62"/>
    <w:rsid w:val="00B6501C"/>
    <w:rsid w:val="00B65A2D"/>
    <w:rsid w:val="00B65BD8"/>
    <w:rsid w:val="00B670E9"/>
    <w:rsid w:val="00B6712D"/>
    <w:rsid w:val="00B6790F"/>
    <w:rsid w:val="00B67D7E"/>
    <w:rsid w:val="00B70006"/>
    <w:rsid w:val="00B70208"/>
    <w:rsid w:val="00B70B80"/>
    <w:rsid w:val="00B70EC1"/>
    <w:rsid w:val="00B70ECF"/>
    <w:rsid w:val="00B7154A"/>
    <w:rsid w:val="00B71A40"/>
    <w:rsid w:val="00B71D3E"/>
    <w:rsid w:val="00B72CC7"/>
    <w:rsid w:val="00B72F1A"/>
    <w:rsid w:val="00B730C4"/>
    <w:rsid w:val="00B73178"/>
    <w:rsid w:val="00B749D9"/>
    <w:rsid w:val="00B8045C"/>
    <w:rsid w:val="00B815A0"/>
    <w:rsid w:val="00B81902"/>
    <w:rsid w:val="00B83ED9"/>
    <w:rsid w:val="00B84BF8"/>
    <w:rsid w:val="00B85736"/>
    <w:rsid w:val="00B90D2B"/>
    <w:rsid w:val="00B91584"/>
    <w:rsid w:val="00B91727"/>
    <w:rsid w:val="00B91E45"/>
    <w:rsid w:val="00B920F6"/>
    <w:rsid w:val="00B9421E"/>
    <w:rsid w:val="00B96681"/>
    <w:rsid w:val="00B96EC4"/>
    <w:rsid w:val="00B97AF4"/>
    <w:rsid w:val="00BA1A2D"/>
    <w:rsid w:val="00BA31B9"/>
    <w:rsid w:val="00BA69C8"/>
    <w:rsid w:val="00BA7218"/>
    <w:rsid w:val="00BB1A4A"/>
    <w:rsid w:val="00BB20E0"/>
    <w:rsid w:val="00BB3439"/>
    <w:rsid w:val="00BB3D9F"/>
    <w:rsid w:val="00BB4ADD"/>
    <w:rsid w:val="00BB4E02"/>
    <w:rsid w:val="00BB53E2"/>
    <w:rsid w:val="00BB6130"/>
    <w:rsid w:val="00BB7610"/>
    <w:rsid w:val="00BB79D8"/>
    <w:rsid w:val="00BC035E"/>
    <w:rsid w:val="00BC1EB9"/>
    <w:rsid w:val="00BC2350"/>
    <w:rsid w:val="00BC5020"/>
    <w:rsid w:val="00BC634B"/>
    <w:rsid w:val="00BC71E5"/>
    <w:rsid w:val="00BC7E9A"/>
    <w:rsid w:val="00BD1860"/>
    <w:rsid w:val="00BD2E5F"/>
    <w:rsid w:val="00BD4389"/>
    <w:rsid w:val="00BD5133"/>
    <w:rsid w:val="00BD55CA"/>
    <w:rsid w:val="00BD5E36"/>
    <w:rsid w:val="00BD66CF"/>
    <w:rsid w:val="00BE08BD"/>
    <w:rsid w:val="00BE0D38"/>
    <w:rsid w:val="00BE3246"/>
    <w:rsid w:val="00BE3DB5"/>
    <w:rsid w:val="00BE4DBE"/>
    <w:rsid w:val="00BE6EF3"/>
    <w:rsid w:val="00BF12E5"/>
    <w:rsid w:val="00BF453C"/>
    <w:rsid w:val="00BF59E9"/>
    <w:rsid w:val="00BF67C8"/>
    <w:rsid w:val="00BF6E68"/>
    <w:rsid w:val="00BF7E02"/>
    <w:rsid w:val="00BF7F05"/>
    <w:rsid w:val="00C01E83"/>
    <w:rsid w:val="00C02C3C"/>
    <w:rsid w:val="00C033FD"/>
    <w:rsid w:val="00C03A4C"/>
    <w:rsid w:val="00C040CF"/>
    <w:rsid w:val="00C04F09"/>
    <w:rsid w:val="00C06F79"/>
    <w:rsid w:val="00C0745D"/>
    <w:rsid w:val="00C10653"/>
    <w:rsid w:val="00C108CC"/>
    <w:rsid w:val="00C10962"/>
    <w:rsid w:val="00C10C21"/>
    <w:rsid w:val="00C1340A"/>
    <w:rsid w:val="00C16977"/>
    <w:rsid w:val="00C16B10"/>
    <w:rsid w:val="00C16F86"/>
    <w:rsid w:val="00C23553"/>
    <w:rsid w:val="00C24A41"/>
    <w:rsid w:val="00C26918"/>
    <w:rsid w:val="00C26D36"/>
    <w:rsid w:val="00C274BF"/>
    <w:rsid w:val="00C30133"/>
    <w:rsid w:val="00C32773"/>
    <w:rsid w:val="00C334A5"/>
    <w:rsid w:val="00C33E48"/>
    <w:rsid w:val="00C33F30"/>
    <w:rsid w:val="00C3448A"/>
    <w:rsid w:val="00C34BFC"/>
    <w:rsid w:val="00C35266"/>
    <w:rsid w:val="00C35448"/>
    <w:rsid w:val="00C3599A"/>
    <w:rsid w:val="00C402DA"/>
    <w:rsid w:val="00C42D20"/>
    <w:rsid w:val="00C45110"/>
    <w:rsid w:val="00C47198"/>
    <w:rsid w:val="00C47B7B"/>
    <w:rsid w:val="00C50A6B"/>
    <w:rsid w:val="00C51D5D"/>
    <w:rsid w:val="00C52C1C"/>
    <w:rsid w:val="00C52FD6"/>
    <w:rsid w:val="00C54790"/>
    <w:rsid w:val="00C54F26"/>
    <w:rsid w:val="00C55A6B"/>
    <w:rsid w:val="00C6055E"/>
    <w:rsid w:val="00C61D46"/>
    <w:rsid w:val="00C62F55"/>
    <w:rsid w:val="00C63732"/>
    <w:rsid w:val="00C65682"/>
    <w:rsid w:val="00C65A30"/>
    <w:rsid w:val="00C674C2"/>
    <w:rsid w:val="00C6784B"/>
    <w:rsid w:val="00C67919"/>
    <w:rsid w:val="00C67BE4"/>
    <w:rsid w:val="00C74304"/>
    <w:rsid w:val="00C74947"/>
    <w:rsid w:val="00C74C8C"/>
    <w:rsid w:val="00C75A14"/>
    <w:rsid w:val="00C77B4B"/>
    <w:rsid w:val="00C82098"/>
    <w:rsid w:val="00C831D2"/>
    <w:rsid w:val="00C834D9"/>
    <w:rsid w:val="00C8377A"/>
    <w:rsid w:val="00C83FB5"/>
    <w:rsid w:val="00C840F9"/>
    <w:rsid w:val="00C872DB"/>
    <w:rsid w:val="00C90653"/>
    <w:rsid w:val="00C92C5F"/>
    <w:rsid w:val="00C92CBA"/>
    <w:rsid w:val="00CA0A7E"/>
    <w:rsid w:val="00CA0F49"/>
    <w:rsid w:val="00CA1AA3"/>
    <w:rsid w:val="00CA2EDA"/>
    <w:rsid w:val="00CA43BF"/>
    <w:rsid w:val="00CA5E53"/>
    <w:rsid w:val="00CB014A"/>
    <w:rsid w:val="00CB0477"/>
    <w:rsid w:val="00CB1C88"/>
    <w:rsid w:val="00CB1E24"/>
    <w:rsid w:val="00CB2CEE"/>
    <w:rsid w:val="00CB3174"/>
    <w:rsid w:val="00CB3948"/>
    <w:rsid w:val="00CB3BDC"/>
    <w:rsid w:val="00CB3C53"/>
    <w:rsid w:val="00CB406D"/>
    <w:rsid w:val="00CB4B32"/>
    <w:rsid w:val="00CC3940"/>
    <w:rsid w:val="00CC4C7D"/>
    <w:rsid w:val="00CC525A"/>
    <w:rsid w:val="00CC606B"/>
    <w:rsid w:val="00CD1313"/>
    <w:rsid w:val="00CD1C34"/>
    <w:rsid w:val="00CD2947"/>
    <w:rsid w:val="00CD337E"/>
    <w:rsid w:val="00CD3CD4"/>
    <w:rsid w:val="00CD459B"/>
    <w:rsid w:val="00CD5522"/>
    <w:rsid w:val="00CD60F7"/>
    <w:rsid w:val="00CD7E03"/>
    <w:rsid w:val="00CD7EDB"/>
    <w:rsid w:val="00CE010E"/>
    <w:rsid w:val="00CE206F"/>
    <w:rsid w:val="00CE23BF"/>
    <w:rsid w:val="00CE4A04"/>
    <w:rsid w:val="00CE51AF"/>
    <w:rsid w:val="00CE5C13"/>
    <w:rsid w:val="00CE7DEC"/>
    <w:rsid w:val="00CF09B7"/>
    <w:rsid w:val="00CF276C"/>
    <w:rsid w:val="00CF2EA5"/>
    <w:rsid w:val="00CF30F1"/>
    <w:rsid w:val="00CF350A"/>
    <w:rsid w:val="00CF3DDA"/>
    <w:rsid w:val="00CF6D90"/>
    <w:rsid w:val="00CF7467"/>
    <w:rsid w:val="00D014F5"/>
    <w:rsid w:val="00D0251F"/>
    <w:rsid w:val="00D0265D"/>
    <w:rsid w:val="00D033E1"/>
    <w:rsid w:val="00D071B9"/>
    <w:rsid w:val="00D07C20"/>
    <w:rsid w:val="00D118E3"/>
    <w:rsid w:val="00D11DE2"/>
    <w:rsid w:val="00D12C71"/>
    <w:rsid w:val="00D13137"/>
    <w:rsid w:val="00D139CF"/>
    <w:rsid w:val="00D13C93"/>
    <w:rsid w:val="00D15E87"/>
    <w:rsid w:val="00D16B36"/>
    <w:rsid w:val="00D16F4F"/>
    <w:rsid w:val="00D20392"/>
    <w:rsid w:val="00D2059C"/>
    <w:rsid w:val="00D210EE"/>
    <w:rsid w:val="00D21574"/>
    <w:rsid w:val="00D218A5"/>
    <w:rsid w:val="00D21F8C"/>
    <w:rsid w:val="00D229BF"/>
    <w:rsid w:val="00D22E36"/>
    <w:rsid w:val="00D2371D"/>
    <w:rsid w:val="00D24AED"/>
    <w:rsid w:val="00D27D03"/>
    <w:rsid w:val="00D303F8"/>
    <w:rsid w:val="00D31C54"/>
    <w:rsid w:val="00D34A3F"/>
    <w:rsid w:val="00D3522D"/>
    <w:rsid w:val="00D35A38"/>
    <w:rsid w:val="00D36072"/>
    <w:rsid w:val="00D373EA"/>
    <w:rsid w:val="00D408A9"/>
    <w:rsid w:val="00D4241F"/>
    <w:rsid w:val="00D426E8"/>
    <w:rsid w:val="00D42E18"/>
    <w:rsid w:val="00D451DA"/>
    <w:rsid w:val="00D45BC3"/>
    <w:rsid w:val="00D45CBF"/>
    <w:rsid w:val="00D47894"/>
    <w:rsid w:val="00D50D43"/>
    <w:rsid w:val="00D5113F"/>
    <w:rsid w:val="00D536FC"/>
    <w:rsid w:val="00D541C2"/>
    <w:rsid w:val="00D54271"/>
    <w:rsid w:val="00D54E95"/>
    <w:rsid w:val="00D56318"/>
    <w:rsid w:val="00D61090"/>
    <w:rsid w:val="00D6138B"/>
    <w:rsid w:val="00D62919"/>
    <w:rsid w:val="00D64AD5"/>
    <w:rsid w:val="00D64FA7"/>
    <w:rsid w:val="00D64FDE"/>
    <w:rsid w:val="00D66AF5"/>
    <w:rsid w:val="00D7070E"/>
    <w:rsid w:val="00D7209F"/>
    <w:rsid w:val="00D730AA"/>
    <w:rsid w:val="00D77610"/>
    <w:rsid w:val="00D80DC8"/>
    <w:rsid w:val="00D841EB"/>
    <w:rsid w:val="00D84645"/>
    <w:rsid w:val="00D84ED5"/>
    <w:rsid w:val="00D93DB4"/>
    <w:rsid w:val="00D94967"/>
    <w:rsid w:val="00D9552E"/>
    <w:rsid w:val="00D95EFE"/>
    <w:rsid w:val="00D97629"/>
    <w:rsid w:val="00DA0339"/>
    <w:rsid w:val="00DA0FE4"/>
    <w:rsid w:val="00DA15D8"/>
    <w:rsid w:val="00DA1DDC"/>
    <w:rsid w:val="00DA273C"/>
    <w:rsid w:val="00DA2D83"/>
    <w:rsid w:val="00DA4B09"/>
    <w:rsid w:val="00DA573D"/>
    <w:rsid w:val="00DA6A61"/>
    <w:rsid w:val="00DA72AE"/>
    <w:rsid w:val="00DA7569"/>
    <w:rsid w:val="00DA793B"/>
    <w:rsid w:val="00DA7AAC"/>
    <w:rsid w:val="00DA7C8F"/>
    <w:rsid w:val="00DA7F83"/>
    <w:rsid w:val="00DB231F"/>
    <w:rsid w:val="00DB3436"/>
    <w:rsid w:val="00DB5924"/>
    <w:rsid w:val="00DB7813"/>
    <w:rsid w:val="00DB7BE6"/>
    <w:rsid w:val="00DB7D2C"/>
    <w:rsid w:val="00DC152C"/>
    <w:rsid w:val="00DC2770"/>
    <w:rsid w:val="00DC43B6"/>
    <w:rsid w:val="00DC47D1"/>
    <w:rsid w:val="00DC50AA"/>
    <w:rsid w:val="00DC5219"/>
    <w:rsid w:val="00DC6AFF"/>
    <w:rsid w:val="00DC7902"/>
    <w:rsid w:val="00DD0C88"/>
    <w:rsid w:val="00DD1524"/>
    <w:rsid w:val="00DD2CBA"/>
    <w:rsid w:val="00DD3170"/>
    <w:rsid w:val="00DD6AB1"/>
    <w:rsid w:val="00DD716A"/>
    <w:rsid w:val="00DD738E"/>
    <w:rsid w:val="00DD75F3"/>
    <w:rsid w:val="00DE11F8"/>
    <w:rsid w:val="00DE155A"/>
    <w:rsid w:val="00DE1704"/>
    <w:rsid w:val="00DE46B9"/>
    <w:rsid w:val="00DE4E66"/>
    <w:rsid w:val="00DE4F8E"/>
    <w:rsid w:val="00DE5792"/>
    <w:rsid w:val="00DE6D60"/>
    <w:rsid w:val="00DE6F37"/>
    <w:rsid w:val="00DF0565"/>
    <w:rsid w:val="00DF1F08"/>
    <w:rsid w:val="00DF2A56"/>
    <w:rsid w:val="00DF4A37"/>
    <w:rsid w:val="00DF4A51"/>
    <w:rsid w:val="00DF4C40"/>
    <w:rsid w:val="00DF4F4A"/>
    <w:rsid w:val="00DF6017"/>
    <w:rsid w:val="00DF7275"/>
    <w:rsid w:val="00E02318"/>
    <w:rsid w:val="00E03D1E"/>
    <w:rsid w:val="00E040F7"/>
    <w:rsid w:val="00E04BF0"/>
    <w:rsid w:val="00E0538E"/>
    <w:rsid w:val="00E05CF4"/>
    <w:rsid w:val="00E06398"/>
    <w:rsid w:val="00E100AB"/>
    <w:rsid w:val="00E10AA4"/>
    <w:rsid w:val="00E11525"/>
    <w:rsid w:val="00E1460D"/>
    <w:rsid w:val="00E15861"/>
    <w:rsid w:val="00E15D0A"/>
    <w:rsid w:val="00E1658C"/>
    <w:rsid w:val="00E17226"/>
    <w:rsid w:val="00E22161"/>
    <w:rsid w:val="00E25647"/>
    <w:rsid w:val="00E25D6D"/>
    <w:rsid w:val="00E25DC0"/>
    <w:rsid w:val="00E25F41"/>
    <w:rsid w:val="00E26284"/>
    <w:rsid w:val="00E265FC"/>
    <w:rsid w:val="00E30A0D"/>
    <w:rsid w:val="00E31528"/>
    <w:rsid w:val="00E3215C"/>
    <w:rsid w:val="00E32474"/>
    <w:rsid w:val="00E33C58"/>
    <w:rsid w:val="00E35120"/>
    <w:rsid w:val="00E35236"/>
    <w:rsid w:val="00E366FF"/>
    <w:rsid w:val="00E36FC0"/>
    <w:rsid w:val="00E40434"/>
    <w:rsid w:val="00E40B6E"/>
    <w:rsid w:val="00E419E2"/>
    <w:rsid w:val="00E42077"/>
    <w:rsid w:val="00E43E20"/>
    <w:rsid w:val="00E45DDD"/>
    <w:rsid w:val="00E472B4"/>
    <w:rsid w:val="00E47338"/>
    <w:rsid w:val="00E477E0"/>
    <w:rsid w:val="00E47DAE"/>
    <w:rsid w:val="00E50091"/>
    <w:rsid w:val="00E506BA"/>
    <w:rsid w:val="00E507A9"/>
    <w:rsid w:val="00E51C47"/>
    <w:rsid w:val="00E52003"/>
    <w:rsid w:val="00E532C0"/>
    <w:rsid w:val="00E5341E"/>
    <w:rsid w:val="00E55CFA"/>
    <w:rsid w:val="00E564DF"/>
    <w:rsid w:val="00E56544"/>
    <w:rsid w:val="00E62F7B"/>
    <w:rsid w:val="00E63D2D"/>
    <w:rsid w:val="00E663CE"/>
    <w:rsid w:val="00E66659"/>
    <w:rsid w:val="00E67B62"/>
    <w:rsid w:val="00E67BE4"/>
    <w:rsid w:val="00E71D64"/>
    <w:rsid w:val="00E736CE"/>
    <w:rsid w:val="00E738CD"/>
    <w:rsid w:val="00E745C5"/>
    <w:rsid w:val="00E761C2"/>
    <w:rsid w:val="00E770E7"/>
    <w:rsid w:val="00E7773E"/>
    <w:rsid w:val="00E80169"/>
    <w:rsid w:val="00E823C1"/>
    <w:rsid w:val="00E82992"/>
    <w:rsid w:val="00E82C25"/>
    <w:rsid w:val="00E832E2"/>
    <w:rsid w:val="00E8354E"/>
    <w:rsid w:val="00E83B5C"/>
    <w:rsid w:val="00E83BC8"/>
    <w:rsid w:val="00E84C85"/>
    <w:rsid w:val="00E86C17"/>
    <w:rsid w:val="00E91E71"/>
    <w:rsid w:val="00E922DE"/>
    <w:rsid w:val="00E936F8"/>
    <w:rsid w:val="00E9496B"/>
    <w:rsid w:val="00EA06DF"/>
    <w:rsid w:val="00EA0839"/>
    <w:rsid w:val="00EA1265"/>
    <w:rsid w:val="00EA23C3"/>
    <w:rsid w:val="00EA373C"/>
    <w:rsid w:val="00EA3D9B"/>
    <w:rsid w:val="00EA43F5"/>
    <w:rsid w:val="00EA516F"/>
    <w:rsid w:val="00EA54B8"/>
    <w:rsid w:val="00EA5B34"/>
    <w:rsid w:val="00EA67A1"/>
    <w:rsid w:val="00EA6C33"/>
    <w:rsid w:val="00EA72BD"/>
    <w:rsid w:val="00EA7798"/>
    <w:rsid w:val="00EA7A56"/>
    <w:rsid w:val="00EB00CD"/>
    <w:rsid w:val="00EB0731"/>
    <w:rsid w:val="00EB2015"/>
    <w:rsid w:val="00EB2A7C"/>
    <w:rsid w:val="00EB4847"/>
    <w:rsid w:val="00EC1524"/>
    <w:rsid w:val="00EC16D1"/>
    <w:rsid w:val="00EC3CA7"/>
    <w:rsid w:val="00EC472D"/>
    <w:rsid w:val="00EC53A7"/>
    <w:rsid w:val="00ED03A4"/>
    <w:rsid w:val="00ED1093"/>
    <w:rsid w:val="00ED1CC7"/>
    <w:rsid w:val="00ED202A"/>
    <w:rsid w:val="00ED27E5"/>
    <w:rsid w:val="00ED2C74"/>
    <w:rsid w:val="00ED5D64"/>
    <w:rsid w:val="00ED6108"/>
    <w:rsid w:val="00ED616C"/>
    <w:rsid w:val="00ED7136"/>
    <w:rsid w:val="00EE0619"/>
    <w:rsid w:val="00EE0B23"/>
    <w:rsid w:val="00EE33F0"/>
    <w:rsid w:val="00EE3566"/>
    <w:rsid w:val="00EE3BE4"/>
    <w:rsid w:val="00EE50C3"/>
    <w:rsid w:val="00EE56D4"/>
    <w:rsid w:val="00EE7C0B"/>
    <w:rsid w:val="00EF0ADB"/>
    <w:rsid w:val="00EF0B0D"/>
    <w:rsid w:val="00EF1AF4"/>
    <w:rsid w:val="00EF2E1B"/>
    <w:rsid w:val="00EF3A5F"/>
    <w:rsid w:val="00EF75B3"/>
    <w:rsid w:val="00EF7C29"/>
    <w:rsid w:val="00F00DAA"/>
    <w:rsid w:val="00F02E4C"/>
    <w:rsid w:val="00F030C5"/>
    <w:rsid w:val="00F04226"/>
    <w:rsid w:val="00F043F6"/>
    <w:rsid w:val="00F053C3"/>
    <w:rsid w:val="00F05DE3"/>
    <w:rsid w:val="00F07EA6"/>
    <w:rsid w:val="00F11A1A"/>
    <w:rsid w:val="00F1285E"/>
    <w:rsid w:val="00F12CF5"/>
    <w:rsid w:val="00F13315"/>
    <w:rsid w:val="00F16635"/>
    <w:rsid w:val="00F21819"/>
    <w:rsid w:val="00F229B3"/>
    <w:rsid w:val="00F247AA"/>
    <w:rsid w:val="00F26319"/>
    <w:rsid w:val="00F265FE"/>
    <w:rsid w:val="00F27E99"/>
    <w:rsid w:val="00F31A7C"/>
    <w:rsid w:val="00F3314C"/>
    <w:rsid w:val="00F33F2D"/>
    <w:rsid w:val="00F355DD"/>
    <w:rsid w:val="00F35FD5"/>
    <w:rsid w:val="00F36721"/>
    <w:rsid w:val="00F36D96"/>
    <w:rsid w:val="00F37E23"/>
    <w:rsid w:val="00F405A0"/>
    <w:rsid w:val="00F4130F"/>
    <w:rsid w:val="00F42073"/>
    <w:rsid w:val="00F42196"/>
    <w:rsid w:val="00F432E6"/>
    <w:rsid w:val="00F44F74"/>
    <w:rsid w:val="00F45BD2"/>
    <w:rsid w:val="00F46F63"/>
    <w:rsid w:val="00F5045F"/>
    <w:rsid w:val="00F50805"/>
    <w:rsid w:val="00F55B76"/>
    <w:rsid w:val="00F55BED"/>
    <w:rsid w:val="00F57A1A"/>
    <w:rsid w:val="00F57E31"/>
    <w:rsid w:val="00F6007B"/>
    <w:rsid w:val="00F61737"/>
    <w:rsid w:val="00F61F5D"/>
    <w:rsid w:val="00F63D57"/>
    <w:rsid w:val="00F64180"/>
    <w:rsid w:val="00F6583F"/>
    <w:rsid w:val="00F66605"/>
    <w:rsid w:val="00F673C5"/>
    <w:rsid w:val="00F7032E"/>
    <w:rsid w:val="00F719B6"/>
    <w:rsid w:val="00F7226C"/>
    <w:rsid w:val="00F72729"/>
    <w:rsid w:val="00F72AE4"/>
    <w:rsid w:val="00F73305"/>
    <w:rsid w:val="00F75ED7"/>
    <w:rsid w:val="00F76383"/>
    <w:rsid w:val="00F770DC"/>
    <w:rsid w:val="00F7787E"/>
    <w:rsid w:val="00F8042C"/>
    <w:rsid w:val="00F808CA"/>
    <w:rsid w:val="00F80B3A"/>
    <w:rsid w:val="00F81FB6"/>
    <w:rsid w:val="00F82BEA"/>
    <w:rsid w:val="00F83A2F"/>
    <w:rsid w:val="00F8512A"/>
    <w:rsid w:val="00F852FE"/>
    <w:rsid w:val="00F87711"/>
    <w:rsid w:val="00F878EF"/>
    <w:rsid w:val="00F90360"/>
    <w:rsid w:val="00F9038F"/>
    <w:rsid w:val="00F9100B"/>
    <w:rsid w:val="00F91B6F"/>
    <w:rsid w:val="00F9205E"/>
    <w:rsid w:val="00F920B1"/>
    <w:rsid w:val="00F92B2D"/>
    <w:rsid w:val="00F936ED"/>
    <w:rsid w:val="00F94486"/>
    <w:rsid w:val="00F95F44"/>
    <w:rsid w:val="00FA0552"/>
    <w:rsid w:val="00FA0581"/>
    <w:rsid w:val="00FA21A3"/>
    <w:rsid w:val="00FA29AE"/>
    <w:rsid w:val="00FA493C"/>
    <w:rsid w:val="00FA4A5F"/>
    <w:rsid w:val="00FA74CF"/>
    <w:rsid w:val="00FA7AC3"/>
    <w:rsid w:val="00FB1038"/>
    <w:rsid w:val="00FB2067"/>
    <w:rsid w:val="00FB3075"/>
    <w:rsid w:val="00FB5602"/>
    <w:rsid w:val="00FB5B4B"/>
    <w:rsid w:val="00FB61A1"/>
    <w:rsid w:val="00FB6A8B"/>
    <w:rsid w:val="00FB7B5B"/>
    <w:rsid w:val="00FC0EA5"/>
    <w:rsid w:val="00FC16CF"/>
    <w:rsid w:val="00FC55D3"/>
    <w:rsid w:val="00FC6F80"/>
    <w:rsid w:val="00FD1090"/>
    <w:rsid w:val="00FD1428"/>
    <w:rsid w:val="00FD4A10"/>
    <w:rsid w:val="00FD4B95"/>
    <w:rsid w:val="00FD531D"/>
    <w:rsid w:val="00FD554F"/>
    <w:rsid w:val="00FD57DC"/>
    <w:rsid w:val="00FD5E1B"/>
    <w:rsid w:val="00FD6695"/>
    <w:rsid w:val="00FE39F4"/>
    <w:rsid w:val="00FE42BF"/>
    <w:rsid w:val="00FE4CFF"/>
    <w:rsid w:val="00FE4FC7"/>
    <w:rsid w:val="00FE5980"/>
    <w:rsid w:val="00FE5D5D"/>
    <w:rsid w:val="00FF0C88"/>
    <w:rsid w:val="00FF0DE0"/>
    <w:rsid w:val="00FF16EC"/>
    <w:rsid w:val="00FF2BBC"/>
    <w:rsid w:val="00FF2EC2"/>
    <w:rsid w:val="00FF2FE7"/>
    <w:rsid w:val="00FF3C15"/>
    <w:rsid w:val="00FF3E65"/>
    <w:rsid w:val="00FF421A"/>
    <w:rsid w:val="00FF54C3"/>
    <w:rsid w:val="00FF748E"/>
    <w:rsid w:val="17181A89"/>
    <w:rsid w:val="1DA046D6"/>
    <w:rsid w:val="51685D1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t" stroke="t">
      <v:fill type="gradient" on="t" angle="90" focussize="0f,0f" focusposition="0f,0f">
        <o:fill type="gradientUnscaled" v:ext="backwardCompatible"/>
      </v:fill>
      <v:stroke weight="1.25pt" color="#739CC3"/>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0" w:name="index 1"/>
    <w:lsdException w:qFormat="1" w:unhideWhenUsed="0"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uiPriority="0" w:name="toc 1"/>
    <w:lsdException w:uiPriority="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unhideWhenUsed="0" w:uiPriority="0" w:semiHidden="0" w:name="annotation text"/>
    <w:lsdException w:qFormat="1" w:unhideWhenUsed="0" w:uiPriority="0" w:semiHidden="0" w:name="header"/>
    <w:lsdException w:qFormat="1" w:unhideWhenUsed="0" w:uiPriority="0" w:semiHidden="0" w:name="footer"/>
    <w:lsdException w:uiPriority="0" w:name="index heading"/>
    <w:lsdException w:qFormat="1" w:unhideWhenUsed="0" w:uiPriority="0" w:semiHidden="0" w:name="caption"/>
    <w:lsdException w:uiPriority="0" w:name="table of figures"/>
    <w:lsdException w:uiPriority="0" w:name="envelope address"/>
    <w:lsdException w:uiPriority="0" w:name="envelope return"/>
    <w:lsdException w:uiPriority="0" w:name="footnote reference"/>
    <w:lsdException w:qFormat="1" w:unhideWhenUsed="0" w:uiPriority="0" w:name="annotation reference"/>
    <w:lsdException w:uiPriority="0" w:name="line number"/>
    <w:lsdException w:qFormat="1" w:unhideWhenUsed="0" w:uiPriority="0" w:semiHidden="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qFormat="1" w:unhideWhenUsed="0" w:uiPriority="0" w:semiHidden="0" w:name="List"/>
    <w:lsdException w:unhideWhenUsed="0" w:uiPriority="0" w:semiHidden="0" w:name="List Bullet"/>
    <w:lsdException w:uiPriority="0" w:name="List Number"/>
    <w:lsdException w:uiPriority="0" w:name="List 2"/>
    <w:lsdException w:qFormat="1" w:unhideWhenUsed="0" w:uiPriority="0" w:semiHidden="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0" w:semiHidden="0" w:name="Body Text"/>
    <w:lsdException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qFormat="1" w:unhideWhenUsed="0" w:uiPriority="0" w:semiHidden="0" w:name="Date"/>
    <w:lsdException w:uiPriority="0" w:name="Body Text First Indent"/>
    <w:lsdException w:qFormat="1" w:uiPriority="0" w:name="Body Text First Indent 2"/>
    <w:lsdException w:unhideWhenUsed="0" w:uiPriority="0" w:semiHidden="0" w:name="Note Heading"/>
    <w:lsdException w:qFormat="1" w:unhideWhenUsed="0" w:uiPriority="0" w:semiHidden="0" w:name="Body Text 2"/>
    <w:lsdException w:uiPriority="0" w:name="Body Text 3"/>
    <w:lsdException w:qFormat="1" w:unhideWhenUsed="0" w:uiPriority="0" w:semiHidden="0" w:name="Body Text Indent 2"/>
    <w:lsdException w:qFormat="1" w:unhideWhenUsed="0" w:uiPriority="0" w:semiHidden="0" w:name="Body Text Indent 3"/>
    <w:lsdException w:uiPriority="0" w:name="Block Text"/>
    <w:lsdException w:qFormat="1" w:unhideWhenUsed="0" w:uiPriority="0" w:semiHidden="0" w:name="Hyperlink"/>
    <w:lsdException w:uiPriority="0" w:name="FollowedHyperlink"/>
    <w:lsdException w:qFormat="1" w:unhideWhenUsed="0" w:uiPriority="0" w:semiHidden="0" w:name="Strong"/>
    <w:lsdException w:qFormat="1" w:unhideWhenUsed="0" w:uiPriority="20" w:semiHidden="0" w:name="Emphasis"/>
    <w:lsdException w:qFormat="1" w:unhideWhenUsed="0" w:uiPriority="0" w:semiHidden="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qFormat="1" w:unhideWhenUsed="0" w:uiPriority="0" w:semiHidden="0" w:name="HTML Preformatted"/>
    <w:lsdException w:uiPriority="0" w:name="HTML Sample"/>
    <w:lsdException w:uiPriority="0" w:name="HTML Typewriter"/>
    <w:lsdException w:uiPriority="0" w:name="HTML Variable"/>
    <w:lsdException w:qFormat="1" w:uiPriority="99" w:name="Normal Table"/>
    <w:lsdException w:qFormat="1" w:unhideWhenUsed="0" w:uiPriority="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117"/>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0"/>
    <w:pPr>
      <w:keepNext/>
      <w:keepLines/>
      <w:autoSpaceDE w:val="0"/>
      <w:autoSpaceDN w:val="0"/>
      <w:adjustRightInd w:val="0"/>
      <w:spacing w:before="120" w:after="120"/>
      <w:textAlignment w:val="baseline"/>
      <w:outlineLvl w:val="1"/>
    </w:pPr>
    <w:rPr>
      <w:rFonts w:ascii="宋体" w:hAnsi="Arial" w:eastAsia="楷体_GB2312"/>
      <w:b/>
      <w:kern w:val="24"/>
      <w:sz w:val="24"/>
      <w:szCs w:val="20"/>
    </w:rPr>
  </w:style>
  <w:style w:type="paragraph" w:styleId="4">
    <w:name w:val="heading 3"/>
    <w:basedOn w:val="1"/>
    <w:next w:val="1"/>
    <w:qFormat/>
    <w:uiPriority w:val="0"/>
    <w:pPr>
      <w:numPr>
        <w:ilvl w:val="2"/>
        <w:numId w:val="1"/>
      </w:numPr>
      <w:autoSpaceDE w:val="0"/>
      <w:autoSpaceDN w:val="0"/>
      <w:adjustRightInd w:val="0"/>
      <w:spacing w:before="120" w:after="120"/>
      <w:textAlignment w:val="baseline"/>
      <w:outlineLvl w:val="2"/>
    </w:pPr>
    <w:rPr>
      <w:rFonts w:ascii="宋体" w:hAnsi="Impact" w:eastAsia="楷体_GB2312"/>
      <w:b/>
      <w:kern w:val="24"/>
      <w:sz w:val="24"/>
      <w:szCs w:val="20"/>
    </w:rPr>
  </w:style>
  <w:style w:type="paragraph" w:styleId="5">
    <w:name w:val="heading 4"/>
    <w:basedOn w:val="1"/>
    <w:next w:val="1"/>
    <w:qFormat/>
    <w:uiPriority w:val="0"/>
    <w:pPr>
      <w:numPr>
        <w:ilvl w:val="3"/>
        <w:numId w:val="2"/>
      </w:numPr>
      <w:autoSpaceDE w:val="0"/>
      <w:autoSpaceDN w:val="0"/>
      <w:adjustRightInd w:val="0"/>
      <w:spacing w:before="120" w:after="120"/>
      <w:textAlignment w:val="baseline"/>
      <w:outlineLvl w:val="3"/>
    </w:pPr>
    <w:rPr>
      <w:rFonts w:ascii="宋体" w:hAnsi="Arial" w:eastAsia="楷体_GB2312"/>
      <w:b/>
      <w:kern w:val="24"/>
      <w:sz w:val="24"/>
      <w:szCs w:val="20"/>
    </w:rPr>
  </w:style>
  <w:style w:type="paragraph" w:styleId="6">
    <w:name w:val="heading 5"/>
    <w:basedOn w:val="1"/>
    <w:next w:val="7"/>
    <w:qFormat/>
    <w:uiPriority w:val="0"/>
    <w:pPr>
      <w:keepNext/>
      <w:keepLines/>
      <w:numPr>
        <w:ilvl w:val="4"/>
        <w:numId w:val="2"/>
      </w:numPr>
      <w:spacing w:before="60" w:after="60"/>
      <w:outlineLvl w:val="4"/>
    </w:pPr>
    <w:rPr>
      <w:rFonts w:ascii="宋体" w:hAnsi="Impact" w:eastAsia="楷体_GB2312"/>
      <w:b/>
      <w:sz w:val="24"/>
      <w:szCs w:val="20"/>
    </w:rPr>
  </w:style>
  <w:style w:type="paragraph" w:styleId="8">
    <w:name w:val="heading 6"/>
    <w:basedOn w:val="1"/>
    <w:next w:val="1"/>
    <w:qFormat/>
    <w:uiPriority w:val="0"/>
    <w:pPr>
      <w:keepNext/>
      <w:keepLines/>
      <w:numPr>
        <w:ilvl w:val="5"/>
        <w:numId w:val="2"/>
      </w:numPr>
      <w:autoSpaceDE w:val="0"/>
      <w:autoSpaceDN w:val="0"/>
      <w:adjustRightInd w:val="0"/>
      <w:spacing w:before="120" w:after="64" w:line="319" w:lineRule="auto"/>
      <w:textAlignment w:val="baseline"/>
      <w:outlineLvl w:val="5"/>
    </w:pPr>
    <w:rPr>
      <w:rFonts w:ascii="Arial" w:hAnsi="Arial" w:eastAsia="楷体_GB2312"/>
      <w:b/>
      <w:kern w:val="24"/>
      <w:sz w:val="24"/>
      <w:szCs w:val="20"/>
    </w:rPr>
  </w:style>
  <w:style w:type="paragraph" w:styleId="9">
    <w:name w:val="heading 7"/>
    <w:basedOn w:val="1"/>
    <w:next w:val="1"/>
    <w:qFormat/>
    <w:uiPriority w:val="0"/>
    <w:pPr>
      <w:keepNext/>
      <w:keepLines/>
      <w:numPr>
        <w:ilvl w:val="6"/>
        <w:numId w:val="2"/>
      </w:numPr>
      <w:autoSpaceDE w:val="0"/>
      <w:autoSpaceDN w:val="0"/>
      <w:adjustRightInd w:val="0"/>
      <w:spacing w:before="240" w:after="64" w:line="320" w:lineRule="auto"/>
      <w:textAlignment w:val="baseline"/>
      <w:outlineLvl w:val="6"/>
    </w:pPr>
    <w:rPr>
      <w:rFonts w:ascii="宋体" w:hAnsi="Impact" w:eastAsia="楷体_GB2312"/>
      <w:b/>
      <w:kern w:val="24"/>
      <w:sz w:val="24"/>
      <w:szCs w:val="20"/>
    </w:rPr>
  </w:style>
  <w:style w:type="paragraph" w:styleId="10">
    <w:name w:val="heading 8"/>
    <w:basedOn w:val="1"/>
    <w:next w:val="1"/>
    <w:qFormat/>
    <w:uiPriority w:val="0"/>
    <w:pPr>
      <w:keepNext/>
      <w:keepLines/>
      <w:numPr>
        <w:ilvl w:val="7"/>
        <w:numId w:val="2"/>
      </w:numPr>
      <w:autoSpaceDE w:val="0"/>
      <w:autoSpaceDN w:val="0"/>
      <w:adjustRightInd w:val="0"/>
      <w:spacing w:before="240" w:after="64" w:line="320" w:lineRule="auto"/>
      <w:textAlignment w:val="baseline"/>
      <w:outlineLvl w:val="7"/>
    </w:pPr>
    <w:rPr>
      <w:rFonts w:ascii="Arial" w:hAnsi="Arial" w:eastAsia="黑体"/>
      <w:kern w:val="24"/>
      <w:sz w:val="24"/>
      <w:szCs w:val="20"/>
    </w:rPr>
  </w:style>
  <w:style w:type="paragraph" w:styleId="11">
    <w:name w:val="heading 9"/>
    <w:basedOn w:val="1"/>
    <w:next w:val="1"/>
    <w:qFormat/>
    <w:uiPriority w:val="0"/>
    <w:pPr>
      <w:keepNext/>
      <w:keepLines/>
      <w:numPr>
        <w:ilvl w:val="8"/>
        <w:numId w:val="2"/>
      </w:numPr>
      <w:autoSpaceDE w:val="0"/>
      <w:autoSpaceDN w:val="0"/>
      <w:adjustRightInd w:val="0"/>
      <w:spacing w:before="240" w:after="64" w:line="320" w:lineRule="auto"/>
      <w:textAlignment w:val="baseline"/>
      <w:outlineLvl w:val="8"/>
    </w:pPr>
    <w:rPr>
      <w:rFonts w:ascii="Arial" w:hAnsi="Arial" w:eastAsia="黑体"/>
      <w:kern w:val="24"/>
      <w:szCs w:val="20"/>
    </w:rPr>
  </w:style>
  <w:style w:type="character" w:default="1" w:styleId="35">
    <w:name w:val="Default Paragraph Font"/>
    <w:semiHidden/>
    <w:unhideWhenUsed/>
    <w:qFormat/>
    <w:uiPriority w:val="1"/>
  </w:style>
  <w:style w:type="table" w:default="1" w:styleId="33">
    <w:name w:val="Normal Table"/>
    <w:semiHidden/>
    <w:unhideWhenUsed/>
    <w:qFormat/>
    <w:uiPriority w:val="99"/>
    <w:tblPr>
      <w:tblCellMar>
        <w:top w:w="0" w:type="dxa"/>
        <w:left w:w="108" w:type="dxa"/>
        <w:bottom w:w="0" w:type="dxa"/>
        <w:right w:w="108" w:type="dxa"/>
      </w:tblCellMar>
    </w:tblPr>
  </w:style>
  <w:style w:type="paragraph" w:styleId="7">
    <w:name w:val="Normal Indent"/>
    <w:basedOn w:val="1"/>
    <w:link w:val="63"/>
    <w:qFormat/>
    <w:uiPriority w:val="0"/>
    <w:pPr>
      <w:ind w:firstLine="420"/>
    </w:pPr>
    <w:rPr>
      <w:szCs w:val="20"/>
    </w:rPr>
  </w:style>
  <w:style w:type="paragraph" w:styleId="12">
    <w:name w:val="List 3"/>
    <w:basedOn w:val="1"/>
    <w:qFormat/>
    <w:uiPriority w:val="0"/>
    <w:pPr>
      <w:ind w:left="100" w:leftChars="400" w:hanging="200" w:hangingChars="200"/>
    </w:pPr>
  </w:style>
  <w:style w:type="paragraph" w:styleId="13">
    <w:name w:val="Note Heading"/>
    <w:basedOn w:val="1"/>
    <w:next w:val="1"/>
    <w:uiPriority w:val="0"/>
    <w:pPr>
      <w:jc w:val="center"/>
    </w:pPr>
    <w:rPr>
      <w:szCs w:val="20"/>
    </w:rPr>
  </w:style>
  <w:style w:type="paragraph" w:styleId="14">
    <w:name w:val="caption"/>
    <w:basedOn w:val="1"/>
    <w:next w:val="1"/>
    <w:link w:val="48"/>
    <w:qFormat/>
    <w:uiPriority w:val="0"/>
    <w:pPr>
      <w:keepNext/>
      <w:snapToGrid w:val="0"/>
      <w:jc w:val="center"/>
    </w:pPr>
    <w:rPr>
      <w:b/>
      <w:sz w:val="24"/>
      <w:szCs w:val="20"/>
    </w:rPr>
  </w:style>
  <w:style w:type="paragraph" w:styleId="15">
    <w:name w:val="Document Map"/>
    <w:basedOn w:val="1"/>
    <w:link w:val="43"/>
    <w:qFormat/>
    <w:uiPriority w:val="0"/>
    <w:rPr>
      <w:rFonts w:ascii="宋体"/>
      <w:sz w:val="18"/>
      <w:szCs w:val="18"/>
    </w:rPr>
  </w:style>
  <w:style w:type="paragraph" w:styleId="16">
    <w:name w:val="annotation text"/>
    <w:basedOn w:val="1"/>
    <w:link w:val="46"/>
    <w:uiPriority w:val="0"/>
    <w:pPr>
      <w:jc w:val="left"/>
    </w:pPr>
    <w:rPr>
      <w:szCs w:val="20"/>
    </w:rPr>
  </w:style>
  <w:style w:type="paragraph" w:styleId="17">
    <w:name w:val="Body Text"/>
    <w:basedOn w:val="1"/>
    <w:qFormat/>
    <w:uiPriority w:val="0"/>
    <w:pPr>
      <w:spacing w:line="360" w:lineRule="auto"/>
    </w:pPr>
    <w:rPr>
      <w:b/>
      <w:bCs/>
      <w:sz w:val="32"/>
    </w:rPr>
  </w:style>
  <w:style w:type="paragraph" w:styleId="18">
    <w:name w:val="Body Text Indent"/>
    <w:basedOn w:val="1"/>
    <w:link w:val="132"/>
    <w:uiPriority w:val="0"/>
    <w:pPr>
      <w:spacing w:line="300" w:lineRule="auto"/>
      <w:ind w:firstLine="454"/>
    </w:pPr>
    <w:rPr>
      <w:sz w:val="24"/>
    </w:rPr>
  </w:style>
  <w:style w:type="paragraph" w:styleId="19">
    <w:name w:val="Plain Text"/>
    <w:basedOn w:val="1"/>
    <w:qFormat/>
    <w:uiPriority w:val="0"/>
    <w:rPr>
      <w:rFonts w:ascii="宋体" w:hAnsi="Courier New"/>
      <w:szCs w:val="20"/>
    </w:rPr>
  </w:style>
  <w:style w:type="paragraph" w:styleId="20">
    <w:name w:val="Date"/>
    <w:basedOn w:val="1"/>
    <w:next w:val="1"/>
    <w:qFormat/>
    <w:uiPriority w:val="0"/>
    <w:rPr>
      <w:sz w:val="24"/>
      <w:szCs w:val="20"/>
    </w:rPr>
  </w:style>
  <w:style w:type="paragraph" w:styleId="21">
    <w:name w:val="Body Text Indent 2"/>
    <w:basedOn w:val="1"/>
    <w:qFormat/>
    <w:uiPriority w:val="0"/>
    <w:pPr>
      <w:widowControl/>
      <w:ind w:firstLine="430"/>
      <w:jc w:val="left"/>
    </w:pPr>
    <w:rPr>
      <w:kern w:val="0"/>
      <w:sz w:val="24"/>
      <w:szCs w:val="20"/>
    </w:rPr>
  </w:style>
  <w:style w:type="paragraph" w:styleId="22">
    <w:name w:val="Balloon Text"/>
    <w:basedOn w:val="1"/>
    <w:semiHidden/>
    <w:qFormat/>
    <w:uiPriority w:val="0"/>
    <w:rPr>
      <w:sz w:val="18"/>
      <w:szCs w:val="18"/>
    </w:rPr>
  </w:style>
  <w:style w:type="paragraph" w:styleId="23">
    <w:name w:val="footer"/>
    <w:basedOn w:val="1"/>
    <w:link w:val="54"/>
    <w:qFormat/>
    <w:uiPriority w:val="0"/>
    <w:pPr>
      <w:widowControl/>
      <w:tabs>
        <w:tab w:val="center" w:pos="4153"/>
        <w:tab w:val="right" w:pos="8306"/>
      </w:tabs>
      <w:snapToGrid w:val="0"/>
      <w:jc w:val="left"/>
    </w:pPr>
    <w:rPr>
      <w:kern w:val="0"/>
      <w:sz w:val="18"/>
      <w:szCs w:val="20"/>
    </w:rPr>
  </w:style>
  <w:style w:type="paragraph" w:styleId="24">
    <w:name w:val="header"/>
    <w:basedOn w:val="1"/>
    <w:link w:val="70"/>
    <w:qFormat/>
    <w:uiPriority w:val="0"/>
    <w:pPr>
      <w:pBdr>
        <w:bottom w:val="single" w:color="auto" w:sz="6" w:space="1"/>
      </w:pBdr>
      <w:tabs>
        <w:tab w:val="center" w:pos="4153"/>
        <w:tab w:val="right" w:pos="8306"/>
      </w:tabs>
      <w:snapToGrid w:val="0"/>
      <w:jc w:val="center"/>
    </w:pPr>
    <w:rPr>
      <w:sz w:val="18"/>
      <w:szCs w:val="18"/>
    </w:rPr>
  </w:style>
  <w:style w:type="paragraph" w:styleId="25">
    <w:name w:val="List"/>
    <w:basedOn w:val="1"/>
    <w:qFormat/>
    <w:uiPriority w:val="0"/>
    <w:pPr>
      <w:ind w:left="200" w:hanging="200" w:hangingChars="200"/>
    </w:pPr>
  </w:style>
  <w:style w:type="paragraph" w:styleId="26">
    <w:name w:val="Body Text Indent 3"/>
    <w:basedOn w:val="1"/>
    <w:qFormat/>
    <w:uiPriority w:val="0"/>
    <w:pPr>
      <w:spacing w:line="288" w:lineRule="auto"/>
      <w:ind w:firstLine="430"/>
    </w:pPr>
    <w:rPr>
      <w:sz w:val="24"/>
    </w:rPr>
  </w:style>
  <w:style w:type="paragraph" w:styleId="27">
    <w:name w:val="Body Text 2"/>
    <w:basedOn w:val="1"/>
    <w:qFormat/>
    <w:uiPriority w:val="0"/>
    <w:pPr>
      <w:jc w:val="center"/>
    </w:pPr>
    <w:rPr>
      <w:szCs w:val="20"/>
    </w:rPr>
  </w:style>
  <w:style w:type="paragraph" w:styleId="28">
    <w:name w:val="HTML Preformatted"/>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0" w:lineRule="atLeast"/>
      <w:jc w:val="left"/>
    </w:pPr>
    <w:rPr>
      <w:rFonts w:ascii="Arial" w:hAnsi="Arial" w:cs="Arial"/>
      <w:kern w:val="0"/>
      <w:szCs w:val="21"/>
    </w:rPr>
  </w:style>
  <w:style w:type="paragraph" w:styleId="29">
    <w:name w:val="Normal (Web)"/>
    <w:basedOn w:val="1"/>
    <w:qFormat/>
    <w:uiPriority w:val="99"/>
    <w:pPr>
      <w:widowControl/>
      <w:spacing w:before="100" w:beforeAutospacing="1" w:after="100" w:afterAutospacing="1"/>
      <w:jc w:val="left"/>
    </w:pPr>
    <w:rPr>
      <w:rFonts w:ascii="宋体" w:hAnsi="宋体" w:cs="宋体"/>
      <w:color w:val="000000"/>
      <w:kern w:val="0"/>
      <w:sz w:val="24"/>
    </w:rPr>
  </w:style>
  <w:style w:type="paragraph" w:styleId="30">
    <w:name w:val="index 2"/>
    <w:basedOn w:val="1"/>
    <w:next w:val="1"/>
    <w:semiHidden/>
    <w:qFormat/>
    <w:uiPriority w:val="0"/>
    <w:pPr>
      <w:ind w:left="200" w:leftChars="200"/>
    </w:pPr>
  </w:style>
  <w:style w:type="paragraph" w:styleId="31">
    <w:name w:val="annotation subject"/>
    <w:basedOn w:val="16"/>
    <w:next w:val="16"/>
    <w:semiHidden/>
    <w:qFormat/>
    <w:uiPriority w:val="0"/>
    <w:rPr>
      <w:b/>
      <w:bCs/>
      <w:szCs w:val="24"/>
    </w:rPr>
  </w:style>
  <w:style w:type="paragraph" w:styleId="32">
    <w:name w:val="Body Text First Indent 2"/>
    <w:basedOn w:val="18"/>
    <w:link w:val="133"/>
    <w:semiHidden/>
    <w:unhideWhenUsed/>
    <w:qFormat/>
    <w:uiPriority w:val="0"/>
    <w:pPr>
      <w:spacing w:after="120" w:line="240" w:lineRule="auto"/>
      <w:ind w:left="420" w:leftChars="200" w:firstLine="420" w:firstLineChars="200"/>
    </w:pPr>
    <w:rPr>
      <w:sz w:val="21"/>
    </w:rPr>
  </w:style>
  <w:style w:type="table" w:styleId="34">
    <w:name w:val="Table Grid"/>
    <w:basedOn w:val="33"/>
    <w:unhideWhenUsed/>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6">
    <w:name w:val="Strong"/>
    <w:qFormat/>
    <w:uiPriority w:val="0"/>
    <w:rPr>
      <w:b/>
      <w:bCs/>
    </w:rPr>
  </w:style>
  <w:style w:type="character" w:styleId="37">
    <w:name w:val="page number"/>
    <w:basedOn w:val="35"/>
    <w:qFormat/>
    <w:uiPriority w:val="0"/>
  </w:style>
  <w:style w:type="character" w:styleId="38">
    <w:name w:val="Emphasis"/>
    <w:qFormat/>
    <w:uiPriority w:val="20"/>
    <w:rPr>
      <w:i/>
      <w:iCs/>
    </w:rPr>
  </w:style>
  <w:style w:type="character" w:styleId="39">
    <w:name w:val="Hyperlink"/>
    <w:qFormat/>
    <w:uiPriority w:val="0"/>
    <w:rPr>
      <w:color w:val="3366CC"/>
      <w:u w:val="single"/>
    </w:rPr>
  </w:style>
  <w:style w:type="character" w:styleId="40">
    <w:name w:val="annotation reference"/>
    <w:semiHidden/>
    <w:qFormat/>
    <w:uiPriority w:val="0"/>
    <w:rPr>
      <w:sz w:val="21"/>
      <w:szCs w:val="21"/>
    </w:rPr>
  </w:style>
  <w:style w:type="character" w:customStyle="1" w:styleId="41">
    <w:name w:val="表格 32 Char"/>
    <w:link w:val="42"/>
    <w:qFormat/>
    <w:uiPriority w:val="0"/>
    <w:rPr>
      <w:rFonts w:ascii="宋体" w:hAnsi="Impact" w:eastAsia="宋体"/>
      <w:kern w:val="24"/>
      <w:sz w:val="24"/>
      <w:lang w:val="en-US" w:eastAsia="zh-CN" w:bidi="ar-SA"/>
    </w:rPr>
  </w:style>
  <w:style w:type="paragraph" w:customStyle="1" w:styleId="42">
    <w:name w:val="表格 32"/>
    <w:basedOn w:val="1"/>
    <w:link w:val="41"/>
    <w:qFormat/>
    <w:uiPriority w:val="0"/>
    <w:pPr>
      <w:autoSpaceDE w:val="0"/>
      <w:autoSpaceDN w:val="0"/>
      <w:adjustRightInd w:val="0"/>
      <w:jc w:val="center"/>
      <w:textAlignment w:val="baseline"/>
    </w:pPr>
    <w:rPr>
      <w:rFonts w:ascii="宋体" w:hAnsi="Impact"/>
      <w:kern w:val="24"/>
      <w:sz w:val="24"/>
      <w:szCs w:val="20"/>
    </w:rPr>
  </w:style>
  <w:style w:type="character" w:customStyle="1" w:styleId="43">
    <w:name w:val="文档结构图 字符"/>
    <w:link w:val="15"/>
    <w:qFormat/>
    <w:uiPriority w:val="0"/>
    <w:rPr>
      <w:rFonts w:ascii="宋体"/>
      <w:kern w:val="2"/>
      <w:sz w:val="18"/>
      <w:szCs w:val="18"/>
    </w:rPr>
  </w:style>
  <w:style w:type="character" w:customStyle="1" w:styleId="44">
    <w:name w:val="张家应正文新 Char"/>
    <w:link w:val="45"/>
    <w:qFormat/>
    <w:uiPriority w:val="0"/>
    <w:rPr>
      <w:sz w:val="24"/>
      <w:szCs w:val="24"/>
      <w:lang w:val="en-US" w:eastAsia="zh-CN" w:bidi="ar-SA"/>
    </w:rPr>
  </w:style>
  <w:style w:type="paragraph" w:customStyle="1" w:styleId="45">
    <w:name w:val="张家应正文新"/>
    <w:link w:val="44"/>
    <w:uiPriority w:val="0"/>
    <w:pPr>
      <w:spacing w:line="360" w:lineRule="auto"/>
      <w:ind w:firstLine="480" w:firstLineChars="200"/>
    </w:pPr>
    <w:rPr>
      <w:rFonts w:ascii="Times New Roman" w:hAnsi="Times New Roman" w:eastAsia="宋体" w:cs="Times New Roman"/>
      <w:sz w:val="24"/>
      <w:szCs w:val="24"/>
      <w:lang w:val="en-US" w:eastAsia="zh-CN" w:bidi="ar-SA"/>
    </w:rPr>
  </w:style>
  <w:style w:type="character" w:customStyle="1" w:styleId="46">
    <w:name w:val="批注文字 字符"/>
    <w:link w:val="16"/>
    <w:qFormat/>
    <w:uiPriority w:val="0"/>
    <w:rPr>
      <w:kern w:val="2"/>
      <w:sz w:val="21"/>
    </w:rPr>
  </w:style>
  <w:style w:type="character" w:customStyle="1" w:styleId="47">
    <w:name w:val="题注 Char1"/>
    <w:qFormat/>
    <w:uiPriority w:val="0"/>
    <w:rPr>
      <w:rFonts w:cs="Arial"/>
      <w:b/>
      <w:kern w:val="2"/>
      <w:sz w:val="24"/>
    </w:rPr>
  </w:style>
  <w:style w:type="character" w:customStyle="1" w:styleId="48">
    <w:name w:val="题注 字符1"/>
    <w:link w:val="14"/>
    <w:qFormat/>
    <w:uiPriority w:val="0"/>
    <w:rPr>
      <w:rFonts w:cs="Arial"/>
      <w:b/>
      <w:kern w:val="2"/>
      <w:sz w:val="24"/>
    </w:rPr>
  </w:style>
  <w:style w:type="character" w:customStyle="1" w:styleId="49">
    <w:name w:val="表格 Char"/>
    <w:link w:val="50"/>
    <w:qFormat/>
    <w:uiPriority w:val="0"/>
    <w:rPr>
      <w:sz w:val="24"/>
      <w:lang w:val="en-US" w:eastAsia="zh-CN" w:bidi="ar-SA"/>
    </w:rPr>
  </w:style>
  <w:style w:type="paragraph" w:customStyle="1" w:styleId="50">
    <w:name w:val="表格"/>
    <w:next w:val="1"/>
    <w:link w:val="49"/>
    <w:qFormat/>
    <w:uiPriority w:val="0"/>
    <w:pPr>
      <w:keepNext/>
      <w:widowControl w:val="0"/>
      <w:autoSpaceDE w:val="0"/>
      <w:autoSpaceDN w:val="0"/>
      <w:adjustRightInd w:val="0"/>
      <w:jc w:val="center"/>
      <w:textAlignment w:val="baseline"/>
    </w:pPr>
    <w:rPr>
      <w:rFonts w:ascii="Times New Roman" w:hAnsi="Times New Roman" w:eastAsia="宋体" w:cs="Times New Roman"/>
      <w:sz w:val="24"/>
      <w:lang w:val="en-US" w:eastAsia="zh-CN" w:bidi="ar-SA"/>
    </w:rPr>
  </w:style>
  <w:style w:type="character" w:customStyle="1" w:styleId="51">
    <w:name w:val="报告表  段 Char"/>
    <w:link w:val="52"/>
    <w:qFormat/>
    <w:uiPriority w:val="0"/>
    <w:rPr>
      <w:rFonts w:ascii="宋体"/>
      <w:sz w:val="24"/>
    </w:rPr>
  </w:style>
  <w:style w:type="paragraph" w:customStyle="1" w:styleId="52">
    <w:name w:val="报告表  段"/>
    <w:basedOn w:val="1"/>
    <w:link w:val="51"/>
    <w:uiPriority w:val="0"/>
    <w:pPr>
      <w:adjustRightInd w:val="0"/>
      <w:spacing w:line="360" w:lineRule="auto"/>
      <w:ind w:firstLine="505"/>
      <w:textAlignment w:val="baseline"/>
    </w:pPr>
    <w:rPr>
      <w:rFonts w:ascii="宋体"/>
      <w:kern w:val="0"/>
      <w:sz w:val="24"/>
      <w:szCs w:val="20"/>
    </w:rPr>
  </w:style>
  <w:style w:type="character" w:customStyle="1" w:styleId="53">
    <w:name w:val="apple-converted-space"/>
    <w:qFormat/>
    <w:uiPriority w:val="0"/>
  </w:style>
  <w:style w:type="character" w:customStyle="1" w:styleId="54">
    <w:name w:val="页脚 字符"/>
    <w:link w:val="23"/>
    <w:qFormat/>
    <w:uiPriority w:val="0"/>
    <w:rPr>
      <w:sz w:val="18"/>
      <w:lang w:val="en-US" w:eastAsia="zh-CN"/>
    </w:rPr>
  </w:style>
  <w:style w:type="character" w:customStyle="1" w:styleId="55">
    <w:name w:val="正文首行缩进 Char"/>
    <w:link w:val="56"/>
    <w:qFormat/>
    <w:uiPriority w:val="0"/>
    <w:rPr>
      <w:rFonts w:eastAsia="宋体"/>
      <w:kern w:val="2"/>
      <w:sz w:val="21"/>
      <w:szCs w:val="24"/>
      <w:lang w:val="en-US" w:eastAsia="zh-CN" w:bidi="ar-SA"/>
    </w:rPr>
  </w:style>
  <w:style w:type="paragraph" w:customStyle="1" w:styleId="56">
    <w:name w:val="正文首行缩进1"/>
    <w:basedOn w:val="17"/>
    <w:link w:val="55"/>
    <w:qFormat/>
    <w:uiPriority w:val="0"/>
    <w:pPr>
      <w:spacing w:after="120" w:line="240" w:lineRule="auto"/>
      <w:ind w:firstLine="420" w:firstLineChars="100"/>
    </w:pPr>
    <w:rPr>
      <w:b w:val="0"/>
      <w:bCs w:val="0"/>
      <w:sz w:val="21"/>
    </w:rPr>
  </w:style>
  <w:style w:type="character" w:customStyle="1" w:styleId="57">
    <w:name w:val="正文内容 Char"/>
    <w:link w:val="58"/>
    <w:qFormat/>
    <w:uiPriority w:val="0"/>
    <w:rPr>
      <w:rFonts w:eastAsia="宋体"/>
      <w:kern w:val="2"/>
      <w:sz w:val="24"/>
      <w:szCs w:val="24"/>
      <w:lang w:val="en-US" w:eastAsia="zh-CN" w:bidi="ar-SA"/>
    </w:rPr>
  </w:style>
  <w:style w:type="paragraph" w:customStyle="1" w:styleId="58">
    <w:name w:val="正文内容"/>
    <w:basedOn w:val="1"/>
    <w:link w:val="57"/>
    <w:qFormat/>
    <w:uiPriority w:val="0"/>
    <w:pPr>
      <w:spacing w:beforeLines="50" w:afterLines="50" w:line="360" w:lineRule="auto"/>
      <w:ind w:firstLine="480" w:firstLineChars="200"/>
    </w:pPr>
    <w:rPr>
      <w:sz w:val="24"/>
    </w:rPr>
  </w:style>
  <w:style w:type="character" w:customStyle="1" w:styleId="59">
    <w:name w:val="zw1"/>
    <w:qFormat/>
    <w:uiPriority w:val="0"/>
    <w:rPr>
      <w:rFonts w:hint="eastAsia" w:ascii="宋体" w:hAnsi="宋体" w:eastAsia="宋体"/>
      <w:sz w:val="22"/>
      <w:szCs w:val="22"/>
    </w:rPr>
  </w:style>
  <w:style w:type="character" w:customStyle="1" w:styleId="60">
    <w:name w:val="表头 Char"/>
    <w:link w:val="61"/>
    <w:qFormat/>
    <w:uiPriority w:val="0"/>
    <w:rPr>
      <w:rFonts w:eastAsia="楷体_GB2312"/>
      <w:sz w:val="28"/>
      <w:lang w:val="en-US" w:eastAsia="zh-CN" w:bidi="ar-SA"/>
    </w:rPr>
  </w:style>
  <w:style w:type="paragraph" w:customStyle="1" w:styleId="61">
    <w:name w:val="表头"/>
    <w:basedOn w:val="12"/>
    <w:next w:val="50"/>
    <w:link w:val="60"/>
    <w:qFormat/>
    <w:uiPriority w:val="0"/>
    <w:pPr>
      <w:keepNext/>
      <w:autoSpaceDE w:val="0"/>
      <w:autoSpaceDN w:val="0"/>
      <w:adjustRightInd w:val="0"/>
      <w:spacing w:before="240" w:line="360" w:lineRule="auto"/>
      <w:ind w:left="0" w:leftChars="0" w:firstLine="0" w:firstLineChars="0"/>
      <w:jc w:val="center"/>
      <w:textAlignment w:val="baseline"/>
    </w:pPr>
    <w:rPr>
      <w:rFonts w:eastAsia="楷体_GB2312"/>
      <w:kern w:val="0"/>
      <w:sz w:val="28"/>
      <w:szCs w:val="20"/>
    </w:rPr>
  </w:style>
  <w:style w:type="character" w:customStyle="1" w:styleId="62">
    <w:name w:val="c lh15"/>
    <w:qFormat/>
    <w:uiPriority w:val="0"/>
    <w:rPr>
      <w:rFonts w:eastAsia="宋体"/>
      <w:bCs/>
      <w:kern w:val="2"/>
      <w:sz w:val="24"/>
      <w:szCs w:val="24"/>
      <w:lang w:val="en-US" w:eastAsia="zh-CN" w:bidi="ar-SA"/>
    </w:rPr>
  </w:style>
  <w:style w:type="character" w:customStyle="1" w:styleId="63">
    <w:name w:val="正文缩进 字符"/>
    <w:link w:val="7"/>
    <w:qFormat/>
    <w:uiPriority w:val="0"/>
    <w:rPr>
      <w:rFonts w:eastAsia="宋体"/>
      <w:kern w:val="2"/>
      <w:sz w:val="21"/>
      <w:lang w:val="en-US" w:eastAsia="zh-CN" w:bidi="ar-SA"/>
    </w:rPr>
  </w:style>
  <w:style w:type="character" w:customStyle="1" w:styleId="64">
    <w:name w:val="p141"/>
    <w:qFormat/>
    <w:uiPriority w:val="0"/>
    <w:rPr>
      <w:color w:val="333333"/>
      <w:sz w:val="21"/>
      <w:szCs w:val="21"/>
    </w:rPr>
  </w:style>
  <w:style w:type="character" w:customStyle="1" w:styleId="65">
    <w:name w:val="正文 32 Char"/>
    <w:link w:val="66"/>
    <w:qFormat/>
    <w:uiPriority w:val="0"/>
    <w:rPr>
      <w:rFonts w:eastAsia="楷体_GB2312"/>
      <w:sz w:val="24"/>
      <w:lang w:val="en-US" w:eastAsia="zh-CN" w:bidi="ar-SA"/>
    </w:rPr>
  </w:style>
  <w:style w:type="paragraph" w:customStyle="1" w:styleId="66">
    <w:name w:val="正文 32"/>
    <w:basedOn w:val="1"/>
    <w:link w:val="65"/>
    <w:uiPriority w:val="0"/>
    <w:pPr>
      <w:autoSpaceDE w:val="0"/>
      <w:autoSpaceDN w:val="0"/>
      <w:adjustRightInd w:val="0"/>
      <w:spacing w:line="300" w:lineRule="auto"/>
      <w:ind w:firstLine="567"/>
      <w:textAlignment w:val="baseline"/>
    </w:pPr>
    <w:rPr>
      <w:rFonts w:eastAsia="楷体_GB2312"/>
      <w:kern w:val="0"/>
      <w:sz w:val="24"/>
      <w:szCs w:val="20"/>
    </w:rPr>
  </w:style>
  <w:style w:type="character" w:customStyle="1" w:styleId="67">
    <w:name w:val="表格文字 Char"/>
    <w:link w:val="68"/>
    <w:qFormat/>
    <w:uiPriority w:val="0"/>
    <w:rPr>
      <w:kern w:val="2"/>
      <w:sz w:val="24"/>
    </w:rPr>
  </w:style>
  <w:style w:type="paragraph" w:customStyle="1" w:styleId="68">
    <w:name w:val="表格文字"/>
    <w:basedOn w:val="1"/>
    <w:link w:val="67"/>
    <w:qFormat/>
    <w:uiPriority w:val="0"/>
    <w:pPr>
      <w:tabs>
        <w:tab w:val="left" w:pos="360"/>
      </w:tabs>
      <w:ind w:left="360"/>
      <w:jc w:val="center"/>
    </w:pPr>
    <w:rPr>
      <w:sz w:val="24"/>
      <w:szCs w:val="20"/>
    </w:rPr>
  </w:style>
  <w:style w:type="character" w:customStyle="1" w:styleId="69">
    <w:name w:val="down1"/>
    <w:qFormat/>
    <w:uiPriority w:val="0"/>
    <w:rPr>
      <w:rFonts w:hint="default" w:ascii="ˎ̥" w:hAnsi="ˎ̥"/>
      <w:sz w:val="14"/>
      <w:szCs w:val="14"/>
    </w:rPr>
  </w:style>
  <w:style w:type="character" w:customStyle="1" w:styleId="70">
    <w:name w:val="页眉 字符"/>
    <w:link w:val="24"/>
    <w:qFormat/>
    <w:uiPriority w:val="0"/>
    <w:rPr>
      <w:kern w:val="2"/>
      <w:sz w:val="18"/>
      <w:szCs w:val="18"/>
    </w:rPr>
  </w:style>
  <w:style w:type="character" w:customStyle="1" w:styleId="71">
    <w:name w:val="bt21"/>
    <w:qFormat/>
    <w:uiPriority w:val="0"/>
    <w:rPr>
      <w:rFonts w:hint="eastAsia" w:ascii="黑体" w:eastAsia="黑体"/>
      <w:sz w:val="24"/>
      <w:szCs w:val="24"/>
    </w:rPr>
  </w:style>
  <w:style w:type="character" w:customStyle="1" w:styleId="72">
    <w:name w:val="我的表格 Char"/>
    <w:link w:val="73"/>
    <w:qFormat/>
    <w:uiPriority w:val="0"/>
    <w:rPr>
      <w:kern w:val="2"/>
      <w:sz w:val="21"/>
    </w:rPr>
  </w:style>
  <w:style w:type="paragraph" w:customStyle="1" w:styleId="73">
    <w:name w:val="我的表格"/>
    <w:basedOn w:val="1"/>
    <w:link w:val="72"/>
    <w:qFormat/>
    <w:uiPriority w:val="0"/>
    <w:pPr>
      <w:adjustRightInd w:val="0"/>
      <w:snapToGrid w:val="0"/>
      <w:jc w:val="center"/>
    </w:pPr>
    <w:rPr>
      <w:szCs w:val="20"/>
    </w:rPr>
  </w:style>
  <w:style w:type="paragraph" w:customStyle="1" w:styleId="74">
    <w:name w:val="表1表2"/>
    <w:basedOn w:val="1"/>
    <w:uiPriority w:val="0"/>
    <w:pPr>
      <w:autoSpaceDE w:val="0"/>
      <w:autoSpaceDN w:val="0"/>
      <w:adjustRightInd w:val="0"/>
      <w:jc w:val="center"/>
      <w:textAlignment w:val="center"/>
    </w:pPr>
    <w:rPr>
      <w:rFonts w:eastAsia="仿宋体"/>
      <w:kern w:val="0"/>
      <w:sz w:val="24"/>
      <w:szCs w:val="20"/>
    </w:rPr>
  </w:style>
  <w:style w:type="paragraph" w:customStyle="1" w:styleId="75">
    <w:name w:val="页面 7"/>
    <w:basedOn w:val="1"/>
    <w:uiPriority w:val="0"/>
    <w:pPr>
      <w:autoSpaceDE w:val="0"/>
      <w:autoSpaceDN w:val="0"/>
      <w:adjustRightInd w:val="0"/>
      <w:spacing w:before="120" w:after="120"/>
      <w:jc w:val="center"/>
      <w:textAlignment w:val="baseline"/>
    </w:pPr>
    <w:rPr>
      <w:rFonts w:ascii="宋体" w:hAnsi="Impact"/>
      <w:kern w:val="24"/>
      <w:sz w:val="32"/>
      <w:szCs w:val="20"/>
    </w:rPr>
  </w:style>
  <w:style w:type="paragraph" w:customStyle="1" w:styleId="76">
    <w:name w:val="表123"/>
    <w:basedOn w:val="1"/>
    <w:uiPriority w:val="0"/>
    <w:pPr>
      <w:adjustRightInd w:val="0"/>
      <w:snapToGrid w:val="0"/>
      <w:spacing w:beforeLines="50"/>
      <w:jc w:val="center"/>
    </w:pPr>
    <w:rPr>
      <w:b/>
      <w:sz w:val="24"/>
    </w:rPr>
  </w:style>
  <w:style w:type="paragraph" w:customStyle="1" w:styleId="77">
    <w:name w:val="Char Char Char Char Char Char Char"/>
    <w:basedOn w:val="1"/>
    <w:uiPriority w:val="0"/>
    <w:pPr>
      <w:snapToGrid w:val="0"/>
      <w:spacing w:line="360" w:lineRule="auto"/>
      <w:ind w:firstLine="529" w:firstLineChars="200"/>
    </w:pPr>
    <w:rPr>
      <w:rFonts w:ascii="宋体" w:hAnsi="宋体"/>
      <w:b/>
    </w:rPr>
  </w:style>
  <w:style w:type="paragraph" w:customStyle="1" w:styleId="78">
    <w:name w:val="样式13"/>
    <w:basedOn w:val="1"/>
    <w:uiPriority w:val="0"/>
    <w:pPr>
      <w:spacing w:line="360" w:lineRule="auto"/>
      <w:ind w:firstLine="480" w:firstLineChars="200"/>
    </w:pPr>
    <w:rPr>
      <w:rFonts w:ascii="Arial" w:hAnsi="Arial" w:cs="Arial"/>
      <w:sz w:val="24"/>
    </w:rPr>
  </w:style>
  <w:style w:type="paragraph" w:customStyle="1" w:styleId="79">
    <w:name w:val="表内文字"/>
    <w:basedOn w:val="1"/>
    <w:next w:val="1"/>
    <w:uiPriority w:val="0"/>
    <w:pPr>
      <w:adjustRightInd w:val="0"/>
      <w:spacing w:line="360" w:lineRule="atLeast"/>
      <w:jc w:val="center"/>
      <w:textAlignment w:val="baseline"/>
    </w:pPr>
    <w:rPr>
      <w:kern w:val="0"/>
      <w:szCs w:val="20"/>
    </w:rPr>
  </w:style>
  <w:style w:type="paragraph" w:customStyle="1" w:styleId="80">
    <w:name w:val="Char"/>
    <w:basedOn w:val="1"/>
    <w:uiPriority w:val="0"/>
    <w:pPr>
      <w:keepNext/>
      <w:keepLines/>
      <w:spacing w:before="120" w:after="120" w:line="360" w:lineRule="auto"/>
      <w:outlineLvl w:val="1"/>
    </w:pPr>
    <w:rPr>
      <w:rFonts w:ascii="Arial" w:hAnsi="Arial" w:cs="宋体"/>
      <w:b/>
      <w:bCs/>
      <w:sz w:val="32"/>
      <w:szCs w:val="32"/>
    </w:rPr>
  </w:style>
  <w:style w:type="paragraph" w:customStyle="1" w:styleId="81">
    <w:name w:val="a0"/>
    <w:basedOn w:val="1"/>
    <w:uiPriority w:val="0"/>
    <w:pPr>
      <w:widowControl/>
      <w:spacing w:before="100" w:beforeAutospacing="1" w:after="100" w:afterAutospacing="1"/>
      <w:jc w:val="left"/>
    </w:pPr>
    <w:rPr>
      <w:rFonts w:ascii="宋体" w:hAnsi="宋体" w:cs="宋体"/>
      <w:kern w:val="0"/>
      <w:sz w:val="24"/>
    </w:rPr>
  </w:style>
  <w:style w:type="paragraph" w:customStyle="1" w:styleId="82">
    <w:name w:val="缩进"/>
    <w:basedOn w:val="1"/>
    <w:uiPriority w:val="0"/>
    <w:pPr>
      <w:autoSpaceDE w:val="0"/>
      <w:autoSpaceDN w:val="0"/>
      <w:adjustRightInd w:val="0"/>
      <w:spacing w:line="400" w:lineRule="atLeast"/>
      <w:ind w:firstLine="425"/>
      <w:textAlignment w:val="baseline"/>
    </w:pPr>
    <w:rPr>
      <w:kern w:val="0"/>
      <w:sz w:val="24"/>
      <w:szCs w:val="20"/>
    </w:rPr>
  </w:style>
  <w:style w:type="paragraph" w:customStyle="1" w:styleId="83">
    <w:name w:val="表格1"/>
    <w:basedOn w:val="1"/>
    <w:next w:val="1"/>
    <w:uiPriority w:val="0"/>
    <w:pPr>
      <w:topLinePunct/>
      <w:autoSpaceDE w:val="0"/>
      <w:autoSpaceDN w:val="0"/>
      <w:adjustRightInd w:val="0"/>
      <w:jc w:val="center"/>
      <w:textAlignment w:val="baseline"/>
    </w:pPr>
    <w:rPr>
      <w:rFonts w:ascii="宋体" w:hAnsi="Impact"/>
      <w:kern w:val="24"/>
      <w:sz w:val="28"/>
      <w:szCs w:val="20"/>
    </w:rPr>
  </w:style>
  <w:style w:type="paragraph" w:customStyle="1" w:styleId="84">
    <w:name w:val="报告表 段"/>
    <w:basedOn w:val="1"/>
    <w:uiPriority w:val="0"/>
    <w:pPr>
      <w:spacing w:line="360" w:lineRule="auto"/>
      <w:ind w:firstLine="470" w:firstLineChars="196"/>
    </w:pPr>
    <w:rPr>
      <w:rFonts w:ascii="宋体" w:hAnsi="宋体"/>
      <w:bCs/>
      <w:sz w:val="24"/>
    </w:rPr>
  </w:style>
  <w:style w:type="paragraph" w:customStyle="1" w:styleId="85">
    <w:name w:val="Char Char Char Char Char Char Char Char Char Char Char Char1 Char"/>
    <w:basedOn w:val="1"/>
    <w:qFormat/>
    <w:uiPriority w:val="0"/>
    <w:pPr>
      <w:spacing w:line="360" w:lineRule="auto"/>
      <w:ind w:firstLine="200" w:firstLineChars="200"/>
    </w:pPr>
    <w:rPr>
      <w:sz w:val="24"/>
      <w:szCs w:val="20"/>
    </w:rPr>
  </w:style>
  <w:style w:type="paragraph" w:customStyle="1" w:styleId="86">
    <w:name w:val="_Style 12"/>
    <w:basedOn w:val="1"/>
    <w:uiPriority w:val="0"/>
  </w:style>
  <w:style w:type="paragraph" w:customStyle="1" w:styleId="87">
    <w:name w:val="列出段落1"/>
    <w:basedOn w:val="1"/>
    <w:qFormat/>
    <w:uiPriority w:val="34"/>
    <w:pPr>
      <w:widowControl/>
      <w:spacing w:after="200" w:line="276" w:lineRule="auto"/>
      <w:ind w:firstLine="420" w:firstLineChars="200"/>
      <w:jc w:val="left"/>
    </w:pPr>
    <w:rPr>
      <w:rFonts w:ascii="Calibri" w:hAnsi="Calibri"/>
      <w:kern w:val="0"/>
      <w:sz w:val="22"/>
      <w:szCs w:val="22"/>
    </w:rPr>
  </w:style>
  <w:style w:type="paragraph" w:customStyle="1" w:styleId="88">
    <w:name w:val="表格、图片"/>
    <w:uiPriority w:val="99"/>
    <w:pPr>
      <w:adjustRightInd w:val="0"/>
      <w:snapToGrid w:val="0"/>
      <w:jc w:val="center"/>
    </w:pPr>
    <w:rPr>
      <w:rFonts w:ascii="Times New Roman" w:hAnsi="Times New Roman" w:eastAsia="宋体" w:cs="Times New Roman"/>
      <w:kern w:val="2"/>
      <w:sz w:val="21"/>
      <w:lang w:val="en-US" w:eastAsia="zh-CN" w:bidi="ar-SA"/>
    </w:rPr>
  </w:style>
  <w:style w:type="paragraph" w:customStyle="1" w:styleId="89">
    <w:name w:val="Char Char"/>
    <w:basedOn w:val="1"/>
    <w:uiPriority w:val="0"/>
    <w:pPr>
      <w:snapToGrid w:val="0"/>
      <w:spacing w:line="360" w:lineRule="auto"/>
      <w:ind w:firstLine="529" w:firstLineChars="200"/>
    </w:pPr>
    <w:rPr>
      <w:rFonts w:ascii="宋体" w:hAnsi="宋体"/>
      <w:b/>
    </w:rPr>
  </w:style>
  <w:style w:type="paragraph" w:customStyle="1" w:styleId="90">
    <w:name w:val="_Style 46"/>
    <w:basedOn w:val="1"/>
    <w:uiPriority w:val="0"/>
  </w:style>
  <w:style w:type="paragraph" w:customStyle="1" w:styleId="91">
    <w:name w:val="段"/>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92">
    <w:name w:val="Char1"/>
    <w:basedOn w:val="1"/>
    <w:uiPriority w:val="0"/>
  </w:style>
  <w:style w:type="paragraph" w:customStyle="1" w:styleId="93">
    <w:name w:val="Char Char Char"/>
    <w:basedOn w:val="1"/>
    <w:uiPriority w:val="0"/>
  </w:style>
  <w:style w:type="paragraph" w:customStyle="1" w:styleId="94">
    <w:name w:val="char"/>
    <w:basedOn w:val="1"/>
    <w:uiPriority w:val="0"/>
    <w:pPr>
      <w:widowControl/>
      <w:spacing w:after="160"/>
      <w:jc w:val="left"/>
    </w:pPr>
    <w:rPr>
      <w:rFonts w:ascii="Verdana" w:hAnsi="Verdana" w:eastAsia="仿宋_GB2312" w:cs="”“Times New Roman”“"/>
      <w:kern w:val="0"/>
      <w:sz w:val="28"/>
      <w:szCs w:val="28"/>
      <w:lang w:eastAsia="en-US"/>
    </w:rPr>
  </w:style>
  <w:style w:type="paragraph" w:customStyle="1" w:styleId="95">
    <w:name w:val="报告"/>
    <w:basedOn w:val="1"/>
    <w:uiPriority w:val="0"/>
    <w:pPr>
      <w:widowControl/>
      <w:suppressAutoHyphens/>
      <w:overflowPunct w:val="0"/>
      <w:topLinePunct/>
      <w:adjustRightInd w:val="0"/>
      <w:snapToGrid w:val="0"/>
      <w:spacing w:line="460" w:lineRule="exact"/>
      <w:ind w:firstLine="420" w:firstLineChars="200"/>
      <w:textAlignment w:val="baseline"/>
    </w:pPr>
    <w:rPr>
      <w:bCs/>
      <w:kern w:val="0"/>
      <w:szCs w:val="21"/>
    </w:rPr>
  </w:style>
  <w:style w:type="paragraph" w:customStyle="1" w:styleId="96">
    <w:name w:val="表格 21"/>
    <w:uiPriority w:val="0"/>
    <w:pPr>
      <w:widowControl w:val="0"/>
      <w:autoSpaceDE w:val="0"/>
      <w:autoSpaceDN w:val="0"/>
      <w:adjustRightInd w:val="0"/>
      <w:jc w:val="center"/>
      <w:textAlignment w:val="baseline"/>
    </w:pPr>
    <w:rPr>
      <w:rFonts w:ascii="Times New Roman" w:hAnsi="Times New Roman" w:eastAsia="仿宋体" w:cs="Times New Roman"/>
      <w:sz w:val="28"/>
      <w:lang w:val="en-US" w:eastAsia="zh-CN" w:bidi="ar-SA"/>
    </w:rPr>
  </w:style>
  <w:style w:type="paragraph" w:customStyle="1" w:styleId="97">
    <w:name w:val="Char Char Char Char Char Char Char Char Char1"/>
    <w:basedOn w:val="1"/>
    <w:uiPriority w:val="0"/>
    <w:pPr>
      <w:snapToGrid w:val="0"/>
      <w:spacing w:line="360" w:lineRule="auto"/>
      <w:ind w:firstLine="529" w:firstLineChars="200"/>
    </w:pPr>
    <w:rPr>
      <w:rFonts w:ascii="宋体" w:hAnsi="宋体"/>
      <w:b/>
    </w:rPr>
  </w:style>
  <w:style w:type="paragraph" w:customStyle="1" w:styleId="98">
    <w:name w:val="Char Char Char Char Char Char Char1"/>
    <w:basedOn w:val="5"/>
    <w:uiPriority w:val="0"/>
    <w:pPr>
      <w:keepNext/>
      <w:keepLines/>
      <w:numPr>
        <w:numId w:val="0"/>
      </w:numPr>
      <w:autoSpaceDE/>
      <w:autoSpaceDN/>
      <w:adjustRightInd/>
      <w:spacing w:before="280" w:after="290" w:line="376" w:lineRule="auto"/>
      <w:textAlignment w:val="auto"/>
    </w:pPr>
    <w:rPr>
      <w:rFonts w:ascii="Arial" w:eastAsia="仿宋_GB2312"/>
      <w:b w:val="0"/>
      <w:bCs/>
      <w:kern w:val="2"/>
      <w:szCs w:val="28"/>
    </w:rPr>
  </w:style>
  <w:style w:type="paragraph" w:customStyle="1" w:styleId="99">
    <w:name w:val="样式 标题 2标题 2 Char Char Char Char Char标题 2 Char Char Char Char C...1"/>
    <w:basedOn w:val="3"/>
    <w:uiPriority w:val="0"/>
    <w:pPr>
      <w:autoSpaceDE/>
      <w:autoSpaceDN/>
      <w:adjustRightInd/>
      <w:spacing w:before="100" w:beforeAutospacing="1" w:after="100" w:afterAutospacing="1" w:line="360" w:lineRule="auto"/>
      <w:textAlignment w:val="auto"/>
    </w:pPr>
    <w:rPr>
      <w:rFonts w:ascii="Times New Roman" w:hAnsi="Times New Roman" w:eastAsia="宋体"/>
      <w:bCs/>
      <w:kern w:val="2"/>
      <w:sz w:val="32"/>
      <w:szCs w:val="32"/>
    </w:rPr>
  </w:style>
  <w:style w:type="paragraph" w:customStyle="1" w:styleId="100">
    <w:name w:val="a1"/>
    <w:basedOn w:val="1"/>
    <w:uiPriority w:val="0"/>
    <w:pPr>
      <w:widowControl/>
      <w:spacing w:before="100" w:beforeAutospacing="1" w:after="100" w:afterAutospacing="1"/>
      <w:jc w:val="left"/>
    </w:pPr>
    <w:rPr>
      <w:rFonts w:ascii="宋体" w:hAnsi="宋体"/>
      <w:kern w:val="0"/>
      <w:sz w:val="24"/>
    </w:rPr>
  </w:style>
  <w:style w:type="paragraph" w:customStyle="1" w:styleId="101">
    <w:name w:val="样式17"/>
    <w:basedOn w:val="78"/>
    <w:uiPriority w:val="0"/>
  </w:style>
  <w:style w:type="paragraph" w:customStyle="1" w:styleId="102">
    <w:name w:val="表内容"/>
    <w:basedOn w:val="1"/>
    <w:uiPriority w:val="0"/>
    <w:pPr>
      <w:widowControl/>
      <w:adjustRightInd w:val="0"/>
      <w:snapToGrid w:val="0"/>
      <w:jc w:val="center"/>
    </w:pPr>
    <w:rPr>
      <w:snapToGrid w:val="0"/>
      <w:kern w:val="0"/>
    </w:rPr>
  </w:style>
  <w:style w:type="paragraph" w:customStyle="1" w:styleId="103">
    <w:name w:val="正文 03"/>
    <w:basedOn w:val="1"/>
    <w:uiPriority w:val="0"/>
    <w:pPr>
      <w:autoSpaceDE w:val="0"/>
      <w:autoSpaceDN w:val="0"/>
      <w:adjustRightInd w:val="0"/>
      <w:textAlignment w:val="baseline"/>
    </w:pPr>
    <w:rPr>
      <w:rFonts w:eastAsia="楷体_GB2312"/>
      <w:kern w:val="0"/>
      <w:sz w:val="24"/>
      <w:szCs w:val="20"/>
    </w:rPr>
  </w:style>
  <w:style w:type="paragraph" w:customStyle="1" w:styleId="104">
    <w:name w:val="3 Char"/>
    <w:basedOn w:val="1"/>
    <w:uiPriority w:val="0"/>
    <w:rPr>
      <w:szCs w:val="21"/>
    </w:rPr>
  </w:style>
  <w:style w:type="paragraph" w:customStyle="1" w:styleId="105">
    <w:name w:val="表格 1"/>
    <w:basedOn w:val="1"/>
    <w:uiPriority w:val="0"/>
    <w:pPr>
      <w:autoSpaceDE w:val="0"/>
      <w:autoSpaceDN w:val="0"/>
      <w:adjustRightInd w:val="0"/>
      <w:jc w:val="center"/>
    </w:pPr>
    <w:rPr>
      <w:rFonts w:eastAsia="楷体_GB2312"/>
      <w:kern w:val="0"/>
      <w:sz w:val="28"/>
      <w:szCs w:val="20"/>
    </w:rPr>
  </w:style>
  <w:style w:type="paragraph" w:customStyle="1" w:styleId="106">
    <w:name w:val="样式1"/>
    <w:basedOn w:val="25"/>
    <w:uiPriority w:val="0"/>
    <w:pPr>
      <w:widowControl/>
      <w:jc w:val="center"/>
    </w:pPr>
    <w:rPr>
      <w:rFonts w:cs="宋体"/>
      <w:kern w:val="0"/>
      <w:sz w:val="24"/>
    </w:rPr>
  </w:style>
  <w:style w:type="paragraph" w:customStyle="1" w:styleId="107">
    <w:name w:val="zhang正文"/>
    <w:basedOn w:val="18"/>
    <w:uiPriority w:val="0"/>
    <w:pPr>
      <w:autoSpaceDE w:val="0"/>
      <w:autoSpaceDN w:val="0"/>
      <w:adjustRightInd w:val="0"/>
      <w:snapToGrid w:val="0"/>
      <w:spacing w:line="500" w:lineRule="exact"/>
      <w:ind w:firstLine="539"/>
      <w:textAlignment w:val="baseline"/>
    </w:pPr>
    <w:rPr>
      <w:rFonts w:eastAsia="楷体_GB2312"/>
      <w:kern w:val="0"/>
      <w:sz w:val="28"/>
      <w:szCs w:val="20"/>
    </w:rPr>
  </w:style>
  <w:style w:type="paragraph" w:customStyle="1" w:styleId="108">
    <w:name w:val="Char2"/>
    <w:basedOn w:val="1"/>
    <w:uiPriority w:val="0"/>
    <w:pPr>
      <w:snapToGrid w:val="0"/>
      <w:spacing w:line="360" w:lineRule="auto"/>
      <w:ind w:firstLine="529" w:firstLineChars="200"/>
    </w:pPr>
    <w:rPr>
      <w:rFonts w:ascii="宋体" w:hAnsi="宋体"/>
      <w:b/>
    </w:rPr>
  </w:style>
  <w:style w:type="paragraph" w:customStyle="1" w:styleId="109">
    <w:name w:val="Char Char Char Char Char Char Char Char Char Char"/>
    <w:basedOn w:val="1"/>
    <w:uiPriority w:val="0"/>
    <w:pPr>
      <w:adjustRightInd w:val="0"/>
      <w:spacing w:line="360" w:lineRule="auto"/>
    </w:pPr>
    <w:rPr>
      <w:kern w:val="0"/>
      <w:sz w:val="24"/>
      <w:szCs w:val="20"/>
    </w:rPr>
  </w:style>
  <w:style w:type="paragraph" w:customStyle="1" w:styleId="110">
    <w:name w:val="Char Char Char Char Char Char Char Char Char1 Char Char Char Char Char Char Char1 Char Char Char Char Char Char"/>
    <w:basedOn w:val="1"/>
    <w:uiPriority w:val="0"/>
    <w:pPr>
      <w:spacing w:line="360" w:lineRule="auto"/>
      <w:ind w:firstLine="200" w:firstLineChars="200"/>
    </w:pPr>
    <w:rPr>
      <w:rFonts w:ascii="宋体" w:hAnsi="宋体" w:cs="宋体"/>
      <w:sz w:val="24"/>
    </w:rPr>
  </w:style>
  <w:style w:type="paragraph" w:customStyle="1" w:styleId="111">
    <w:name w:val="表文"/>
    <w:basedOn w:val="1"/>
    <w:uiPriority w:val="0"/>
    <w:pPr>
      <w:autoSpaceDE w:val="0"/>
      <w:autoSpaceDN w:val="0"/>
      <w:adjustRightInd w:val="0"/>
      <w:spacing w:line="360" w:lineRule="atLeast"/>
      <w:jc w:val="center"/>
      <w:textAlignment w:val="baseline"/>
    </w:pPr>
    <w:rPr>
      <w:rFonts w:ascii="宋体" w:hAnsi="Tms Rmn"/>
      <w:kern w:val="0"/>
      <w:sz w:val="24"/>
      <w:szCs w:val="20"/>
    </w:rPr>
  </w:style>
  <w:style w:type="paragraph" w:customStyle="1" w:styleId="112">
    <w:name w:val="报告表正文"/>
    <w:basedOn w:val="1"/>
    <w:uiPriority w:val="0"/>
    <w:pPr>
      <w:adjustRightInd w:val="0"/>
      <w:spacing w:line="312" w:lineRule="auto"/>
      <w:ind w:left="113" w:right="113" w:firstLine="482"/>
      <w:jc w:val="left"/>
      <w:textAlignment w:val="baseline"/>
    </w:pPr>
    <w:rPr>
      <w:kern w:val="0"/>
      <w:sz w:val="24"/>
      <w:szCs w:val="20"/>
    </w:rPr>
  </w:style>
  <w:style w:type="paragraph" w:customStyle="1" w:styleId="113">
    <w:name w:val="样式 表格 32 + 首行缩进:  2 字符"/>
    <w:basedOn w:val="1"/>
    <w:uiPriority w:val="0"/>
    <w:pPr>
      <w:autoSpaceDE w:val="0"/>
      <w:autoSpaceDN w:val="0"/>
      <w:adjustRightInd w:val="0"/>
      <w:spacing w:line="0" w:lineRule="atLeast"/>
      <w:jc w:val="center"/>
      <w:textAlignment w:val="baseline"/>
    </w:pPr>
    <w:rPr>
      <w:kern w:val="0"/>
      <w:szCs w:val="20"/>
    </w:rPr>
  </w:style>
  <w:style w:type="paragraph" w:customStyle="1" w:styleId="114">
    <w:name w:val="Y2"/>
    <w:basedOn w:val="1"/>
    <w:qFormat/>
    <w:uiPriority w:val="0"/>
    <w:pPr>
      <w:spacing w:line="360" w:lineRule="auto"/>
      <w:ind w:firstLine="200" w:firstLineChars="200"/>
    </w:pPr>
    <w:rPr>
      <w:rFonts w:ascii="宋体" w:hAnsi="宋体" w:cs="宋体"/>
      <w:b/>
      <w:bCs/>
      <w:sz w:val="24"/>
      <w:szCs w:val="20"/>
    </w:rPr>
  </w:style>
  <w:style w:type="paragraph" w:customStyle="1" w:styleId="115">
    <w:name w:val="报告表小段"/>
    <w:basedOn w:val="1"/>
    <w:qFormat/>
    <w:uiPriority w:val="0"/>
    <w:pPr>
      <w:spacing w:before="120" w:line="360" w:lineRule="auto"/>
      <w:ind w:firstLine="470" w:firstLineChars="196"/>
    </w:pPr>
    <w:rPr>
      <w:rFonts w:ascii="宋体" w:hAnsi="宋体"/>
      <w:bCs/>
      <w:sz w:val="24"/>
    </w:rPr>
  </w:style>
  <w:style w:type="paragraph" w:customStyle="1" w:styleId="116">
    <w:name w:val="表格2"/>
    <w:basedOn w:val="83"/>
    <w:next w:val="1"/>
    <w:uiPriority w:val="0"/>
    <w:rPr>
      <w:position w:val="-28"/>
      <w:sz w:val="21"/>
    </w:rPr>
  </w:style>
  <w:style w:type="character" w:customStyle="1" w:styleId="117">
    <w:name w:val="标题 1 字符"/>
    <w:link w:val="2"/>
    <w:uiPriority w:val="0"/>
    <w:rPr>
      <w:b/>
      <w:bCs/>
      <w:kern w:val="44"/>
      <w:sz w:val="44"/>
      <w:szCs w:val="44"/>
    </w:rPr>
  </w:style>
  <w:style w:type="table" w:customStyle="1" w:styleId="118">
    <w:name w:val="Table Normal"/>
    <w:semiHidden/>
    <w:unhideWhenUsed/>
    <w:qFormat/>
    <w:uiPriority w:val="2"/>
    <w:pPr>
      <w:widowControl w:val="0"/>
    </w:pPr>
    <w:rPr>
      <w:rFonts w:ascii="Calibri" w:hAnsi="Calibri"/>
      <w:sz w:val="22"/>
      <w:szCs w:val="22"/>
      <w:lang w:eastAsia="en-US"/>
    </w:rPr>
    <w:tblPr>
      <w:tblCellMar>
        <w:top w:w="0" w:type="dxa"/>
        <w:left w:w="0" w:type="dxa"/>
        <w:bottom w:w="0" w:type="dxa"/>
        <w:right w:w="0" w:type="dxa"/>
      </w:tblCellMar>
    </w:tblPr>
  </w:style>
  <w:style w:type="paragraph" w:customStyle="1" w:styleId="119">
    <w:name w:val="Table Paragraph"/>
    <w:basedOn w:val="1"/>
    <w:qFormat/>
    <w:uiPriority w:val="1"/>
    <w:pPr>
      <w:jc w:val="left"/>
    </w:pPr>
    <w:rPr>
      <w:rFonts w:ascii="Calibri" w:hAnsi="Calibri"/>
      <w:kern w:val="0"/>
      <w:sz w:val="22"/>
      <w:szCs w:val="22"/>
      <w:lang w:eastAsia="en-US"/>
    </w:rPr>
  </w:style>
  <w:style w:type="paragraph" w:customStyle="1" w:styleId="120">
    <w:name w:val="正 文"/>
    <w:link w:val="121"/>
    <w:qFormat/>
    <w:uiPriority w:val="0"/>
    <w:pPr>
      <w:widowControl w:val="0"/>
      <w:spacing w:line="360" w:lineRule="auto"/>
      <w:ind w:firstLine="480" w:firstLineChars="200"/>
      <w:jc w:val="both"/>
    </w:pPr>
    <w:rPr>
      <w:rFonts w:ascii="Times New Roman" w:hAnsi="Times New Roman" w:eastAsia="宋体" w:cs="Times New Roman"/>
      <w:kern w:val="2"/>
      <w:sz w:val="24"/>
      <w:szCs w:val="24"/>
      <w:lang w:val="en-US" w:eastAsia="zh-CN" w:bidi="ar-SA"/>
    </w:rPr>
  </w:style>
  <w:style w:type="character" w:customStyle="1" w:styleId="121">
    <w:name w:val="正 文 Char"/>
    <w:link w:val="120"/>
    <w:qFormat/>
    <w:uiPriority w:val="0"/>
    <w:rPr>
      <w:kern w:val="2"/>
      <w:sz w:val="24"/>
      <w:szCs w:val="24"/>
      <w:lang w:bidi="ar-SA"/>
    </w:rPr>
  </w:style>
  <w:style w:type="character" w:customStyle="1" w:styleId="122">
    <w:name w:val="题注 字符"/>
    <w:uiPriority w:val="0"/>
    <w:rPr>
      <w:rFonts w:ascii="Arial" w:hAnsi="Arial" w:eastAsia="黑体" w:cs="Arial"/>
      <w:b/>
      <w:kern w:val="2"/>
    </w:rPr>
  </w:style>
  <w:style w:type="paragraph" w:customStyle="1" w:styleId="123">
    <w:name w:val="表格名称"/>
    <w:basedOn w:val="1"/>
    <w:link w:val="124"/>
    <w:qFormat/>
    <w:uiPriority w:val="0"/>
    <w:pPr>
      <w:keepNext/>
      <w:keepLines/>
      <w:wordWrap w:val="0"/>
      <w:topLinePunct/>
      <w:adjustRightInd w:val="0"/>
      <w:snapToGrid w:val="0"/>
      <w:spacing w:line="360" w:lineRule="auto"/>
      <w:jc w:val="center"/>
    </w:pPr>
    <w:rPr>
      <w:b/>
      <w:bCs/>
      <w:color w:val="FF0000"/>
      <w:kern w:val="0"/>
      <w:szCs w:val="21"/>
    </w:rPr>
  </w:style>
  <w:style w:type="character" w:customStyle="1" w:styleId="124">
    <w:name w:val="表格名称 Char Char"/>
    <w:link w:val="123"/>
    <w:qFormat/>
    <w:uiPriority w:val="0"/>
    <w:rPr>
      <w:b/>
      <w:bCs/>
      <w:color w:val="FF0000"/>
      <w:sz w:val="21"/>
      <w:szCs w:val="21"/>
    </w:rPr>
  </w:style>
  <w:style w:type="character" w:customStyle="1" w:styleId="125">
    <w:name w:val="表格文字 Char Char"/>
    <w:qFormat/>
    <w:uiPriority w:val="0"/>
    <w:rPr>
      <w:bCs/>
      <w:kern w:val="2"/>
      <w:sz w:val="21"/>
      <w:szCs w:val="21"/>
    </w:rPr>
  </w:style>
  <w:style w:type="paragraph" w:customStyle="1" w:styleId="126">
    <w:name w:val="Default"/>
    <w:qFormat/>
    <w:uiPriority w:val="0"/>
    <w:pPr>
      <w:widowControl w:val="0"/>
      <w:autoSpaceDE w:val="0"/>
      <w:autoSpaceDN w:val="0"/>
      <w:adjustRightInd w:val="0"/>
      <w:jc w:val="center"/>
    </w:pPr>
    <w:rPr>
      <w:rFonts w:ascii="宋体" w:hAnsi="Calibri" w:eastAsia="宋体" w:cs="宋体"/>
      <w:b/>
      <w:color w:val="000000"/>
      <w:sz w:val="22"/>
      <w:szCs w:val="24"/>
      <w:lang w:val="en-US" w:eastAsia="zh-CN" w:bidi="ar-SA"/>
    </w:rPr>
  </w:style>
  <w:style w:type="paragraph" w:customStyle="1" w:styleId="127">
    <w:name w:val="填表内容"/>
    <w:basedOn w:val="1"/>
    <w:qFormat/>
    <w:uiPriority w:val="0"/>
    <w:pPr>
      <w:adjustRightInd w:val="0"/>
      <w:spacing w:line="480" w:lineRule="exact"/>
      <w:ind w:firstLine="560" w:firstLineChars="200"/>
      <w:jc w:val="left"/>
      <w:textAlignment w:val="baseline"/>
    </w:pPr>
    <w:rPr>
      <w:rFonts w:ascii="楷体_GB2312" w:eastAsia="楷体_GB2312"/>
      <w:sz w:val="28"/>
      <w:szCs w:val="20"/>
    </w:rPr>
  </w:style>
  <w:style w:type="character" w:customStyle="1" w:styleId="128">
    <w:name w:val="表格 Char Char"/>
    <w:qFormat/>
    <w:uiPriority w:val="0"/>
    <w:rPr>
      <w:rFonts w:ascii="Times New Roman" w:hAnsi="Times New Roman" w:eastAsia="宋体" w:cs="Times New Roman"/>
      <w:sz w:val="24"/>
    </w:rPr>
  </w:style>
  <w:style w:type="character" w:customStyle="1" w:styleId="129">
    <w:name w:val="宗兴正文 Char"/>
    <w:link w:val="130"/>
    <w:uiPriority w:val="0"/>
    <w:rPr>
      <w:rFonts w:ascii="Verdana" w:hAnsi="Verdana"/>
      <w:kern w:val="2"/>
      <w:sz w:val="24"/>
      <w:szCs w:val="24"/>
    </w:rPr>
  </w:style>
  <w:style w:type="paragraph" w:customStyle="1" w:styleId="130">
    <w:name w:val="宗兴正文"/>
    <w:basedOn w:val="1"/>
    <w:link w:val="129"/>
    <w:qFormat/>
    <w:uiPriority w:val="0"/>
    <w:pPr>
      <w:spacing w:before="93" w:after="93" w:line="360" w:lineRule="auto"/>
      <w:ind w:firstLine="480" w:firstLineChars="200"/>
      <w:jc w:val="left"/>
    </w:pPr>
    <w:rPr>
      <w:rFonts w:ascii="Verdana" w:hAnsi="Verdana"/>
      <w:sz w:val="24"/>
    </w:rPr>
  </w:style>
  <w:style w:type="paragraph" w:customStyle="1" w:styleId="131">
    <w:name w:val="表格标题"/>
    <w:basedOn w:val="1"/>
    <w:qFormat/>
    <w:uiPriority w:val="0"/>
    <w:pPr>
      <w:jc w:val="center"/>
    </w:pPr>
    <w:rPr>
      <w:rFonts w:ascii="黑体" w:hAnsi="黑体" w:eastAsia="黑体"/>
      <w:szCs w:val="20"/>
    </w:rPr>
  </w:style>
  <w:style w:type="character" w:customStyle="1" w:styleId="132">
    <w:name w:val="正文文本缩进 字符"/>
    <w:basedOn w:val="35"/>
    <w:link w:val="18"/>
    <w:uiPriority w:val="0"/>
    <w:rPr>
      <w:kern w:val="2"/>
      <w:sz w:val="24"/>
      <w:szCs w:val="24"/>
    </w:rPr>
  </w:style>
  <w:style w:type="character" w:customStyle="1" w:styleId="133">
    <w:name w:val="正文文本首行缩进 2 字符"/>
    <w:basedOn w:val="132"/>
    <w:link w:val="32"/>
    <w:semiHidden/>
    <w:uiPriority w:val="0"/>
    <w:rPr>
      <w:kern w:val="2"/>
      <w:sz w:val="21"/>
      <w:szCs w:val="24"/>
    </w:rPr>
  </w:style>
  <w:style w:type="paragraph" w:customStyle="1" w:styleId="134">
    <w:name w:val="标题1.1.1"/>
    <w:basedOn w:val="4"/>
    <w:qFormat/>
    <w:uiPriority w:val="0"/>
    <w:pPr>
      <w:keepLines/>
      <w:numPr>
        <w:ilvl w:val="0"/>
        <w:numId w:val="0"/>
      </w:numPr>
      <w:tabs>
        <w:tab w:val="clear" w:pos="1260"/>
      </w:tabs>
      <w:autoSpaceDE/>
      <w:autoSpaceDN/>
      <w:spacing w:line="480" w:lineRule="exact"/>
    </w:pPr>
    <w:rPr>
      <w:rFonts w:ascii="Times New Roman" w:hAnsi="Times New Roman" w:eastAsia="宋体"/>
      <w:kern w:val="0"/>
      <w:sz w:val="30"/>
      <w:szCs w:val="30"/>
      <w:shd w:val="clear" w:color="auto" w:fill="FFFFFF"/>
    </w:rPr>
  </w:style>
  <w:style w:type="paragraph" w:customStyle="1" w:styleId="135">
    <w:name w:val="1"/>
    <w:basedOn w:val="1"/>
    <w:uiPriority w:val="0"/>
  </w:style>
  <w:style w:type="paragraph" w:styleId="136">
    <w:name w:val="List Paragraph"/>
    <w:basedOn w:val="1"/>
    <w:qFormat/>
    <w:uiPriority w:val="34"/>
    <w:pPr>
      <w:ind w:firstLine="420" w:firstLineChars="200"/>
    </w:pPr>
  </w:style>
  <w:style w:type="paragraph" w:customStyle="1" w:styleId="137">
    <w:name w:val="正文1"/>
    <w:basedOn w:val="1"/>
    <w:uiPriority w:val="0"/>
    <w:pPr>
      <w:spacing w:before="60" w:after="100" w:afterAutospacing="1" w:line="460" w:lineRule="exact"/>
      <w:ind w:firstLine="200" w:firstLineChars="200"/>
    </w:pPr>
    <w:rPr>
      <w:sz w:val="24"/>
    </w:rPr>
  </w:style>
  <w:style w:type="paragraph" w:customStyle="1" w:styleId="138">
    <w:name w:val="样式35"/>
    <w:next w:val="1"/>
    <w:qFormat/>
    <w:uiPriority w:val="0"/>
    <w:pPr>
      <w:widowControl w:val="0"/>
      <w:spacing w:line="312" w:lineRule="auto"/>
      <w:ind w:firstLine="567"/>
      <w:jc w:val="both"/>
    </w:pPr>
    <w:rPr>
      <w:rFonts w:ascii="宋体" w:hAnsi="Calibri" w:eastAsia="宋体" w:cs="Times New Roman"/>
      <w:kern w:val="2"/>
      <w:sz w:val="21"/>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7.xml"/><Relationship Id="rId85" Type="http://schemas.openxmlformats.org/officeDocument/2006/relationships/fontTable" Target="fontTable.xml"/><Relationship Id="rId84" Type="http://schemas.openxmlformats.org/officeDocument/2006/relationships/customXml" Target="../customXml/item2.xml"/><Relationship Id="rId83" Type="http://schemas.openxmlformats.org/officeDocument/2006/relationships/numbering" Target="numbering.xml"/><Relationship Id="rId82" Type="http://schemas.openxmlformats.org/officeDocument/2006/relationships/customXml" Target="../customXml/item1.xml"/><Relationship Id="rId81" Type="http://schemas.openxmlformats.org/officeDocument/2006/relationships/image" Target="media/image60.jpeg"/><Relationship Id="rId80" Type="http://schemas.openxmlformats.org/officeDocument/2006/relationships/image" Target="media/image59.png"/><Relationship Id="rId8" Type="http://schemas.openxmlformats.org/officeDocument/2006/relationships/footer" Target="footer6.xml"/><Relationship Id="rId79" Type="http://schemas.openxmlformats.org/officeDocument/2006/relationships/image" Target="media/image58.png"/><Relationship Id="rId78" Type="http://schemas.openxmlformats.org/officeDocument/2006/relationships/image" Target="media/image57.png"/><Relationship Id="rId77" Type="http://schemas.openxmlformats.org/officeDocument/2006/relationships/image" Target="media/image56.png"/><Relationship Id="rId76" Type="http://schemas.openxmlformats.org/officeDocument/2006/relationships/image" Target="media/image55.png"/><Relationship Id="rId75" Type="http://schemas.openxmlformats.org/officeDocument/2006/relationships/image" Target="media/image54.png"/><Relationship Id="rId74" Type="http://schemas.openxmlformats.org/officeDocument/2006/relationships/image" Target="media/image53.png"/><Relationship Id="rId73" Type="http://schemas.openxmlformats.org/officeDocument/2006/relationships/image" Target="media/image52.png"/><Relationship Id="rId72" Type="http://schemas.openxmlformats.org/officeDocument/2006/relationships/image" Target="media/image51.png"/><Relationship Id="rId71" Type="http://schemas.openxmlformats.org/officeDocument/2006/relationships/image" Target="media/image50.png"/><Relationship Id="rId70" Type="http://schemas.openxmlformats.org/officeDocument/2006/relationships/image" Target="media/image49.png"/><Relationship Id="rId7" Type="http://schemas.openxmlformats.org/officeDocument/2006/relationships/footer" Target="footer5.xml"/><Relationship Id="rId69" Type="http://schemas.openxmlformats.org/officeDocument/2006/relationships/image" Target="media/image48.png"/><Relationship Id="rId68" Type="http://schemas.openxmlformats.org/officeDocument/2006/relationships/image" Target="media/image47.png"/><Relationship Id="rId67" Type="http://schemas.openxmlformats.org/officeDocument/2006/relationships/image" Target="media/image46.png"/><Relationship Id="rId66" Type="http://schemas.openxmlformats.org/officeDocument/2006/relationships/image" Target="media/image45.png"/><Relationship Id="rId65" Type="http://schemas.openxmlformats.org/officeDocument/2006/relationships/image" Target="media/image44.png"/><Relationship Id="rId64" Type="http://schemas.openxmlformats.org/officeDocument/2006/relationships/image" Target="media/image43.png"/><Relationship Id="rId63" Type="http://schemas.openxmlformats.org/officeDocument/2006/relationships/image" Target="media/image42.png"/><Relationship Id="rId62" Type="http://schemas.openxmlformats.org/officeDocument/2006/relationships/image" Target="media/image41.png"/><Relationship Id="rId61" Type="http://schemas.openxmlformats.org/officeDocument/2006/relationships/image" Target="media/image40.png"/><Relationship Id="rId60" Type="http://schemas.openxmlformats.org/officeDocument/2006/relationships/image" Target="media/image39.png"/><Relationship Id="rId6" Type="http://schemas.openxmlformats.org/officeDocument/2006/relationships/footer" Target="footer4.xml"/><Relationship Id="rId59" Type="http://schemas.openxmlformats.org/officeDocument/2006/relationships/image" Target="media/image38.png"/><Relationship Id="rId58" Type="http://schemas.openxmlformats.org/officeDocument/2006/relationships/image" Target="media/image37.png"/><Relationship Id="rId57" Type="http://schemas.openxmlformats.org/officeDocument/2006/relationships/image" Target="media/image36.png"/><Relationship Id="rId56" Type="http://schemas.openxmlformats.org/officeDocument/2006/relationships/image" Target="media/image35.jpeg"/><Relationship Id="rId55" Type="http://schemas.openxmlformats.org/officeDocument/2006/relationships/image" Target="media/image34.jpeg"/><Relationship Id="rId54" Type="http://schemas.openxmlformats.org/officeDocument/2006/relationships/image" Target="media/image33.png"/><Relationship Id="rId53" Type="http://schemas.openxmlformats.org/officeDocument/2006/relationships/image" Target="media/image32.png"/><Relationship Id="rId52" Type="http://schemas.openxmlformats.org/officeDocument/2006/relationships/image" Target="media/image31.png"/><Relationship Id="rId51" Type="http://schemas.openxmlformats.org/officeDocument/2006/relationships/image" Target="media/image30.png"/><Relationship Id="rId50" Type="http://schemas.openxmlformats.org/officeDocument/2006/relationships/image" Target="media/image29.png"/><Relationship Id="rId5" Type="http://schemas.openxmlformats.org/officeDocument/2006/relationships/footer" Target="footer3.xml"/><Relationship Id="rId49" Type="http://schemas.openxmlformats.org/officeDocument/2006/relationships/image" Target="media/image28.wmf"/><Relationship Id="rId48" Type="http://schemas.openxmlformats.org/officeDocument/2006/relationships/oleObject" Target="embeddings/oleObject9.bin"/><Relationship Id="rId47" Type="http://schemas.openxmlformats.org/officeDocument/2006/relationships/image" Target="media/image27.png"/><Relationship Id="rId46" Type="http://schemas.openxmlformats.org/officeDocument/2006/relationships/image" Target="media/image26.png"/><Relationship Id="rId45" Type="http://schemas.openxmlformats.org/officeDocument/2006/relationships/image" Target="media/image25.png"/><Relationship Id="rId44" Type="http://schemas.openxmlformats.org/officeDocument/2006/relationships/image" Target="media/image24.wmf"/><Relationship Id="rId43" Type="http://schemas.openxmlformats.org/officeDocument/2006/relationships/oleObject" Target="embeddings/oleObject8.bin"/><Relationship Id="rId42" Type="http://schemas.openxmlformats.org/officeDocument/2006/relationships/image" Target="media/image23.wmf"/><Relationship Id="rId41" Type="http://schemas.openxmlformats.org/officeDocument/2006/relationships/oleObject" Target="embeddings/oleObject7.bin"/><Relationship Id="rId40" Type="http://schemas.openxmlformats.org/officeDocument/2006/relationships/image" Target="media/image22.wmf"/><Relationship Id="rId4" Type="http://schemas.openxmlformats.org/officeDocument/2006/relationships/footer" Target="footer2.xml"/><Relationship Id="rId39" Type="http://schemas.openxmlformats.org/officeDocument/2006/relationships/oleObject" Target="embeddings/oleObject6.bin"/><Relationship Id="rId38" Type="http://schemas.openxmlformats.org/officeDocument/2006/relationships/image" Target="media/image21.wmf"/><Relationship Id="rId37" Type="http://schemas.openxmlformats.org/officeDocument/2006/relationships/oleObject" Target="embeddings/oleObject5.bin"/><Relationship Id="rId36" Type="http://schemas.openxmlformats.org/officeDocument/2006/relationships/image" Target="media/image20.wmf"/><Relationship Id="rId35" Type="http://schemas.openxmlformats.org/officeDocument/2006/relationships/oleObject" Target="embeddings/oleObject4.bin"/><Relationship Id="rId34" Type="http://schemas.openxmlformats.org/officeDocument/2006/relationships/image" Target="media/image19.wmf"/><Relationship Id="rId33" Type="http://schemas.openxmlformats.org/officeDocument/2006/relationships/oleObject" Target="embeddings/oleObject3.bin"/><Relationship Id="rId32" Type="http://schemas.openxmlformats.org/officeDocument/2006/relationships/image" Target="media/image18.wmf"/><Relationship Id="rId31" Type="http://schemas.openxmlformats.org/officeDocument/2006/relationships/oleObject" Target="embeddings/oleObject2.bin"/><Relationship Id="rId30" Type="http://schemas.openxmlformats.org/officeDocument/2006/relationships/image" Target="media/image17.wmf"/><Relationship Id="rId3" Type="http://schemas.openxmlformats.org/officeDocument/2006/relationships/footer" Target="footer1.xml"/><Relationship Id="rId29" Type="http://schemas.openxmlformats.org/officeDocument/2006/relationships/oleObject" Target="embeddings/oleObject1.bin"/><Relationship Id="rId28" Type="http://schemas.openxmlformats.org/officeDocument/2006/relationships/image" Target="media/image16.png"/><Relationship Id="rId27" Type="http://schemas.openxmlformats.org/officeDocument/2006/relationships/image" Target="media/image15.png"/><Relationship Id="rId26" Type="http://schemas.openxmlformats.org/officeDocument/2006/relationships/image" Target="media/image14.png"/><Relationship Id="rId25" Type="http://schemas.openxmlformats.org/officeDocument/2006/relationships/image" Target="media/image13.png"/><Relationship Id="rId24" Type="http://schemas.openxmlformats.org/officeDocument/2006/relationships/image" Target="media/image12.png"/><Relationship Id="rId23" Type="http://schemas.openxmlformats.org/officeDocument/2006/relationships/image" Target="media/image11.png"/><Relationship Id="rId22" Type="http://schemas.openxmlformats.org/officeDocument/2006/relationships/image" Target="media/image10.png"/><Relationship Id="rId21" Type="http://schemas.openxmlformats.org/officeDocument/2006/relationships/image" Target="media/image9.pn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png"/><Relationship Id="rId17" Type="http://schemas.openxmlformats.org/officeDocument/2006/relationships/image" Target="media/image5.png"/><Relationship Id="rId16" Type="http://schemas.openxmlformats.org/officeDocument/2006/relationships/image" Target="media/image4.png"/><Relationship Id="rId15" Type="http://schemas.openxmlformats.org/officeDocument/2006/relationships/image" Target="media/image3.png"/><Relationship Id="rId14" Type="http://schemas.openxmlformats.org/officeDocument/2006/relationships/image" Target="media/image2.png"/><Relationship Id="rId13" Type="http://schemas.openxmlformats.org/officeDocument/2006/relationships/image" Target="media/image1.png"/><Relationship Id="rId12" Type="http://schemas.openxmlformats.org/officeDocument/2006/relationships/theme" Target="theme/theme1.xml"/><Relationship Id="rId11" Type="http://schemas.openxmlformats.org/officeDocument/2006/relationships/footer" Target="footer9.xml"/><Relationship Id="rId10" Type="http://schemas.openxmlformats.org/officeDocument/2006/relationships/footer" Target="footer8.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E778785-00B4-49B7-853C-03F74651DB6B}">
  <ds:schemaRefs/>
</ds:datastoreItem>
</file>

<file path=docProps/app.xml><?xml version="1.0" encoding="utf-8"?>
<Properties xmlns="http://schemas.openxmlformats.org/officeDocument/2006/extended-properties" xmlns:vt="http://schemas.openxmlformats.org/officeDocument/2006/docPropsVTypes">
  <Template>Normal</Template>
  <Company>zhen</Company>
  <Pages>89</Pages>
  <Words>6766</Words>
  <Characters>38571</Characters>
  <Lines>321</Lines>
  <Paragraphs>90</Paragraphs>
  <TotalTime>2851</TotalTime>
  <ScaleCrop>false</ScaleCrop>
  <LinksUpToDate>false</LinksUpToDate>
  <CharactersWithSpaces>45247</CharactersWithSpaces>
  <Application>WPS Office_11.1.0.9912_F1E327BC-269C-435d-A152-05C5408002CA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2020-03-31T09:54:00Z</dcterms:created>
  <dc:creator>wen</dc:creator>
  <cp:lastModifiedBy>L</cp:lastModifiedBy>
  <cp:lastPrinted>2014-03-12T09:34:00Z</cp:lastPrinted>
  <dcterms:modified xsi:type="dcterms:W3CDTF">2020-08-20T03:39:43Z</dcterms:modified>
  <dc:title>建设项目环境影响报告表</dc:title>
  <cp:revision>66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2052-11.1.0.9912</vt:lpwstr>
  </property>
</Properties>
</file>