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2.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9"/>
        <w:framePr w:wrap="around" w:vAnchor="margin" w:hAnchor="text" w:y="1"/>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67.080.20</w:t>
      </w:r>
      <w:r>
        <w:fldChar w:fldCharType="end"/>
      </w:r>
      <w:bookmarkEnd w:id="0"/>
    </w:p>
    <w:p>
      <w:pPr>
        <w:pStyle w:val="39"/>
        <w:framePr w:wrap="around" w:vAnchor="margin" w:hAnchor="text" w:y="1"/>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B 31</w:t>
      </w:r>
      <w:r>
        <w:fldChar w:fldCharType="end"/>
      </w:r>
      <w:bookmarkEnd w:id="1"/>
    </w:p>
    <w:tbl>
      <w:tblPr>
        <w:tblStyle w:val="5"/>
        <w:tblW w:w="98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39"/>
              <w:framePr w:wrap="around" w:vAnchor="margin" w:hAnchor="text" w:y="1"/>
            </w:pPr>
            <w:r>
              <w:rPr>
                <w:rFonts w:ascii="黑体" w:hAnsi="Times New Roman" w:eastAsia="黑体" w:cs="Times New Roman"/>
                <w:sz w:val="21"/>
                <w:szCs w:val="21"/>
                <w:lang w:val="en-US" w:eastAsia="zh-CN" w:bidi="ar-SA"/>
              </w:rPr>
              <w:pict>
                <v:rect id="BAH" o:spid="_x0000_s1026" style="position:absolute;left:0;margin-left:-5.25pt;margin-top:0pt;height:15.6pt;width:68.25pt;rotation:0f;z-index:-251655168;" o:ole="f" fillcolor="#FFFFFF" filled="t" o:preferrelative="t" stroked="f" coordsize="21600,21600">
                  <v:imagedata gain="65536f" blacklevel="0f" gamma="0"/>
                  <o:lock v:ext="edit" position="f" selection="f" grouping="f" rotation="f" cropping="f" text="f" aspectratio="f"/>
                </v:rect>
              </w:pict>
            </w:r>
            <w:r>
              <w:fldChar w:fldCharType="begin">
                <w:ffData>
                  <w:name w:val="BAH"/>
                  <w:enabled/>
                  <w:calcOnExit w:val="0"/>
                  <w:textInput/>
                </w:ffData>
              </w:fldChar>
            </w:r>
            <w:bookmarkStart w:id="2" w:name="BAH"/>
            <w:r>
              <w:instrText xml:space="preserve"> FORMTEXT </w:instrText>
            </w:r>
            <w:r>
              <w:fldChar w:fldCharType="separate"/>
            </w:r>
            <w:r>
              <w:rPr>
                <w:rFonts w:hint="eastAsia"/>
              </w:rPr>
              <w:t>备案号：</w:t>
            </w:r>
            <w:r>
              <w:fldChar w:fldCharType="end"/>
            </w:r>
            <w:bookmarkEnd w:id="2"/>
          </w:p>
        </w:tc>
      </w:tr>
    </w:tbl>
    <w:p>
      <w:pPr>
        <w:pStyle w:val="35"/>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rFonts w:hint="eastAsia"/>
        </w:rPr>
        <w:t>44</w:t>
      </w:r>
      <w:r>
        <w:fldChar w:fldCharType="end"/>
      </w:r>
      <w:bookmarkEnd w:id="3"/>
      <w:r>
        <w:rPr>
          <w:rFonts w:hint="eastAsia"/>
        </w:rPr>
        <w:t>14</w:t>
      </w:r>
    </w:p>
    <w:p>
      <w:pPr>
        <w:pStyle w:val="36"/>
      </w:pPr>
      <w:bookmarkStart w:id="4" w:name="c4"/>
      <w:r>
        <w:fldChar w:fldCharType="begin">
          <w:ffData>
            <w:name w:val="c4"/>
            <w:enabled/>
            <w:calcOnExit w:val="0"/>
            <w:textInput/>
          </w:ffData>
        </w:fldChar>
      </w:r>
      <w:r>
        <w:instrText xml:space="preserve"> FORMTEXT </w:instrText>
      </w:r>
      <w:r>
        <w:fldChar w:fldCharType="separate"/>
      </w:r>
      <w:r>
        <w:rPr>
          <w:rFonts w:hint="eastAsia"/>
        </w:rPr>
        <w:t>梅州市</w:t>
      </w:r>
      <w:r>
        <w:fldChar w:fldCharType="end"/>
      </w:r>
      <w:bookmarkEnd w:id="4"/>
      <w:r>
        <w:rPr>
          <w:rFonts w:hint="eastAsia"/>
        </w:rPr>
        <w:t>地方标准</w:t>
      </w:r>
    </w:p>
    <w:p>
      <w:pPr>
        <w:pStyle w:val="12"/>
        <w:framePr w:wrap="around" w:vAnchor="margin" w:hAnchor="text" w:y="1"/>
      </w:pPr>
    </w:p>
    <w:tbl>
      <w:tblPr>
        <w:tblStyle w:val="5"/>
        <w:tblW w:w="98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13"/>
        <w:gridCol w:w="4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913" w:type="dxa"/>
            <w:tcBorders>
              <w:top w:val="nil"/>
              <w:left w:val="nil"/>
              <w:bottom w:val="nil"/>
              <w:right w:val="nil"/>
            </w:tcBorders>
            <w:vAlign w:val="top"/>
          </w:tcPr>
          <w:p>
            <w:pPr>
              <w:pStyle w:val="18"/>
              <w:framePr w:wrap="around" w:vAnchor="margin" w:hAnchor="text" w:y="1"/>
            </w:pPr>
            <w:bookmarkStart w:id="5" w:name="DT"/>
            <w:r>
              <w:fldChar w:fldCharType="begin">
                <w:ffData>
                  <w:name w:val="DT"/>
                  <w:enabled/>
                  <w:calcOnExit w:val="0"/>
                  <w:textInput/>
                </w:ffData>
              </w:fldChar>
            </w:r>
            <w:r>
              <w:instrText xml:space="preserve"> FORMTEXT </w:instrText>
            </w:r>
            <w:r>
              <w:fldChar w:fldCharType="separate"/>
            </w:r>
            <w:r>
              <w:t>     </w:t>
            </w:r>
            <w:r>
              <w:fldChar w:fldCharType="end"/>
            </w:r>
            <w:bookmarkEnd w:id="5"/>
          </w:p>
        </w:tc>
        <w:tc>
          <w:tcPr>
            <w:tcW w:w="4904" w:type="dxa"/>
            <w:tcBorders>
              <w:top w:val="nil"/>
              <w:left w:val="nil"/>
              <w:bottom w:val="nil"/>
              <w:right w:val="nil"/>
            </w:tcBorders>
            <w:vAlign w:val="top"/>
          </w:tcPr>
          <w:p>
            <w:pPr>
              <w:pStyle w:val="18"/>
              <w:framePr w:wrap="around" w:vAnchor="margin" w:hAnchor="text" w:y="1"/>
              <w:jc w:val="center"/>
              <w:rPr>
                <w:sz w:val="52"/>
                <w:szCs w:val="52"/>
              </w:rPr>
            </w:pPr>
          </w:p>
        </w:tc>
      </w:tr>
    </w:tbl>
    <w:p>
      <w:pPr>
        <w:pStyle w:val="12"/>
        <w:framePr w:wrap="around" w:vAnchor="margin" w:hAnchor="text" w:y="1"/>
      </w:pPr>
    </w:p>
    <w:p>
      <w:pPr>
        <w:pStyle w:val="12"/>
        <w:framePr w:wrap="around" w:vAnchor="margin" w:hAnchor="text" w:y="1"/>
      </w:pPr>
    </w:p>
    <w:p>
      <w:pPr>
        <w:pStyle w:val="19"/>
        <w:framePr w:wrap="around" w:vAnchor="margin" w:hAnchor="text" w:y="1"/>
        <w:rPr>
          <w:rFonts w:ascii="宋体" w:hAnsi="宋体" w:eastAsia="宋体" w:cs="宋体"/>
          <w:sz w:val="28"/>
          <w:szCs w:val="28"/>
        </w:rPr>
      </w:pPr>
      <w:bookmarkStart w:id="6" w:name="StdName"/>
      <w:r>
        <w:rPr>
          <w:rFonts w:hint="eastAsia"/>
        </w:rPr>
        <w:t xml:space="preserve">      </w:t>
      </w:r>
      <w:r>
        <w:rPr>
          <w:rFonts w:hint="eastAsia" w:ascii="宋体" w:hAnsi="宋体" w:eastAsia="宋体" w:cs="宋体"/>
          <w:sz w:val="36"/>
          <w:szCs w:val="36"/>
        </w:rPr>
        <w:t xml:space="preserve">                            </w:t>
      </w:r>
      <w:r>
        <w:rPr>
          <w:rFonts w:hint="eastAsia" w:ascii="宋体" w:hAnsi="宋体" w:eastAsia="宋体" w:cs="宋体"/>
          <w:sz w:val="28"/>
          <w:szCs w:val="28"/>
        </w:rPr>
        <w:t>DB4414/T  XXXX-XXX</w:t>
      </w:r>
    </w:p>
    <w:p>
      <w:pPr>
        <w:pStyle w:val="19"/>
        <w:framePr w:wrap="around" w:vAnchor="margin" w:hAnchor="text" w:y="1"/>
        <w:rPr>
          <w:rFonts w:ascii="宋体" w:hAnsi="宋体" w:eastAsia="宋体" w:cs="宋体"/>
          <w:sz w:val="28"/>
          <w:szCs w:val="28"/>
        </w:rPr>
      </w:pPr>
    </w:p>
    <w:p>
      <w:pPr>
        <w:pStyle w:val="19"/>
        <w:framePr w:wrap="around" w:vAnchor="margin" w:hAnchor="text" w:y="1"/>
        <w:rPr>
          <w:rFonts w:ascii="宋体" w:hAnsi="宋体" w:eastAsia="宋体" w:cs="宋体"/>
          <w:sz w:val="28"/>
          <w:szCs w:val="28"/>
        </w:rPr>
      </w:pPr>
    </w:p>
    <w:p>
      <w:pPr>
        <w:pStyle w:val="19"/>
        <w:framePr w:wrap="around" w:vAnchor="margin" w:hAnchor="text" w:y="1"/>
        <w:rPr>
          <w:rFonts w:ascii="宋体" w:hAnsi="宋体" w:eastAsia="宋体" w:cs="宋体"/>
          <w:sz w:val="28"/>
          <w:szCs w:val="28"/>
        </w:rPr>
      </w:pPr>
    </w:p>
    <w:p>
      <w:pPr>
        <w:pStyle w:val="19"/>
        <w:framePr w:wrap="around" w:vAnchor="margin" w:hAnchor="text" w:y="1"/>
      </w:pPr>
    </w:p>
    <w:p>
      <w:pPr>
        <w:pStyle w:val="19"/>
        <w:framePr w:wrap="around" w:vAnchor="margin" w:hAnchor="text" w:y="1"/>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地理标志产品 三圳淮山</w:t>
      </w:r>
      <w:r>
        <w:fldChar w:fldCharType="end"/>
      </w:r>
      <w:bookmarkEnd w:id="6"/>
    </w:p>
    <w:p>
      <w:pPr>
        <w:pStyle w:val="19"/>
        <w:framePr w:wrap="around" w:vAnchor="margin" w:hAnchor="text" w:y="1"/>
      </w:pPr>
    </w:p>
    <w:p>
      <w:pPr>
        <w:pStyle w:val="20"/>
      </w:pPr>
      <w:bookmarkStart w:id="7"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Product of geographical indication</w:t>
      </w:r>
      <w:r>
        <w:rPr>
          <w:rFonts w:hint="eastAsia"/>
        </w:rPr>
        <w:t>—San Zhen yam</w:t>
      </w:r>
      <w:r>
        <w:fldChar w:fldCharType="end"/>
      </w:r>
      <w:bookmarkEnd w:id="7"/>
    </w:p>
    <w:p>
      <w:pPr>
        <w:pStyle w:val="21"/>
      </w:pPr>
      <w:bookmarkStart w:id="8"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8"/>
    </w:p>
    <w:tbl>
      <w:tblPr>
        <w:tblStyle w:val="5"/>
        <w:tblW w:w="98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2"/>
            </w:pPr>
            <w:r>
              <w:rPr>
                <w:rFonts w:ascii="宋体" w:hAnsi="Times New Roman" w:eastAsia="宋体" w:cs="Times New Roman"/>
                <w:sz w:val="24"/>
                <w:szCs w:val="28"/>
                <w:lang w:val="en-US" w:eastAsia="zh-CN" w:bidi="ar-SA"/>
              </w:rPr>
              <w:pict>
                <v:rect id="RQ" o:spid="_x0000_s1027" style="position:absolute;left:0;margin-left:173.3pt;margin-top:337.15pt;height:20pt;width:150pt;rotation:0f;z-index:-251656192;" o:ole="f" fillcolor="#FFFFFF" filled="t" o:preferrelative="t" stroked="f" coordsize="21600,21600">
                  <v:imagedata gain="65536f" blacklevel="0f" gamma="0"/>
                  <o:lock v:ext="edit" position="f" selection="f" grouping="f" rotation="f" cropping="f" text="f" aspectratio="f"/>
                  <w10:anchorlock/>
                </v:rect>
              </w:pict>
            </w:r>
            <w:bookmarkStart w:id="9" w:name="LB"/>
            <w:r>
              <w:fldChar w:fldCharType="begin">
                <w:ffData>
                  <w:name w:val="LB"/>
                  <w:enabled/>
                  <w:calcOnExit w:val="0"/>
                  <w:ddList>
                    <w:listEntry w:val="（报批稿）"/>
                    <w:listEntry w:val="（工作组讨论稿）"/>
                    <w:listEntry w:val="（送审稿）"/>
                    <w:listEntry w:val="（征求意见稿）"/>
                    <w:listEntry w:val="（送审讨论稿）"/>
                    <w:listEntry w:val="文稿版次选择"/>
                  </w:ddList>
                </w:ffData>
              </w:fldChar>
            </w:r>
            <w:r>
              <w:instrText xml:space="preserve">FORMDROPDOWN</w:instrText>
            </w:r>
            <w:r>
              <w:fldChar w:fldCharType="separate"/>
            </w:r>
            <w:r>
              <w:fldChar w:fldCharType="end"/>
            </w:r>
            <w:bookmarkEnd w:id="9"/>
          </w:p>
        </w:tc>
        <w:bookmarkStart w:id="10" w:name="WCRQ"/>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vAlign w:val="top"/>
          </w:tcPr>
          <w:p>
            <w:pPr>
              <w:pStyle w:val="23"/>
            </w:pPr>
            <w:r>
              <w:fldChar w:fldCharType="begin">
                <w:ffData>
                  <w:name w:val="WCRQ"/>
                  <w:enabled/>
                  <w:calcOnExit w:val="0"/>
                  <w:textInput/>
                </w:ffData>
              </w:fldChar>
            </w:r>
            <w:r>
              <w:instrText xml:space="preserve"> FORMTEXT </w:instrText>
            </w:r>
            <w:r>
              <w:fldChar w:fldCharType="separate"/>
            </w:r>
            <w:r>
              <w:t>     </w:t>
            </w:r>
            <w:r>
              <w:fldChar w:fldCharType="end"/>
            </w:r>
            <w:bookmarkEnd w:id="10"/>
          </w:p>
        </w:tc>
      </w:tr>
    </w:tbl>
    <w:p>
      <w:pPr>
        <w:pStyle w:val="41"/>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1"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r>
        <w:rPr>
          <w:rFonts w:ascii="Times New Roman" w:hAnsi="Times New Roman" w:eastAsia="黑体" w:cs="Times New Roman"/>
          <w:sz w:val="28"/>
          <w:lang w:val="en-US" w:eastAsia="zh-CN" w:bidi="ar-SA"/>
        </w:rPr>
        <w:pict>
          <v:line id="Line 2" o:spid="_x0000_s1028" style="position:absolute;left:0;margin-left:0pt;margin-top:728.5pt;height:0.05pt;width:481.85pt;mso-position-vertical-relative:page;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w10:anchorlock/>
          </v:line>
        </w:pict>
      </w:r>
    </w:p>
    <w:p>
      <w:pPr>
        <w:pStyle w:val="42"/>
      </w:pPr>
      <w:bookmarkStart w:id="12"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bookmarkStart w:id="13"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bookmarkStart w:id="14"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37"/>
      </w:pPr>
      <w:bookmarkStart w:id="15" w:name="fm"/>
      <w:r>
        <w:rPr>
          <w:rFonts w:ascii="黑体" w:hAnsi="Times New Roman" w:eastAsia="黑体" w:cs="Times New Roman"/>
          <w:spacing w:val="20"/>
          <w:w w:val="100"/>
          <w:sz w:val="28"/>
          <w:lang w:val="en-US" w:eastAsia="zh-CN" w:bidi="ar-SA"/>
        </w:rPr>
        <w:pict>
          <v:rect id="LB" o:spid="_x0000_s1029" style="position:absolute;left:0;margin-left:142.55pt;margin-top:-310.45pt;height:24.55pt;width:100pt;rotation:0f;z-index:-251657216;"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rect id="DT" o:spid="_x0000_s1030" style="position:absolute;left:0;margin-left:347.55pt;margin-top:-585.45pt;height:18.55pt;width:90pt;rotation:0f;z-index:-251658240;" o:ole="f" fillcolor="#FFFFFF" filled="t" o:preferrelative="t" stroked="f" coordsize="21600,21600">
            <v:imagedata gain="65536f" blacklevel="0f" gamma="0"/>
            <o:lock v:ext="edit" position="f" selection="f" grouping="f" rotation="f" cropping="f" text="f" aspectratio="f"/>
          </v:rect>
        </w:pict>
      </w:r>
      <w:r>
        <w:rPr>
          <w:rFonts w:ascii="黑体" w:hAnsi="Times New Roman" w:eastAsia="黑体" w:cs="Times New Roman"/>
          <w:spacing w:val="20"/>
          <w:w w:val="100"/>
          <w:sz w:val="28"/>
          <w:lang w:val="en-US" w:eastAsia="zh-CN" w:bidi="ar-SA"/>
        </w:rPr>
        <w:pict>
          <v:line id="Line 3" o:spid="_x0000_s1031" style="position:absolute;left:0;margin-left:-36.45pt;margin-top:-552.7pt;height:0.45pt;width:481.75pt;rotation:0f;z-index:25166336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fldChar w:fldCharType="begin">
          <w:ffData>
            <w:name w:val="fm"/>
            <w:enabled/>
            <w:calcOnExit w:val="0"/>
            <w:textInput/>
          </w:ffData>
        </w:fldChar>
      </w:r>
      <w:r>
        <w:instrText xml:space="preserve"> FORMTEXT </w:instrText>
      </w:r>
      <w:r>
        <w:fldChar w:fldCharType="separate"/>
      </w:r>
      <w:r>
        <w:rPr>
          <w:rFonts w:hint="eastAsia"/>
        </w:rPr>
        <w:t>梅州市市场监督管理局</w:t>
      </w:r>
      <w:r>
        <w:fldChar w:fldCharType="end"/>
      </w:r>
      <w:bookmarkEnd w:id="15"/>
      <w:r>
        <w:t>   </w:t>
      </w:r>
      <w:r>
        <w:rPr>
          <w:rStyle w:val="46"/>
          <w:rFonts w:hint="eastAsia"/>
        </w:rPr>
        <w:t>发布</w:t>
      </w:r>
    </w:p>
    <w:p>
      <w:pPr>
        <w:pStyle w:val="6"/>
        <w:sectPr>
          <w:footerReference r:id="rId7" w:type="first"/>
          <w:footerReference r:id="rId5" w:type="default"/>
          <w:headerReference r:id="rId4" w:type="even"/>
          <w:footerReference r:id="rId6" w:type="even"/>
          <w:pgSz w:w="11906" w:h="16838"/>
          <w:pgMar w:top="567" w:right="1134" w:bottom="567" w:left="1134" w:header="851" w:footer="992" w:gutter="0"/>
          <w:cols w:space="720" w:num="1"/>
          <w:docGrid w:type="lines" w:linePitch="312" w:charSpace="0"/>
        </w:sectPr>
      </w:pPr>
    </w:p>
    <w:p>
      <w:pPr>
        <w:pStyle w:val="38"/>
        <w:rPr>
          <w:sz w:val="44"/>
          <w:szCs w:val="44"/>
        </w:rPr>
      </w:pPr>
      <w:r>
        <w:rPr>
          <w:rFonts w:hint="eastAsia"/>
          <w:sz w:val="44"/>
          <w:szCs w:val="44"/>
        </w:rPr>
        <w:t>前</w:t>
      </w:r>
      <w:bookmarkStart w:id="16" w:name="BKQY"/>
      <w:r>
        <w:rPr>
          <w:rFonts w:hint="eastAsia"/>
          <w:sz w:val="44"/>
          <w:szCs w:val="44"/>
        </w:rPr>
        <w:t>  言</w:t>
      </w:r>
      <w:bookmarkEnd w:id="16"/>
    </w:p>
    <w:p>
      <w:pPr>
        <w:pStyle w:val="6"/>
      </w:pPr>
      <w:r>
        <w:rPr>
          <w:rFonts w:hint="eastAsia"/>
        </w:rPr>
        <w:t>本标准按照GB/T 1.1</w:t>
      </w:r>
      <w:bookmarkStart w:id="17" w:name="_GoBack"/>
      <w:bookmarkEnd w:id="17"/>
      <w:r>
        <w:rPr>
          <w:rFonts w:hint="eastAsia"/>
        </w:rPr>
        <w:t>《标准化工作导则 第1部分：标准的结构和编写》给出的规则编写。</w:t>
      </w:r>
    </w:p>
    <w:p>
      <w:pPr>
        <w:pStyle w:val="6"/>
      </w:pPr>
      <w:r>
        <w:rPr>
          <w:rFonts w:hint="eastAsia"/>
        </w:rPr>
        <w:t>本标准根据国家质量监督检验检疫总局颁布的《地理标志产品保护规定》和GB/T 17924《地理标志产品标准通用要求》而制定。</w:t>
      </w:r>
    </w:p>
    <w:p>
      <w:pPr>
        <w:pStyle w:val="6"/>
      </w:pPr>
      <w:r>
        <w:rPr>
          <w:rFonts w:hint="eastAsia"/>
        </w:rPr>
        <w:t>本标准由梅州市市场监督管理局提出并归口。</w:t>
      </w:r>
    </w:p>
    <w:p>
      <w:pPr>
        <w:pStyle w:val="6"/>
      </w:pPr>
      <w:r>
        <w:rPr>
          <w:rFonts w:hint="eastAsia"/>
        </w:rPr>
        <w:t>本标准起草单位：</w:t>
      </w:r>
      <w:r>
        <w:rPr>
          <w:rFonts w:hint="eastAsia" w:ascii="仿宋_GB2312"/>
          <w:szCs w:val="21"/>
        </w:rPr>
        <w:t>梅州金桂源农业科技有限公司</w:t>
      </w:r>
      <w:r>
        <w:rPr>
          <w:rFonts w:hint="eastAsia"/>
          <w:szCs w:val="21"/>
        </w:rPr>
        <w:t>、</w:t>
      </w:r>
      <w:r>
        <w:rPr>
          <w:rFonts w:hint="eastAsia"/>
        </w:rPr>
        <w:t>蕉岭县市场监督管理局、蕉岭县农业农村局。</w:t>
      </w:r>
    </w:p>
    <w:p>
      <w:pPr>
        <w:pStyle w:val="6"/>
      </w:pPr>
      <w:r>
        <w:rPr>
          <w:rFonts w:hint="eastAsia"/>
        </w:rPr>
        <w:t>本标准主要起草人： 刘文龙、曾海明、黄文敏、刘达忠、赖莉霞、黄广元。</w:t>
      </w:r>
    </w:p>
    <w:p>
      <w:pPr>
        <w:pStyle w:val="6"/>
        <w:sectPr>
          <w:headerReference r:id="rId8" w:type="default"/>
          <w:footerReference r:id="rId9" w:type="default"/>
          <w:pgSz w:w="11906" w:h="16838"/>
          <w:pgMar w:top="567" w:right="1134" w:bottom="1134" w:left="1417" w:header="1418" w:footer="1134" w:gutter="0"/>
          <w:pgNumType w:fmt="upperRoman" w:start="1"/>
          <w:cols w:space="720" w:num="1"/>
          <w:formProt w:val="0"/>
          <w:docGrid w:type="lines" w:linePitch="312" w:charSpace="0"/>
        </w:sectPr>
      </w:pPr>
      <w:r>
        <w:rPr>
          <w:rFonts w:hint="eastAsia"/>
        </w:rPr>
        <w:t>本标准为首次发布。</w:t>
      </w:r>
    </w:p>
    <w:p>
      <w:pPr>
        <w:pStyle w:val="13"/>
        <w:rPr>
          <w:sz w:val="44"/>
          <w:szCs w:val="44"/>
        </w:rPr>
      </w:pPr>
      <w:r>
        <w:rPr>
          <w:rFonts w:hint="eastAsia"/>
          <w:sz w:val="44"/>
          <w:szCs w:val="44"/>
        </w:rPr>
        <w:t>地理标志产品 三圳淮山</w:t>
      </w:r>
    </w:p>
    <w:p>
      <w:pPr>
        <w:pStyle w:val="10"/>
        <w:spacing w:before="312" w:after="312"/>
      </w:pPr>
      <w:r>
        <w:rPr>
          <w:rFonts w:hint="eastAsia"/>
        </w:rPr>
        <w:t>范围</w:t>
      </w:r>
    </w:p>
    <w:p>
      <w:pPr>
        <w:pStyle w:val="6"/>
      </w:pPr>
      <w:r>
        <w:rPr>
          <w:rFonts w:hint="eastAsia"/>
        </w:rPr>
        <w:t>本标准规定了地理标志产品三圳淮山的术语和定义、保护范围、要求、栽培技术、质量特色、试验方法及标志、标签、包装、运输和贮存。</w:t>
      </w:r>
    </w:p>
    <w:p>
      <w:pPr>
        <w:pStyle w:val="6"/>
      </w:pPr>
      <w:r>
        <w:rPr>
          <w:rFonts w:hint="eastAsia"/>
        </w:rPr>
        <w:t>本标准适用于国家质量监督检验检疫总局2018年第31号</w:t>
      </w:r>
      <w:r>
        <w:rPr>
          <w:rFonts w:hint="eastAsia"/>
          <w:szCs w:val="21"/>
        </w:rPr>
        <w:t>《质检总局关于批准对复州湾海盐等22个产品实施国家地理标志产品保护的公告》</w:t>
      </w:r>
      <w:r>
        <w:rPr>
          <w:rFonts w:hint="eastAsia"/>
        </w:rPr>
        <w:t>批准保护的三圳淮山。</w:t>
      </w:r>
    </w:p>
    <w:p>
      <w:pPr>
        <w:pStyle w:val="10"/>
        <w:spacing w:before="312" w:after="312"/>
      </w:pPr>
      <w:r>
        <w:rPr>
          <w:rFonts w:hint="eastAsia"/>
        </w:rPr>
        <w:t>规范性引用文件</w:t>
      </w:r>
    </w:p>
    <w:p>
      <w:pPr>
        <w:pStyle w:val="6"/>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6"/>
      </w:pPr>
      <w:r>
        <w:rPr>
          <w:rFonts w:hint="eastAsia"/>
        </w:rPr>
        <w:t>GB/T 191 包装储运图示标志</w:t>
      </w:r>
    </w:p>
    <w:p>
      <w:pPr>
        <w:pStyle w:val="6"/>
      </w:pPr>
      <w:r>
        <w:rPr>
          <w:rFonts w:hint="eastAsia"/>
        </w:rPr>
        <w:t>GB 2762 食品安全国家标准 食品中污染物限量</w:t>
      </w:r>
    </w:p>
    <w:p>
      <w:pPr>
        <w:pStyle w:val="6"/>
      </w:pPr>
      <w:r>
        <w:rPr>
          <w:rFonts w:hint="eastAsia"/>
        </w:rPr>
        <w:t>GB 2763 食品安全国家标准 食品中农药最大残留限量</w:t>
      </w:r>
    </w:p>
    <w:p>
      <w:pPr>
        <w:pStyle w:val="6"/>
      </w:pPr>
      <w:r>
        <w:rPr>
          <w:rFonts w:hint="eastAsia"/>
        </w:rPr>
        <w:t>GB4806.1 食品安全国家标准 食品接触材料及制品通用安全要求</w:t>
      </w:r>
    </w:p>
    <w:p>
      <w:pPr>
        <w:pStyle w:val="6"/>
      </w:pPr>
      <w:r>
        <w:rPr>
          <w:rFonts w:hint="eastAsia"/>
        </w:rPr>
        <w:t>GB 4806.7 食品安全国家标准 食品接触用塑料材料及制品</w:t>
      </w:r>
    </w:p>
    <w:p>
      <w:pPr>
        <w:pStyle w:val="6"/>
      </w:pPr>
      <w:r>
        <w:rPr>
          <w:rFonts w:hint="eastAsia"/>
        </w:rPr>
        <w:t>GB 4806.8 食品安全国家标准 食品接触用纸和纸板材料及制品</w:t>
      </w:r>
    </w:p>
    <w:p>
      <w:pPr>
        <w:pStyle w:val="6"/>
      </w:pPr>
      <w:r>
        <w:rPr>
          <w:rFonts w:hint="eastAsia"/>
        </w:rPr>
        <w:t>GB 5009.3 食品安全国家标准 食品中水分的测定</w:t>
      </w:r>
    </w:p>
    <w:p>
      <w:pPr>
        <w:pStyle w:val="6"/>
      </w:pPr>
      <w:r>
        <w:rPr>
          <w:rFonts w:hint="eastAsia"/>
        </w:rPr>
        <w:t>GB 5009.88 食品安全国家标准 食品中膳食纤维的测定</w:t>
      </w:r>
    </w:p>
    <w:p>
      <w:pPr>
        <w:pStyle w:val="6"/>
      </w:pPr>
      <w:r>
        <w:rPr>
          <w:rFonts w:hint="eastAsia"/>
        </w:rPr>
        <w:t>GB 5009.124 食品安全国家标准 食品中氨基酸的测定</w:t>
      </w:r>
    </w:p>
    <w:p>
      <w:pPr>
        <w:pStyle w:val="6"/>
        <w:rPr>
          <w:rFonts w:hint="eastAsia"/>
        </w:rPr>
      </w:pPr>
      <w:r>
        <w:rPr>
          <w:rFonts w:hint="eastAsia"/>
        </w:rPr>
        <w:t>GB 7718 食品安全国家标准 预包装食品标签通则</w:t>
      </w:r>
    </w:p>
    <w:p>
      <w:pPr>
        <w:pStyle w:val="6"/>
      </w:pPr>
      <w:r>
        <w:rPr>
          <w:rFonts w:hint="eastAsia"/>
        </w:rPr>
        <w:t>GB/T 8321农药合理使用准则（所有部分）</w:t>
      </w:r>
    </w:p>
    <w:p>
      <w:pPr>
        <w:pStyle w:val="6"/>
      </w:pPr>
      <w:r>
        <w:rPr>
          <w:rFonts w:hint="eastAsia"/>
        </w:rPr>
        <w:t>GB/T 17924 地理标志产品 标准通用要求</w:t>
      </w:r>
    </w:p>
    <w:p>
      <w:pPr>
        <w:pStyle w:val="6"/>
        <w:rPr>
          <w:rFonts w:hint="eastAsia"/>
        </w:rPr>
      </w:pPr>
      <w:r>
        <w:rPr>
          <w:rFonts w:hint="eastAsia"/>
        </w:rPr>
        <w:t>NY/T 496 肥料合理使用准则 通则</w:t>
      </w:r>
    </w:p>
    <w:p>
      <w:pPr>
        <w:pStyle w:val="6"/>
        <w:rPr>
          <w:rFonts w:hint="eastAsia"/>
        </w:rPr>
      </w:pPr>
      <w:r>
        <w:rPr>
          <w:rFonts w:hint="eastAsia"/>
        </w:rPr>
        <w:t>NY/T 1278 蔬菜及其制品中可溶性糖的测定 铜还原碘量法</w:t>
      </w:r>
    </w:p>
    <w:p>
      <w:pPr>
        <w:pStyle w:val="6"/>
      </w:pPr>
      <w:r>
        <w:rPr>
          <w:rFonts w:hint="eastAsia"/>
        </w:rPr>
        <w:t>JJF 1070 定量包装商品净含量计量检验规则</w:t>
      </w:r>
    </w:p>
    <w:p>
      <w:pPr>
        <w:pStyle w:val="6"/>
      </w:pPr>
      <w:r>
        <w:rPr>
          <w:rFonts w:hint="eastAsia"/>
        </w:rPr>
        <w:t>国家质量监督检验检疫总局[2005]75号令 《定量包装商品计量监督管理办法》</w:t>
      </w:r>
    </w:p>
    <w:p>
      <w:pPr>
        <w:pStyle w:val="6"/>
      </w:pPr>
      <w:r>
        <w:rPr>
          <w:rFonts w:hint="eastAsia"/>
        </w:rPr>
        <w:t>国家质量监督检验检疫总局公告[2005]151号《中华人民共和国地理标志保护产品专用标志》</w:t>
      </w:r>
    </w:p>
    <w:p>
      <w:pPr>
        <w:pStyle w:val="10"/>
        <w:spacing w:before="312" w:after="312"/>
      </w:pPr>
      <w:r>
        <w:rPr>
          <w:rFonts w:hint="eastAsia"/>
        </w:rPr>
        <w:t>术语和定义</w:t>
      </w:r>
    </w:p>
    <w:p>
      <w:pPr>
        <w:pStyle w:val="6"/>
      </w:pPr>
      <w:r>
        <w:rPr>
          <w:rFonts w:hint="eastAsia"/>
        </w:rPr>
        <w:t>GB/T 17924界定的以下术语和定义适用于本标准。</w:t>
      </w:r>
    </w:p>
    <w:p>
      <w:pPr>
        <w:pStyle w:val="7"/>
        <w:spacing w:before="156" w:after="156"/>
      </w:pPr>
      <w:r>
        <w:rPr>
          <w:rFonts w:hint="eastAsia"/>
        </w:rPr>
        <w:t>三圳淮山San Zhen yam</w:t>
      </w:r>
    </w:p>
    <w:p>
      <w:pPr>
        <w:pStyle w:val="7"/>
        <w:numPr>
          <w:ilvl w:val="1"/>
          <w:numId w:val="0"/>
        </w:numPr>
        <w:spacing w:before="156" w:after="156"/>
        <w:ind w:right="-62" w:firstLine="525" w:firstLineChars="250"/>
        <w:rPr>
          <w:rFonts w:ascii="宋体" w:hAnsi="宋体" w:eastAsia="宋体"/>
        </w:rPr>
      </w:pPr>
      <w:r>
        <w:rPr>
          <w:rFonts w:hint="eastAsia" w:ascii="宋体" w:hAnsi="宋体" w:eastAsia="宋体"/>
        </w:rPr>
        <w:t>在地理标志产品产地范围内，以细毛淮山品种、独特气候、土壤、水资源的环境条件，生产出外观呈黄褐色圆柱状</w:t>
      </w:r>
      <w:r>
        <w:rPr>
          <w:rFonts w:hint="eastAsia" w:ascii="宋体" w:hAnsi="宋体" w:eastAsia="宋体" w:cs="Arial"/>
          <w:color w:val="333333"/>
          <w:shd w:val="clear" w:color="auto" w:fill="FFFFFF"/>
        </w:rPr>
        <w:t>，</w:t>
      </w:r>
      <w:r>
        <w:rPr>
          <w:rFonts w:ascii="宋体" w:hAnsi="宋体" w:eastAsia="宋体" w:cs="Arial"/>
          <w:color w:val="333333"/>
          <w:shd w:val="clear" w:color="auto" w:fill="FFFFFF"/>
        </w:rPr>
        <w:t>密生细须根，颁断后，断口呈乳白色，粘稠汁液多</w:t>
      </w:r>
      <w:r>
        <w:rPr>
          <w:rFonts w:hint="eastAsia" w:ascii="宋体" w:hAnsi="宋体" w:eastAsia="宋体" w:cs="Arial"/>
          <w:color w:val="333333"/>
          <w:shd w:val="clear" w:color="auto" w:fill="FFFFFF"/>
        </w:rPr>
        <w:t>，</w:t>
      </w:r>
      <w:r>
        <w:rPr>
          <w:rFonts w:ascii="宋体" w:hAnsi="宋体" w:eastAsia="宋体" w:cs="Arial"/>
          <w:color w:val="333333"/>
          <w:shd w:val="clear" w:color="auto" w:fill="FFFFFF"/>
        </w:rPr>
        <w:t>烹煮时具有久煮不散的特点，</w:t>
      </w:r>
      <w:r>
        <w:rPr>
          <w:rFonts w:hint="eastAsia" w:ascii="宋体" w:hAnsi="宋体" w:eastAsia="宋体" w:cs="Arial"/>
          <w:color w:val="333333"/>
          <w:shd w:val="clear" w:color="auto" w:fill="FFFFFF"/>
        </w:rPr>
        <w:t>且</w:t>
      </w:r>
      <w:r>
        <w:rPr>
          <w:rFonts w:ascii="宋体" w:hAnsi="宋体" w:eastAsia="宋体" w:cs="Arial"/>
          <w:color w:val="333333"/>
          <w:shd w:val="clear" w:color="auto" w:fill="FFFFFF"/>
        </w:rPr>
        <w:t>煮熟后</w:t>
      </w:r>
      <w:r>
        <w:rPr>
          <w:rFonts w:hint="eastAsia" w:ascii="宋体" w:hAnsi="宋体" w:eastAsia="宋体" w:cs="Arial"/>
          <w:color w:val="333333"/>
          <w:shd w:val="clear" w:color="auto" w:fill="FFFFFF"/>
        </w:rPr>
        <w:t>有</w:t>
      </w:r>
      <w:r>
        <w:rPr>
          <w:rFonts w:ascii="宋体" w:hAnsi="宋体" w:eastAsia="宋体" w:cs="Arial"/>
          <w:color w:val="333333"/>
          <w:shd w:val="clear" w:color="auto" w:fill="FFFFFF"/>
        </w:rPr>
        <w:t>酥、糯</w:t>
      </w:r>
      <w:r>
        <w:rPr>
          <w:rFonts w:hint="eastAsia" w:ascii="宋体" w:hAnsi="宋体" w:eastAsia="宋体" w:cs="Arial"/>
          <w:color w:val="333333"/>
          <w:shd w:val="clear" w:color="auto" w:fill="FFFFFF"/>
        </w:rPr>
        <w:t>独特</w:t>
      </w:r>
      <w:r>
        <w:rPr>
          <w:rFonts w:ascii="宋体" w:hAnsi="宋体" w:eastAsia="宋体" w:cs="Arial"/>
          <w:color w:val="333333"/>
          <w:shd w:val="clear" w:color="auto" w:fill="FFFFFF"/>
        </w:rPr>
        <w:t>口感</w:t>
      </w:r>
      <w:r>
        <w:rPr>
          <w:rFonts w:hint="eastAsia" w:ascii="宋体" w:hAnsi="宋体" w:eastAsia="宋体" w:cs="Arial"/>
          <w:color w:val="333333"/>
          <w:shd w:val="clear" w:color="auto" w:fill="FFFFFF"/>
        </w:rPr>
        <w:t>的淮山</w:t>
      </w:r>
      <w:r>
        <w:rPr>
          <w:rFonts w:ascii="宋体" w:hAnsi="宋体" w:eastAsia="宋体" w:cs="Arial"/>
          <w:color w:val="333333"/>
          <w:shd w:val="clear" w:color="auto" w:fill="FFFFFF"/>
        </w:rPr>
        <w:t>。</w:t>
      </w:r>
    </w:p>
    <w:p>
      <w:pPr>
        <w:pStyle w:val="10"/>
        <w:spacing w:before="312" w:after="312"/>
      </w:pPr>
      <w:r>
        <w:rPr>
          <w:rFonts w:hint="eastAsia"/>
        </w:rPr>
        <w:t>地理标志产品保护范围</w:t>
      </w:r>
    </w:p>
    <w:p>
      <w:pPr>
        <w:pStyle w:val="6"/>
        <w:spacing w:beforeLines="50" w:afterLines="50"/>
        <w:ind w:right="-62"/>
      </w:pPr>
      <w:r>
        <w:rPr>
          <w:rFonts w:hint="eastAsia"/>
        </w:rPr>
        <w:t>地理标志产品三圳淮山的保护范围限于国家质量监督检验检疫总局根据《地理标志产品保护规定》批准的范围，即为广东省梅州市蕉岭县现辖行政区域（</w:t>
      </w:r>
      <w:r>
        <w:rPr>
          <w:rFonts w:hint="eastAsia" w:hAnsi="宋体"/>
          <w:szCs w:val="21"/>
        </w:rPr>
        <w:t>地理坐标：东经116°01′</w:t>
      </w:r>
      <w:r>
        <w:rPr>
          <w:rFonts w:hint="eastAsia" w:hAnsi="宋体"/>
        </w:rPr>
        <w:t>～</w:t>
      </w:r>
      <w:r>
        <w:rPr>
          <w:rFonts w:hint="eastAsia" w:hAnsi="宋体"/>
          <w:szCs w:val="21"/>
        </w:rPr>
        <w:t>116°22′，北纬24°25′</w:t>
      </w:r>
      <w:r>
        <w:rPr>
          <w:rFonts w:hint="eastAsia" w:hAnsi="宋体"/>
        </w:rPr>
        <w:t>～</w:t>
      </w:r>
      <w:r>
        <w:rPr>
          <w:rFonts w:hint="eastAsia" w:hAnsi="宋体"/>
          <w:szCs w:val="21"/>
        </w:rPr>
        <w:t>24°53′之间</w:t>
      </w:r>
      <w:r>
        <w:rPr>
          <w:rFonts w:hint="eastAsia"/>
        </w:rPr>
        <w:t>），见附录A。</w:t>
      </w:r>
    </w:p>
    <w:p>
      <w:pPr>
        <w:pStyle w:val="7"/>
        <w:numPr>
          <w:ilvl w:val="1"/>
          <w:numId w:val="0"/>
        </w:numPr>
        <w:spacing w:before="156" w:after="156"/>
        <w:ind w:right="-62"/>
      </w:pPr>
      <w:r>
        <w:rPr>
          <w:rFonts w:hint="eastAsia"/>
        </w:rPr>
        <w:t>5  要求</w:t>
      </w:r>
    </w:p>
    <w:p>
      <w:pPr>
        <w:pStyle w:val="6"/>
        <w:ind w:firstLine="0" w:firstLineChars="0"/>
        <w:rPr>
          <w:rFonts w:ascii="黑体" w:eastAsia="黑体"/>
        </w:rPr>
      </w:pPr>
      <w:r>
        <w:rPr>
          <w:rFonts w:hint="eastAsia" w:ascii="黑体" w:eastAsia="黑体"/>
        </w:rPr>
        <w:t>5.1 自然环境</w:t>
      </w:r>
    </w:p>
    <w:p>
      <w:pPr>
        <w:pStyle w:val="6"/>
        <w:ind w:firstLine="0" w:firstLineChars="0"/>
        <w:rPr>
          <w:rFonts w:ascii="黑体" w:eastAsia="黑体"/>
        </w:rPr>
      </w:pPr>
      <w:r>
        <w:rPr>
          <w:rFonts w:hint="eastAsia" w:ascii="黑体" w:eastAsia="黑体"/>
        </w:rPr>
        <w:t>5.1.1 气候</w:t>
      </w:r>
    </w:p>
    <w:p>
      <w:pPr>
        <w:pStyle w:val="10"/>
        <w:numPr>
          <w:ilvl w:val="0"/>
          <w:numId w:val="0"/>
        </w:numPr>
        <w:spacing w:before="312" w:after="312"/>
        <w:ind w:firstLine="210" w:firstLineChars="100"/>
        <w:rPr>
          <w:rFonts w:ascii="宋体" w:hAnsi="宋体" w:eastAsia="宋体"/>
        </w:rPr>
      </w:pPr>
      <w:r>
        <w:rPr>
          <w:rFonts w:hint="eastAsia"/>
        </w:rPr>
        <w:t xml:space="preserve"> </w:t>
      </w:r>
      <w:r>
        <w:rPr>
          <w:rFonts w:hint="eastAsia" w:ascii="宋体" w:hAnsi="宋体" w:eastAsia="宋体"/>
        </w:rPr>
        <w:t xml:space="preserve"> </w:t>
      </w:r>
      <w:r>
        <w:rPr>
          <w:rFonts w:hint="eastAsia" w:ascii="宋体" w:hAnsi="宋体" w:eastAsia="宋体"/>
          <w:szCs w:val="21"/>
        </w:rPr>
        <w:t>蕉岭县属亚热带地区海洋性季风气候，夏长冬短，气候温和，雨季长，光照充足，雨量充沛。境内山峦起伏，林木葱郁，空气清新，无各种污染，水资源丰富，水质清澈甘甜。位置在海拔千米以上的有金山笔、皇</w:t>
      </w:r>
      <w:r>
        <w:rPr>
          <w:rFonts w:hint="eastAsia" w:ascii="宋体" w:hAnsi="宋体" w:eastAsia="宋体"/>
          <w:szCs w:val="21"/>
          <w:lang w:eastAsia="zh-CN"/>
        </w:rPr>
        <w:t>佑</w:t>
      </w:r>
      <w:r>
        <w:rPr>
          <w:rFonts w:hint="eastAsia" w:ascii="宋体" w:hAnsi="宋体" w:eastAsia="宋体"/>
          <w:szCs w:val="21"/>
        </w:rPr>
        <w:t>笔、铁山嶂、大峰嶂、小峰笔、樟坑岌，全年平均气温21.7℃，年平均降雨量1304mm左右。</w:t>
      </w:r>
    </w:p>
    <w:p>
      <w:pPr>
        <w:pStyle w:val="10"/>
        <w:numPr>
          <w:ilvl w:val="0"/>
          <w:numId w:val="0"/>
        </w:numPr>
        <w:spacing w:beforeLines="50" w:afterLines="50"/>
        <w:ind w:right="-62"/>
      </w:pPr>
      <w:r>
        <w:rPr>
          <w:rFonts w:hint="eastAsia"/>
        </w:rPr>
        <w:t>5.1.2立地条件</w:t>
      </w:r>
    </w:p>
    <w:p>
      <w:pPr>
        <w:pStyle w:val="10"/>
        <w:numPr>
          <w:ilvl w:val="0"/>
          <w:numId w:val="0"/>
        </w:numPr>
        <w:spacing w:beforeLines="50" w:afterLines="50"/>
        <w:ind w:right="-62" w:firstLine="420" w:firstLineChars="200"/>
        <w:rPr>
          <w:rFonts w:ascii="宋体" w:hAnsi="宋体" w:eastAsia="宋体" w:cs="宋体"/>
        </w:rPr>
      </w:pPr>
      <w:r>
        <w:rPr>
          <w:rFonts w:hint="eastAsia" w:ascii="宋体" w:hAnsi="宋体" w:eastAsia="宋体" w:cs="宋体"/>
        </w:rPr>
        <w:t>土层深厚疏松，透气性能好，易排易灌，地下水位低，光照条件好的沙壤土种植，以冲积沙壤土栽培最适宜。</w:t>
      </w:r>
    </w:p>
    <w:p>
      <w:pPr>
        <w:pStyle w:val="6"/>
        <w:spacing w:beforeLines="50" w:afterLines="50"/>
        <w:ind w:right="-62" w:firstLine="0" w:firstLineChars="0"/>
        <w:rPr>
          <w:rFonts w:ascii="黑体" w:eastAsia="黑体"/>
        </w:rPr>
      </w:pPr>
      <w:r>
        <w:rPr>
          <w:rFonts w:hint="eastAsia" w:ascii="黑体" w:eastAsia="黑体"/>
        </w:rPr>
        <w:t>5.2  品种</w:t>
      </w:r>
    </w:p>
    <w:p>
      <w:pPr>
        <w:pStyle w:val="6"/>
        <w:spacing w:beforeLines="50" w:afterLines="50"/>
        <w:ind w:right="-62"/>
        <w:rPr>
          <w:rFonts w:hAnsi="宋体"/>
          <w:szCs w:val="21"/>
        </w:rPr>
      </w:pPr>
      <w:r>
        <w:rPr>
          <w:rFonts w:hint="eastAsia" w:hAnsi="宋体"/>
          <w:szCs w:val="21"/>
        </w:rPr>
        <w:t xml:space="preserve"> 细毛淮山。</w:t>
      </w:r>
    </w:p>
    <w:p>
      <w:pPr>
        <w:pStyle w:val="10"/>
        <w:numPr>
          <w:ilvl w:val="0"/>
          <w:numId w:val="0"/>
        </w:numPr>
        <w:spacing w:beforeLines="50" w:afterLines="50"/>
        <w:ind w:right="-62"/>
      </w:pPr>
      <w:r>
        <w:rPr>
          <w:rFonts w:hint="eastAsia"/>
        </w:rPr>
        <w:t>6 栽培技术</w:t>
      </w:r>
    </w:p>
    <w:p>
      <w:pPr>
        <w:widowControl/>
        <w:spacing w:beforeLines="50" w:afterLines="50"/>
        <w:ind w:right="-62"/>
        <w:outlineLvl w:val="1"/>
        <w:rPr>
          <w:rFonts w:ascii="宋体" w:eastAsia="宋体" w:cs="宋体"/>
          <w:sz w:val="21"/>
          <w:szCs w:val="21"/>
        </w:rPr>
      </w:pPr>
      <w:r>
        <w:rPr>
          <w:rFonts w:hint="eastAsia" w:hAnsi="黑体" w:cs="黑体"/>
          <w:sz w:val="21"/>
          <w:szCs w:val="21"/>
        </w:rPr>
        <w:t xml:space="preserve">6.1 </w:t>
      </w:r>
      <w:r>
        <w:rPr>
          <w:rFonts w:hint="eastAsia" w:ascii="宋体" w:eastAsia="宋体" w:cs="宋体"/>
          <w:sz w:val="21"/>
          <w:szCs w:val="21"/>
        </w:rPr>
        <w:t>整畦：每1.7m为一畦(包耕作沟40 cm)，每畦开二条种植沟，沟深0.6至0.8m，宽40至45cm，畦宽40 cm，沟心距0.75m至0.85m。</w:t>
      </w:r>
    </w:p>
    <w:p>
      <w:pPr>
        <w:spacing w:beforeLines="50" w:afterLines="50"/>
        <w:ind w:right="-62"/>
        <w:rPr>
          <w:sz w:val="21"/>
          <w:szCs w:val="21"/>
        </w:rPr>
      </w:pPr>
      <w:r>
        <w:rPr>
          <w:rFonts w:hint="eastAsia"/>
          <w:sz w:val="21"/>
          <w:szCs w:val="21"/>
        </w:rPr>
        <w:t>6.2合理追肥</w:t>
      </w:r>
    </w:p>
    <w:p>
      <w:pPr>
        <w:spacing w:beforeLines="50" w:afterLines="50"/>
        <w:ind w:right="-62"/>
        <w:rPr>
          <w:rFonts w:ascii="宋体"/>
          <w:sz w:val="21"/>
          <w:szCs w:val="21"/>
        </w:rPr>
      </w:pPr>
      <w:r>
        <w:rPr>
          <w:rFonts w:hint="eastAsia"/>
          <w:sz w:val="21"/>
          <w:szCs w:val="21"/>
        </w:rPr>
        <w:t xml:space="preserve">6.2.1 </w:t>
      </w:r>
      <w:r>
        <w:rPr>
          <w:rFonts w:hint="eastAsia" w:ascii="宋体"/>
          <w:sz w:val="21"/>
          <w:szCs w:val="21"/>
        </w:rPr>
        <w:t>肥料使用应符合NY/T 496的规定。</w:t>
      </w:r>
    </w:p>
    <w:p>
      <w:pPr>
        <w:spacing w:beforeLines="50" w:afterLines="50"/>
        <w:ind w:right="-62"/>
        <w:rPr>
          <w:rFonts w:ascii="宋体"/>
          <w:sz w:val="21"/>
          <w:szCs w:val="21"/>
        </w:rPr>
      </w:pPr>
      <w:r>
        <w:rPr>
          <w:rFonts w:hint="eastAsia"/>
          <w:sz w:val="21"/>
          <w:szCs w:val="21"/>
        </w:rPr>
        <w:t>6.2.1 施足基肥：</w:t>
      </w:r>
      <w:r>
        <w:rPr>
          <w:rFonts w:hint="eastAsia" w:ascii="宋体" w:eastAsia="宋体" w:cs="宋体"/>
          <w:sz w:val="21"/>
          <w:szCs w:val="21"/>
        </w:rPr>
        <w:t>待沟全部挖好并填好熟土后，统一往沟中施足基肥，每667㎡（亩）施经堆熟的有机肥1500kg，过磷酸钙25kg，含硫复合肥25kg，然后回底土成畦，畦高20至30cm。</w:t>
      </w:r>
    </w:p>
    <w:p>
      <w:pPr>
        <w:spacing w:beforeLines="50" w:afterLines="50"/>
        <w:ind w:right="-62"/>
        <w:rPr>
          <w:rFonts w:hint="eastAsia" w:ascii="宋体" w:eastAsia="宋体" w:cs="宋体"/>
          <w:sz w:val="21"/>
          <w:szCs w:val="21"/>
        </w:rPr>
      </w:pPr>
      <w:r>
        <w:rPr>
          <w:rFonts w:hint="eastAsia" w:hAnsi="黑体" w:cs="黑体"/>
          <w:sz w:val="21"/>
          <w:szCs w:val="21"/>
        </w:rPr>
        <w:t>6.2.3  施肥方法：</w:t>
      </w:r>
      <w:r>
        <w:rPr>
          <w:rFonts w:hint="eastAsia" w:ascii="宋体" w:eastAsia="宋体" w:cs="宋体"/>
          <w:sz w:val="21"/>
          <w:szCs w:val="21"/>
        </w:rPr>
        <w:t>采取前轻（每667㎡（亩）施有机肥料750kg至850kg）、中重（每667㎡（亩）施有机肥料1500kg至1600kg）、后补（每667㎡（亩）施有机肥料750kg至850kg）的施肥原则。</w:t>
      </w:r>
    </w:p>
    <w:p>
      <w:pPr>
        <w:spacing w:beforeLines="50" w:afterLines="50"/>
        <w:ind w:right="-62"/>
        <w:rPr>
          <w:rFonts w:hint="eastAsia" w:cs="宋体"/>
          <w:sz w:val="21"/>
          <w:szCs w:val="21"/>
        </w:rPr>
      </w:pPr>
      <w:r>
        <w:rPr>
          <w:rFonts w:hint="eastAsia" w:cs="宋体"/>
          <w:sz w:val="21"/>
          <w:szCs w:val="21"/>
        </w:rPr>
        <w:t>6.2.4 病虫害防治：</w:t>
      </w:r>
      <w:r>
        <w:rPr>
          <w:rFonts w:hint="eastAsia" w:ascii="宋体" w:eastAsia="宋体" w:cs="宋体"/>
          <w:sz w:val="21"/>
          <w:szCs w:val="21"/>
        </w:rPr>
        <w:t>预防为主</w:t>
      </w:r>
      <w:r>
        <w:rPr>
          <w:rFonts w:hint="eastAsia" w:cs="宋体"/>
          <w:sz w:val="21"/>
          <w:szCs w:val="21"/>
        </w:rPr>
        <w:t>，</w:t>
      </w:r>
      <w:r>
        <w:rPr>
          <w:rFonts w:hint="eastAsia" w:ascii="宋体" w:hAnsi="宋体" w:eastAsia="宋体" w:cs="宋体"/>
          <w:sz w:val="21"/>
          <w:szCs w:val="21"/>
        </w:rPr>
        <w:t>绿色防治</w:t>
      </w:r>
      <w:r>
        <w:rPr>
          <w:rFonts w:hint="eastAsia" w:cs="宋体"/>
          <w:sz w:val="21"/>
          <w:szCs w:val="21"/>
        </w:rPr>
        <w:t>。</w:t>
      </w:r>
    </w:p>
    <w:p>
      <w:pPr>
        <w:spacing w:beforeLines="50" w:afterLines="50"/>
        <w:ind w:right="-62"/>
        <w:rPr>
          <w:rFonts w:ascii="宋体" w:eastAsia="宋体" w:cs="宋体"/>
          <w:sz w:val="21"/>
          <w:szCs w:val="21"/>
        </w:rPr>
      </w:pPr>
      <w:r>
        <w:rPr>
          <w:rFonts w:hint="eastAsia" w:hAnsi="黑体" w:cs="黑体"/>
          <w:sz w:val="21"/>
          <w:szCs w:val="21"/>
        </w:rPr>
        <w:t>6.3 选种及育苗：</w:t>
      </w:r>
      <w:r>
        <w:rPr>
          <w:rFonts w:hint="eastAsia" w:ascii="宋体" w:eastAsia="宋体" w:cs="宋体"/>
          <w:sz w:val="21"/>
          <w:szCs w:val="21"/>
        </w:rPr>
        <w:t>选用薯的块根（俗称薯仔）作种苗。一般在9至10月份，采收较大的块根（20至25mm大、薯皮光滑、无病虫害），薯仔埋在沙中过冬，第二年春，在苗床上育苗培植。每667㎡（亩）用种量50至100kg。</w:t>
      </w:r>
    </w:p>
    <w:p>
      <w:pPr>
        <w:spacing w:beforeLines="50" w:afterLines="50"/>
        <w:ind w:right="-62"/>
        <w:rPr>
          <w:rFonts w:hAnsi="黑体" w:cs="黑体"/>
          <w:sz w:val="21"/>
          <w:szCs w:val="21"/>
        </w:rPr>
      </w:pPr>
      <w:r>
        <w:rPr>
          <w:rFonts w:hint="eastAsia" w:hAnsi="黑体" w:cs="黑体"/>
          <w:sz w:val="21"/>
          <w:szCs w:val="21"/>
        </w:rPr>
        <w:t>6.4种植</w:t>
      </w:r>
    </w:p>
    <w:p>
      <w:pPr>
        <w:spacing w:beforeLines="50" w:afterLines="50"/>
        <w:ind w:right="-62"/>
        <w:rPr>
          <w:rFonts w:ascii="宋体" w:eastAsia="宋体" w:cs="宋体"/>
          <w:sz w:val="21"/>
          <w:szCs w:val="21"/>
        </w:rPr>
      </w:pPr>
      <w:r>
        <w:rPr>
          <w:rFonts w:hint="eastAsia" w:hAnsi="黑体" w:cs="黑体"/>
          <w:sz w:val="21"/>
          <w:szCs w:val="21"/>
        </w:rPr>
        <w:t>6.4.1种植时间：</w:t>
      </w:r>
      <w:r>
        <w:rPr>
          <w:rFonts w:hint="eastAsia" w:ascii="宋体" w:eastAsia="宋体" w:cs="宋体"/>
          <w:sz w:val="21"/>
          <w:szCs w:val="21"/>
        </w:rPr>
        <w:t>春分前后种植为宜。种植时，选择阴天的天气，减少水份蒸发保证出苗率高。</w:t>
      </w:r>
    </w:p>
    <w:p>
      <w:pPr>
        <w:spacing w:beforeLines="50" w:afterLines="50"/>
        <w:ind w:right="-62"/>
        <w:rPr>
          <w:rFonts w:ascii="宋体" w:eastAsia="宋体" w:cs="宋体"/>
          <w:sz w:val="21"/>
          <w:szCs w:val="21"/>
        </w:rPr>
      </w:pPr>
    </w:p>
    <w:p>
      <w:pPr>
        <w:spacing w:beforeLines="50" w:afterLines="50"/>
        <w:ind w:right="-62"/>
        <w:rPr>
          <w:rFonts w:ascii="宋体" w:eastAsia="宋体" w:cs="宋体"/>
          <w:sz w:val="21"/>
          <w:szCs w:val="21"/>
        </w:rPr>
      </w:pPr>
      <w:r>
        <w:rPr>
          <w:rFonts w:hint="eastAsia" w:hAnsi="黑体" w:cs="黑体"/>
          <w:sz w:val="21"/>
          <w:szCs w:val="21"/>
        </w:rPr>
        <w:t>6.4.2种植密度：</w:t>
      </w:r>
      <w:r>
        <w:rPr>
          <w:rFonts w:hint="eastAsia" w:ascii="宋体" w:eastAsia="宋体" w:cs="宋体"/>
          <w:sz w:val="21"/>
          <w:szCs w:val="21"/>
        </w:rPr>
        <w:t>每亩种植3000株左右，每畦种植双行，株距0.25至0.30m。</w:t>
      </w:r>
    </w:p>
    <w:p>
      <w:pPr>
        <w:spacing w:beforeLines="50" w:afterLines="50"/>
        <w:ind w:right="-62"/>
        <w:rPr>
          <w:rFonts w:ascii="宋体" w:eastAsia="宋体" w:cs="宋体"/>
          <w:sz w:val="21"/>
          <w:szCs w:val="21"/>
        </w:rPr>
      </w:pPr>
      <w:r>
        <w:rPr>
          <w:rFonts w:hint="eastAsia" w:hAnsi="黑体" w:cs="黑体"/>
          <w:sz w:val="21"/>
          <w:szCs w:val="21"/>
        </w:rPr>
        <w:t>6.3 定苗：</w:t>
      </w:r>
      <w:r>
        <w:rPr>
          <w:rFonts w:hint="eastAsia" w:ascii="宋体" w:eastAsia="宋体" w:cs="宋体"/>
          <w:sz w:val="21"/>
          <w:szCs w:val="21"/>
        </w:rPr>
        <w:t>为使幼苗粗壮，减少养份消耗，当苗高10cm左右时，进行定苗，每穴留粗壮苗1至2条，其余及早抹去。</w:t>
      </w:r>
    </w:p>
    <w:p>
      <w:pPr>
        <w:spacing w:beforeLines="50" w:afterLines="50"/>
        <w:ind w:right="-62"/>
        <w:rPr>
          <w:rFonts w:ascii="宋体" w:eastAsia="宋体" w:cs="宋体"/>
          <w:sz w:val="21"/>
          <w:szCs w:val="21"/>
        </w:rPr>
      </w:pPr>
      <w:r>
        <w:rPr>
          <w:rFonts w:hint="eastAsia" w:hAnsi="黑体" w:cs="黑体"/>
          <w:sz w:val="21"/>
          <w:szCs w:val="21"/>
        </w:rPr>
        <w:t>6.4  搭架：</w:t>
      </w:r>
      <w:r>
        <w:rPr>
          <w:rFonts w:hint="eastAsia" w:ascii="宋体" w:eastAsia="宋体" w:cs="宋体"/>
          <w:sz w:val="21"/>
          <w:szCs w:val="21"/>
        </w:rPr>
        <w:t>定苗后，为使茎叶分布均匀，扩大光合面积，应及早进行搭架。每株或隔株插一条，以每畦两沟为一个单位，搭成人字架。</w:t>
      </w:r>
    </w:p>
    <w:p>
      <w:pPr>
        <w:widowControl/>
        <w:spacing w:beforeLines="50" w:afterLines="50"/>
        <w:ind w:right="-62"/>
        <w:outlineLvl w:val="1"/>
        <w:rPr>
          <w:rFonts w:hAnsi="黑体" w:cs="黑体"/>
          <w:sz w:val="21"/>
          <w:szCs w:val="21"/>
        </w:rPr>
      </w:pPr>
      <w:r>
        <w:rPr>
          <w:rFonts w:hint="eastAsia" w:hAnsi="黑体" w:cs="黑体"/>
          <w:sz w:val="21"/>
          <w:szCs w:val="21"/>
        </w:rPr>
        <w:t>6.5 采收</w:t>
      </w:r>
    </w:p>
    <w:p>
      <w:pPr>
        <w:widowControl/>
        <w:autoSpaceDE w:val="0"/>
        <w:autoSpaceDN w:val="0"/>
        <w:spacing w:beforeLines="50" w:afterLines="50"/>
        <w:ind w:right="-62"/>
        <w:rPr>
          <w:rFonts w:ascii="宋体" w:eastAsia="宋体" w:cs="宋体"/>
          <w:sz w:val="21"/>
          <w:szCs w:val="21"/>
        </w:rPr>
      </w:pPr>
      <w:r>
        <w:rPr>
          <w:rFonts w:hint="eastAsia" w:hAnsi="黑体" w:cs="黑体"/>
          <w:sz w:val="21"/>
          <w:szCs w:val="21"/>
        </w:rPr>
        <w:t>6.5.1 采收期：</w:t>
      </w:r>
      <w:r>
        <w:rPr>
          <w:rFonts w:hint="eastAsia" w:ascii="宋体" w:eastAsia="宋体" w:cs="宋体"/>
          <w:sz w:val="21"/>
          <w:szCs w:val="21"/>
        </w:rPr>
        <w:t>12月份中旬后采收为宜。</w:t>
      </w:r>
    </w:p>
    <w:p>
      <w:pPr>
        <w:widowControl/>
        <w:autoSpaceDE w:val="0"/>
        <w:autoSpaceDN w:val="0"/>
        <w:spacing w:beforeLines="50" w:afterLines="50"/>
        <w:ind w:right="-62"/>
        <w:rPr>
          <w:rFonts w:ascii="宋体" w:eastAsia="宋体" w:cs="宋体"/>
          <w:sz w:val="21"/>
          <w:szCs w:val="21"/>
        </w:rPr>
      </w:pPr>
      <w:r>
        <w:rPr>
          <w:rFonts w:hint="eastAsia" w:hAnsi="黑体" w:cs="黑体"/>
          <w:sz w:val="21"/>
          <w:szCs w:val="21"/>
        </w:rPr>
        <w:t>6.5.2 采收方法：</w:t>
      </w:r>
      <w:r>
        <w:rPr>
          <w:rFonts w:hint="eastAsia" w:ascii="宋体" w:eastAsia="宋体" w:cs="宋体"/>
          <w:sz w:val="21"/>
          <w:szCs w:val="21"/>
        </w:rPr>
        <w:t>做到轻刨、轻装、轻运和轻放，并避免暴晒。</w:t>
      </w:r>
    </w:p>
    <w:p>
      <w:pPr>
        <w:widowControl/>
        <w:spacing w:beforeLines="50" w:afterLines="50"/>
        <w:ind w:right="-62"/>
        <w:outlineLvl w:val="1"/>
        <w:rPr>
          <w:rFonts w:hAnsi="黑体" w:cs="黑体"/>
          <w:sz w:val="21"/>
          <w:szCs w:val="21"/>
        </w:rPr>
      </w:pPr>
      <w:r>
        <w:rPr>
          <w:rFonts w:hint="eastAsia" w:hAnsi="黑体" w:cs="黑体"/>
          <w:sz w:val="21"/>
          <w:szCs w:val="21"/>
        </w:rPr>
        <w:t>7 质量特色</w:t>
      </w:r>
    </w:p>
    <w:p>
      <w:pPr>
        <w:widowControl/>
        <w:autoSpaceDE w:val="0"/>
        <w:autoSpaceDN w:val="0"/>
        <w:spacing w:beforeLines="50" w:afterLines="50"/>
        <w:ind w:right="-62"/>
        <w:rPr>
          <w:rFonts w:ascii="宋体" w:eastAsia="宋体" w:cs="宋体"/>
          <w:sz w:val="21"/>
          <w:szCs w:val="21"/>
        </w:rPr>
      </w:pPr>
      <w:r>
        <w:rPr>
          <w:rFonts w:hint="eastAsia" w:hAnsi="黑体" w:cs="黑体"/>
          <w:sz w:val="21"/>
          <w:szCs w:val="21"/>
        </w:rPr>
        <w:t>7.1 感官特色：</w:t>
      </w:r>
      <w:r>
        <w:rPr>
          <w:rFonts w:hint="eastAsia" w:ascii="宋体" w:eastAsia="宋体" w:cs="宋体"/>
          <w:sz w:val="21"/>
          <w:szCs w:val="21"/>
        </w:rPr>
        <w:t xml:space="preserve">成熟的三圳淮山外观呈黄褐色圆柱状，直径≥45mm，长度≥250mm。密生细须根，颁断后，断口呈乳白色，粘稠汁液多。烹煮时具有久煮不散的特点，煮熟后口感为酥、糯。 </w:t>
      </w:r>
    </w:p>
    <w:p>
      <w:pPr>
        <w:pStyle w:val="6"/>
        <w:ind w:firstLine="0" w:firstLineChars="0"/>
        <w:rPr>
          <w:rFonts w:hint="eastAsia" w:hAnsi="宋体" w:cs="宋体"/>
          <w:szCs w:val="21"/>
        </w:rPr>
      </w:pPr>
      <w:r>
        <w:rPr>
          <w:rFonts w:hint="eastAsia" w:ascii="黑体" w:hAnsi="黑体" w:eastAsia="黑体" w:cs="黑体"/>
          <w:szCs w:val="21"/>
        </w:rPr>
        <w:t>7.2 理化指标：</w:t>
      </w:r>
      <w:r>
        <w:rPr>
          <w:rFonts w:hint="eastAsia" w:hAnsi="宋体" w:cs="宋体"/>
          <w:szCs w:val="21"/>
        </w:rPr>
        <w:t>理化指标应符合表1的规定。</w:t>
      </w:r>
    </w:p>
    <w:p>
      <w:pPr>
        <w:pStyle w:val="6"/>
        <w:ind w:firstLine="0" w:firstLineChars="0"/>
        <w:rPr>
          <w:rFonts w:hint="eastAsia" w:hAnsi="宋体" w:cs="宋体"/>
          <w:szCs w:val="21"/>
        </w:rPr>
      </w:pPr>
    </w:p>
    <w:p>
      <w:pPr>
        <w:pStyle w:val="6"/>
        <w:ind w:firstLine="0" w:firstLineChars="0"/>
        <w:jc w:val="center"/>
        <w:rPr>
          <w:rFonts w:hAnsi="黑体" w:cs="黑体"/>
          <w:sz w:val="21"/>
          <w:szCs w:val="21"/>
        </w:rPr>
      </w:pPr>
      <w:r>
        <w:rPr>
          <w:rFonts w:hint="eastAsia"/>
          <w:sz w:val="21"/>
          <w:szCs w:val="21"/>
        </w:rPr>
        <w:t>表</w:t>
      </w:r>
      <w:r>
        <w:rPr>
          <w:rFonts w:hint="eastAsia" w:hAnsi="黑体" w:cs="黑体"/>
          <w:sz w:val="21"/>
          <w:szCs w:val="21"/>
        </w:rPr>
        <w:t>1 理化指标</w:t>
      </w:r>
    </w:p>
    <w:tbl>
      <w:tblPr>
        <w:tblStyle w:val="5"/>
        <w:tblW w:w="82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751"/>
        <w:gridCol w:w="2205"/>
        <w:gridCol w:w="2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jc w:val="center"/>
        </w:trPr>
        <w:tc>
          <w:tcPr>
            <w:tcW w:w="37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94" w:lineRule="exact"/>
              <w:rPr>
                <w:rFonts w:ascii="宋体" w:eastAsia="宋体" w:cs="宋体"/>
                <w:sz w:val="18"/>
                <w:szCs w:val="18"/>
              </w:rPr>
            </w:pPr>
            <w:r>
              <w:rPr>
                <w:rFonts w:hint="eastAsia" w:ascii="宋体" w:eastAsia="宋体" w:cs="宋体"/>
                <w:sz w:val="18"/>
                <w:szCs w:val="18"/>
              </w:rPr>
              <w:t xml:space="preserve">      项     目</w:t>
            </w:r>
          </w:p>
        </w:tc>
        <w:tc>
          <w:tcPr>
            <w:tcW w:w="2205"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rPr>
                <w:rFonts w:ascii="宋体" w:eastAsia="宋体" w:cs="宋体"/>
                <w:sz w:val="18"/>
                <w:szCs w:val="18"/>
              </w:rPr>
            </w:pPr>
            <w:r>
              <w:rPr>
                <w:rFonts w:hint="eastAsia" w:ascii="宋体" w:eastAsia="宋体" w:cs="宋体"/>
                <w:sz w:val="18"/>
                <w:szCs w:val="18"/>
              </w:rPr>
              <w:t xml:space="preserve">   单  位</w:t>
            </w:r>
          </w:p>
        </w:tc>
        <w:tc>
          <w:tcPr>
            <w:tcW w:w="2306"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5" w:hRule="atLeast"/>
          <w:jc w:val="center"/>
        </w:trPr>
        <w:tc>
          <w:tcPr>
            <w:tcW w:w="37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水分</w:t>
            </w:r>
          </w:p>
        </w:tc>
        <w:tc>
          <w:tcPr>
            <w:tcW w:w="2205"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w:t>
            </w:r>
          </w:p>
        </w:tc>
        <w:tc>
          <w:tcPr>
            <w:tcW w:w="2306"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jc w:val="center"/>
        </w:trPr>
        <w:tc>
          <w:tcPr>
            <w:tcW w:w="37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膳食纤维</w:t>
            </w:r>
          </w:p>
        </w:tc>
        <w:tc>
          <w:tcPr>
            <w:tcW w:w="2205"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w:t>
            </w:r>
          </w:p>
        </w:tc>
        <w:tc>
          <w:tcPr>
            <w:tcW w:w="2306"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jc w:val="center"/>
        </w:trPr>
        <w:tc>
          <w:tcPr>
            <w:tcW w:w="37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可溶性总糖</w:t>
            </w:r>
          </w:p>
        </w:tc>
        <w:tc>
          <w:tcPr>
            <w:tcW w:w="2205"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w:t>
            </w:r>
          </w:p>
        </w:tc>
        <w:tc>
          <w:tcPr>
            <w:tcW w:w="2306"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≥0.38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8" w:hRule="atLeast"/>
          <w:jc w:val="center"/>
        </w:trPr>
        <w:tc>
          <w:tcPr>
            <w:tcW w:w="3751"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 xml:space="preserve"> 氨基酸含量</w:t>
            </w:r>
          </w:p>
        </w:tc>
        <w:tc>
          <w:tcPr>
            <w:tcW w:w="2205"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g/100g</w:t>
            </w:r>
          </w:p>
        </w:tc>
        <w:tc>
          <w:tcPr>
            <w:tcW w:w="2306" w:type="dxa"/>
            <w:tcBorders>
              <w:top w:val="single" w:color="auto" w:sz="4" w:space="0"/>
              <w:left w:val="nil"/>
              <w:bottom w:val="single" w:color="auto" w:sz="4" w:space="0"/>
              <w:right w:val="single" w:color="auto" w:sz="4" w:space="0"/>
            </w:tcBorders>
            <w:vAlign w:val="center"/>
          </w:tcPr>
          <w:p>
            <w:pPr>
              <w:widowControl/>
              <w:autoSpaceDE w:val="0"/>
              <w:autoSpaceDN w:val="0"/>
              <w:spacing w:afterLines="50" w:line="594" w:lineRule="exact"/>
              <w:ind w:firstLine="660"/>
              <w:rPr>
                <w:rFonts w:ascii="宋体" w:eastAsia="宋体" w:cs="宋体"/>
                <w:sz w:val="18"/>
                <w:szCs w:val="18"/>
              </w:rPr>
            </w:pPr>
            <w:r>
              <w:rPr>
                <w:rFonts w:hint="eastAsia" w:ascii="宋体" w:eastAsia="宋体" w:cs="宋体"/>
                <w:sz w:val="18"/>
                <w:szCs w:val="18"/>
              </w:rPr>
              <w:t>≥1.39</w:t>
            </w:r>
          </w:p>
        </w:tc>
      </w:tr>
    </w:tbl>
    <w:p>
      <w:pPr>
        <w:pStyle w:val="7"/>
        <w:numPr>
          <w:ilvl w:val="1"/>
          <w:numId w:val="0"/>
        </w:numPr>
        <w:overflowPunct w:val="0"/>
        <w:spacing w:before="156" w:after="156" w:line="594" w:lineRule="exact"/>
      </w:pPr>
      <w:r>
        <w:rPr>
          <w:rFonts w:hint="eastAsia"/>
        </w:rPr>
        <w:t>7.3  安全及其他质量技术要求</w:t>
      </w:r>
    </w:p>
    <w:p>
      <w:pPr>
        <w:pStyle w:val="11"/>
        <w:numPr>
          <w:ilvl w:val="2"/>
          <w:numId w:val="0"/>
        </w:numPr>
        <w:autoSpaceDN w:val="0"/>
        <w:spacing w:before="156" w:after="156"/>
        <w:rPr>
          <w:rFonts w:ascii="宋体" w:hAnsi="宋体" w:eastAsia="宋体"/>
        </w:rPr>
      </w:pPr>
      <w:r>
        <w:rPr>
          <w:rFonts w:hint="eastAsia"/>
        </w:rPr>
        <w:t xml:space="preserve">7.3.1  </w:t>
      </w:r>
      <w:r>
        <w:rPr>
          <w:rFonts w:hint="eastAsia" w:ascii="宋体" w:hAnsi="宋体" w:eastAsia="宋体"/>
        </w:rPr>
        <w:t>污染物限量指标应符合GB 2762的规定。</w:t>
      </w:r>
    </w:p>
    <w:p>
      <w:pPr>
        <w:pStyle w:val="11"/>
        <w:numPr>
          <w:ilvl w:val="2"/>
          <w:numId w:val="0"/>
        </w:numPr>
        <w:autoSpaceDN w:val="0"/>
        <w:spacing w:before="156" w:after="156"/>
        <w:rPr>
          <w:rFonts w:ascii="宋体" w:hAnsi="宋体" w:eastAsia="宋体"/>
        </w:rPr>
      </w:pPr>
      <w:r>
        <w:rPr>
          <w:rFonts w:hint="eastAsia" w:hAnsi="宋体"/>
        </w:rPr>
        <w:t xml:space="preserve">7.3.2 </w:t>
      </w:r>
      <w:r>
        <w:rPr>
          <w:rFonts w:hint="eastAsia" w:ascii="宋体" w:hAnsi="宋体" w:eastAsia="宋体"/>
        </w:rPr>
        <w:t xml:space="preserve"> 农药最大残留限量指标应符合GB 2763的规定。</w:t>
      </w:r>
    </w:p>
    <w:p>
      <w:pPr>
        <w:pStyle w:val="11"/>
        <w:numPr>
          <w:ilvl w:val="2"/>
          <w:numId w:val="0"/>
        </w:numPr>
        <w:autoSpaceDN w:val="0"/>
        <w:spacing w:before="156" w:after="156"/>
        <w:rPr>
          <w:rFonts w:ascii="宋体" w:hAnsi="宋体" w:eastAsia="宋体"/>
        </w:rPr>
      </w:pPr>
      <w:r>
        <w:rPr>
          <w:rFonts w:hint="eastAsia"/>
        </w:rPr>
        <w:t>7.4 净含量偏差</w:t>
      </w:r>
    </w:p>
    <w:p>
      <w:pPr>
        <w:pStyle w:val="6"/>
      </w:pPr>
      <w:r>
        <w:rPr>
          <w:rFonts w:hint="eastAsia"/>
        </w:rPr>
        <w:t>预包装商品净含量负偏差应符合《定量包装商品计量监督管理办法》的规定。</w:t>
      </w:r>
    </w:p>
    <w:p>
      <w:pPr>
        <w:pStyle w:val="10"/>
        <w:numPr>
          <w:ilvl w:val="0"/>
          <w:numId w:val="5"/>
        </w:numPr>
        <w:spacing w:before="312" w:after="312"/>
      </w:pPr>
      <w:r>
        <w:rPr>
          <w:rFonts w:hint="eastAsia"/>
        </w:rPr>
        <w:t xml:space="preserve"> 试验方法</w:t>
      </w:r>
    </w:p>
    <w:p>
      <w:pPr>
        <w:pStyle w:val="7"/>
        <w:numPr>
          <w:ilvl w:val="1"/>
          <w:numId w:val="0"/>
        </w:numPr>
        <w:spacing w:before="156" w:after="156"/>
        <w:rPr>
          <w:rFonts w:hAnsi="宋体"/>
        </w:rPr>
      </w:pPr>
      <w:r>
        <w:rPr>
          <w:rFonts w:hint="eastAsia" w:hAnsi="宋体"/>
        </w:rPr>
        <w:t>8.1感官品质</w:t>
      </w:r>
    </w:p>
    <w:p>
      <w:pPr>
        <w:pStyle w:val="7"/>
        <w:numPr>
          <w:ilvl w:val="1"/>
          <w:numId w:val="0"/>
        </w:numPr>
        <w:spacing w:before="156" w:after="156"/>
        <w:ind w:firstLine="315" w:firstLineChars="150"/>
        <w:rPr>
          <w:rFonts w:ascii="宋体" w:hAnsi="宋体" w:eastAsia="宋体"/>
        </w:rPr>
      </w:pPr>
      <w:r>
        <w:rPr>
          <w:rFonts w:hint="eastAsia" w:ascii="宋体" w:hAnsi="宋体" w:eastAsia="宋体"/>
        </w:rPr>
        <w:t>用感官品评法进行品评</w:t>
      </w:r>
      <w:r>
        <w:rPr>
          <w:rFonts w:hint="eastAsia" w:ascii="宋体" w:hAnsi="宋体" w:eastAsia="宋体"/>
          <w:lang w:eastAsia="zh-CN"/>
        </w:rPr>
        <w:t>：将样品置于清洁、干燥的托盘中，目测形状、色泽、组织状态等项目。</w:t>
      </w:r>
    </w:p>
    <w:p>
      <w:pPr>
        <w:pStyle w:val="7"/>
        <w:numPr>
          <w:ilvl w:val="1"/>
          <w:numId w:val="0"/>
        </w:numPr>
        <w:spacing w:before="156" w:after="156"/>
        <w:rPr>
          <w:rFonts w:hAnsi="宋体" w:cs="黑体"/>
          <w:color w:val="000000"/>
        </w:rPr>
      </w:pPr>
      <w:r>
        <w:rPr>
          <w:rFonts w:hint="eastAsia" w:hAnsi="宋体" w:cs="黑体"/>
          <w:color w:val="000000"/>
        </w:rPr>
        <w:t>8.3水分</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 GB 5009.3的规定执行。</w:t>
      </w:r>
    </w:p>
    <w:p>
      <w:pPr>
        <w:pStyle w:val="7"/>
        <w:numPr>
          <w:ilvl w:val="1"/>
          <w:numId w:val="0"/>
        </w:numPr>
        <w:spacing w:before="156" w:after="156"/>
        <w:rPr>
          <w:rFonts w:hAnsi="宋体" w:cs="黑体"/>
          <w:color w:val="000000"/>
        </w:rPr>
      </w:pPr>
      <w:r>
        <w:rPr>
          <w:rFonts w:hint="eastAsia" w:hAnsi="宋体" w:cs="黑体"/>
          <w:color w:val="000000"/>
        </w:rPr>
        <w:t>8.4膳食纤维</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 GB/T 5009.88的规定执行。</w:t>
      </w:r>
    </w:p>
    <w:p>
      <w:pPr>
        <w:pStyle w:val="7"/>
        <w:numPr>
          <w:ilvl w:val="1"/>
          <w:numId w:val="0"/>
        </w:numPr>
        <w:spacing w:before="156" w:after="156"/>
        <w:rPr>
          <w:rFonts w:hAnsi="宋体" w:cs="黑体"/>
          <w:color w:val="000000"/>
        </w:rPr>
      </w:pPr>
      <w:r>
        <w:rPr>
          <w:rFonts w:hint="eastAsia" w:hAnsi="宋体" w:cs="黑体"/>
          <w:color w:val="000000"/>
        </w:rPr>
        <w:t>8.5可溶性总糖</w:t>
      </w:r>
    </w:p>
    <w:p>
      <w:pPr>
        <w:pStyle w:val="7"/>
        <w:numPr>
          <w:ilvl w:val="1"/>
          <w:numId w:val="0"/>
        </w:numPr>
        <w:autoSpaceDN w:val="0"/>
        <w:spacing w:before="156" w:after="156"/>
        <w:ind w:firstLine="315" w:firstLineChars="150"/>
        <w:rPr>
          <w:rFonts w:ascii="宋体" w:hAnsi="宋体" w:eastAsia="宋体"/>
        </w:rPr>
      </w:pPr>
      <w:r>
        <w:rPr>
          <w:rFonts w:hint="eastAsia"/>
          <w:lang w:eastAsia="zh-CN"/>
        </w:rPr>
        <w:t>按</w:t>
      </w:r>
      <w:r>
        <w:rPr>
          <w:rFonts w:hint="eastAsia"/>
        </w:rPr>
        <w:t xml:space="preserve">NY/T 1278 </w:t>
      </w:r>
      <w:r>
        <w:rPr>
          <w:rFonts w:hint="eastAsia" w:ascii="宋体" w:hAnsi="宋体" w:eastAsia="宋体"/>
        </w:rPr>
        <w:t>的规定执行。</w:t>
      </w:r>
    </w:p>
    <w:p>
      <w:pPr>
        <w:pStyle w:val="7"/>
        <w:numPr>
          <w:ilvl w:val="1"/>
          <w:numId w:val="0"/>
        </w:numPr>
        <w:spacing w:before="156" w:after="156"/>
      </w:pPr>
      <w:r>
        <w:rPr>
          <w:rFonts w:hint="eastAsia"/>
        </w:rPr>
        <w:t>8.6氨基酸含量</w:t>
      </w:r>
    </w:p>
    <w:p>
      <w:pPr>
        <w:pStyle w:val="6"/>
        <w:ind w:firstLine="0" w:firstLineChars="0"/>
      </w:pPr>
      <w:r>
        <w:rPr>
          <w:rFonts w:hint="eastAsia"/>
        </w:rPr>
        <w:t xml:space="preserve">   按GB 5009.124的规定执行。</w:t>
      </w:r>
    </w:p>
    <w:p>
      <w:pPr>
        <w:pStyle w:val="7"/>
        <w:numPr>
          <w:ilvl w:val="1"/>
          <w:numId w:val="0"/>
        </w:numPr>
        <w:spacing w:before="156" w:after="156"/>
      </w:pPr>
      <w:r>
        <w:rPr>
          <w:rFonts w:hint="eastAsia"/>
        </w:rPr>
        <w:t>8.7净含量</w:t>
      </w:r>
    </w:p>
    <w:p>
      <w:pPr>
        <w:pStyle w:val="7"/>
        <w:numPr>
          <w:ilvl w:val="1"/>
          <w:numId w:val="0"/>
        </w:numPr>
        <w:autoSpaceDN w:val="0"/>
        <w:spacing w:before="156" w:after="156"/>
        <w:ind w:firstLine="315" w:firstLineChars="150"/>
        <w:rPr>
          <w:rFonts w:ascii="宋体" w:hAnsi="宋体" w:eastAsia="宋体"/>
        </w:rPr>
      </w:pPr>
      <w:r>
        <w:rPr>
          <w:rFonts w:hint="eastAsia" w:ascii="宋体" w:hAnsi="宋体" w:eastAsia="宋体"/>
        </w:rPr>
        <w:t>按JJF 1070的规定执行。</w:t>
      </w:r>
    </w:p>
    <w:p>
      <w:pPr>
        <w:pStyle w:val="10"/>
        <w:numPr>
          <w:ilvl w:val="0"/>
          <w:numId w:val="0"/>
        </w:numPr>
        <w:spacing w:before="312" w:after="312"/>
      </w:pPr>
      <w:r>
        <w:rPr>
          <w:rFonts w:hint="eastAsia"/>
        </w:rPr>
        <w:t>9 标志、标签、包装、运输和贮存</w:t>
      </w:r>
    </w:p>
    <w:p>
      <w:pPr>
        <w:pStyle w:val="7"/>
        <w:numPr>
          <w:ilvl w:val="1"/>
          <w:numId w:val="0"/>
        </w:numPr>
        <w:spacing w:before="156" w:after="156"/>
      </w:pPr>
      <w:r>
        <w:rPr>
          <w:rFonts w:hint="eastAsia"/>
        </w:rPr>
        <w:t>9.1标志</w:t>
      </w:r>
    </w:p>
    <w:p>
      <w:pPr>
        <w:pStyle w:val="11"/>
        <w:numPr>
          <w:ilvl w:val="2"/>
          <w:numId w:val="0"/>
        </w:numPr>
        <w:spacing w:before="156" w:after="156"/>
        <w:rPr>
          <w:rFonts w:ascii="宋体" w:hAnsi="宋体" w:eastAsia="宋体"/>
        </w:rPr>
      </w:pPr>
      <w:r>
        <w:rPr>
          <w:rFonts w:hint="eastAsia" w:hAnsi="宋体"/>
        </w:rPr>
        <w:t>9.1.1</w:t>
      </w:r>
      <w:r>
        <w:rPr>
          <w:rFonts w:hint="eastAsia" w:ascii="宋体" w:hAnsi="宋体" w:eastAsia="宋体"/>
        </w:rPr>
        <w:t xml:space="preserve"> 获得批准的企业，可在其产品包装上使用地理标志产品专用标志。标志应符合国家质量技术监督检验检疫总局公告[2005]151号的要求。</w:t>
      </w:r>
    </w:p>
    <w:p>
      <w:pPr>
        <w:pStyle w:val="11"/>
        <w:numPr>
          <w:ilvl w:val="2"/>
          <w:numId w:val="0"/>
        </w:numPr>
        <w:autoSpaceDN w:val="0"/>
        <w:spacing w:before="156" w:after="156"/>
        <w:rPr>
          <w:rFonts w:ascii="宋体" w:hAnsi="宋体" w:eastAsia="宋体"/>
        </w:rPr>
      </w:pPr>
      <w:r>
        <w:rPr>
          <w:rFonts w:hint="eastAsia" w:hAnsi="宋体"/>
        </w:rPr>
        <w:t xml:space="preserve">9.1.2 </w:t>
      </w:r>
      <w:r>
        <w:rPr>
          <w:rFonts w:hint="eastAsia" w:ascii="宋体" w:hAnsi="宋体" w:eastAsia="宋体"/>
        </w:rPr>
        <w:t>包装储运图示标志应符合 GB/T 191的规定。</w:t>
      </w:r>
    </w:p>
    <w:p>
      <w:pPr>
        <w:pStyle w:val="7"/>
        <w:numPr>
          <w:ilvl w:val="1"/>
          <w:numId w:val="0"/>
        </w:numPr>
        <w:spacing w:before="156" w:after="156"/>
      </w:pPr>
      <w:r>
        <w:rPr>
          <w:rFonts w:hint="eastAsia"/>
        </w:rPr>
        <w:t>9.2标签</w:t>
      </w:r>
    </w:p>
    <w:p>
      <w:pPr>
        <w:pStyle w:val="11"/>
        <w:numPr>
          <w:ilvl w:val="2"/>
          <w:numId w:val="0"/>
        </w:numPr>
        <w:spacing w:before="156" w:after="156"/>
        <w:ind w:firstLine="420" w:firstLineChars="200"/>
        <w:rPr>
          <w:rFonts w:ascii="宋体" w:hAnsi="宋体" w:eastAsia="宋体"/>
        </w:rPr>
      </w:pPr>
      <w:r>
        <w:rPr>
          <w:rFonts w:hint="eastAsia" w:ascii="宋体" w:hAnsi="宋体" w:eastAsia="宋体"/>
        </w:rPr>
        <w:t>产品标签应符合 GB 7718的规定。9.1.3包装标签除应符合GB 7718规定外，还应标注地理标志产品名称、品种和产地。</w:t>
      </w:r>
    </w:p>
    <w:p>
      <w:pPr>
        <w:pStyle w:val="7"/>
        <w:numPr>
          <w:ilvl w:val="1"/>
          <w:numId w:val="0"/>
        </w:numPr>
        <w:spacing w:before="156" w:after="156"/>
      </w:pPr>
      <w:r>
        <w:rPr>
          <w:rFonts w:hint="eastAsia"/>
        </w:rPr>
        <w:t>9.3包装</w:t>
      </w:r>
    </w:p>
    <w:p>
      <w:pPr>
        <w:pStyle w:val="6"/>
      </w:pPr>
      <w:r>
        <w:rPr>
          <w:rFonts w:hint="eastAsia"/>
        </w:rPr>
        <w:t>包装材料应符合</w:t>
      </w:r>
      <w:r>
        <w:rPr>
          <w:rFonts w:hint="eastAsia" w:hAnsi="宋体" w:cs="黑体"/>
          <w:color w:val="000000"/>
          <w:szCs w:val="21"/>
        </w:rPr>
        <w:t>GB 4806.1</w:t>
      </w:r>
      <w:r>
        <w:rPr>
          <w:rFonts w:hAnsi="宋体" w:cs="黑体"/>
          <w:color w:val="000000"/>
          <w:szCs w:val="21"/>
        </w:rPr>
        <w:t>的规定</w:t>
      </w:r>
      <w:r>
        <w:rPr>
          <w:rFonts w:hint="eastAsia" w:hAnsi="宋体" w:cs="黑体"/>
          <w:color w:val="000000"/>
          <w:szCs w:val="21"/>
        </w:rPr>
        <w:t>，包装用塑料袋应符合GB 4806.7的规定，包装用纸箱应符合GB4806.8的规定。包装（箱、袋）应牢固、干燥、清洁、无异味、无毒，便于装卸、仓</w:t>
      </w:r>
      <w:r>
        <w:rPr>
          <w:rFonts w:ascii="Arial" w:hAnsi="Arial" w:cs="Arial"/>
          <w:color w:val="000000"/>
          <w:sz w:val="18"/>
          <w:szCs w:val="18"/>
          <w:shd w:val="clear" w:color="auto" w:fill="FFFFFF"/>
        </w:rPr>
        <w:t>储</w:t>
      </w:r>
      <w:r>
        <w:rPr>
          <w:rFonts w:hint="eastAsia" w:ascii="Arial" w:hAnsi="Arial" w:cs="Arial"/>
          <w:color w:val="000000"/>
          <w:sz w:val="18"/>
          <w:szCs w:val="18"/>
          <w:shd w:val="clear" w:color="auto" w:fill="FFFFFF"/>
        </w:rPr>
        <w:t>和运输</w:t>
      </w:r>
      <w:r>
        <w:rPr>
          <w:rFonts w:hint="eastAsia" w:hAnsi="宋体" w:cs="黑体"/>
          <w:color w:val="000000"/>
          <w:szCs w:val="21"/>
        </w:rPr>
        <w:t>。</w:t>
      </w:r>
    </w:p>
    <w:p>
      <w:pPr>
        <w:pStyle w:val="7"/>
        <w:numPr>
          <w:ilvl w:val="1"/>
          <w:numId w:val="0"/>
        </w:numPr>
        <w:spacing w:before="156" w:after="156"/>
      </w:pPr>
      <w:r>
        <w:rPr>
          <w:rFonts w:hint="eastAsia"/>
        </w:rPr>
        <w:t>9.4运输</w:t>
      </w:r>
    </w:p>
    <w:p>
      <w:pPr>
        <w:pStyle w:val="6"/>
      </w:pPr>
      <w:r>
        <w:rPr>
          <w:rFonts w:hint="eastAsia"/>
        </w:rPr>
        <w:t>淮山在运输过程中应轻拿轻放，防止日晒雨淋。运输工具应清洁卫生，不得与有毒、有污染的物品混运。</w:t>
      </w:r>
    </w:p>
    <w:p>
      <w:pPr>
        <w:pStyle w:val="7"/>
        <w:numPr>
          <w:ilvl w:val="1"/>
          <w:numId w:val="0"/>
        </w:numPr>
        <w:spacing w:before="156" w:after="156"/>
      </w:pPr>
      <w:r>
        <w:rPr>
          <w:rFonts w:hint="eastAsia"/>
        </w:rPr>
        <w:t>9.5贮存</w:t>
      </w:r>
    </w:p>
    <w:p>
      <w:pPr>
        <w:pStyle w:val="6"/>
        <w:ind w:firstLine="315" w:firstLineChars="150"/>
        <w:rPr>
          <w:rFonts w:hAnsi="宋体"/>
          <w:szCs w:val="21"/>
        </w:rPr>
      </w:pPr>
      <w:r>
        <w:rPr>
          <w:rFonts w:hint="eastAsia"/>
        </w:rPr>
        <w:t>淮山应存放在设有防虫、防鼠设备，卫生、干燥、阴凉、通风的库房内。室内分层平放，不宜直接与地面接触，地面铺设沙土，室内严禁与有毒、有害、有异味、易挥发、易腐蚀的物品混贮，防止污染。</w:t>
      </w:r>
    </w:p>
    <w:p>
      <w:pPr>
        <w:pStyle w:val="6"/>
        <w:rPr>
          <w:u w:val="single"/>
        </w:rPr>
      </w:pPr>
      <w:r>
        <w:rPr>
          <w:rFonts w:hint="eastAsia"/>
        </w:rPr>
        <w:t xml:space="preserve">                         </w:t>
      </w:r>
      <w:r>
        <w:rPr>
          <w:rFonts w:hint="eastAsia"/>
          <w:u w:val="single"/>
        </w:rPr>
        <w:t xml:space="preserve">                           </w:t>
      </w:r>
      <w:r>
        <w:rPr>
          <w:rFonts w:hint="eastAsia"/>
        </w:rPr>
        <w:t xml:space="preserve">  </w:t>
      </w:r>
    </w:p>
    <w:p>
      <w:pPr>
        <w:pStyle w:val="6"/>
      </w:pPr>
    </w:p>
    <w:p>
      <w:pPr>
        <w:pStyle w:val="30"/>
      </w:pPr>
    </w:p>
    <w:p>
      <w:pPr>
        <w:pStyle w:val="25"/>
        <w:tabs>
          <w:tab w:val="clear" w:pos="0"/>
        </w:tabs>
      </w:pPr>
    </w:p>
    <w:p>
      <w:pPr>
        <w:pStyle w:val="24"/>
      </w:pPr>
      <w:r>
        <w:br/>
      </w:r>
      <w:r>
        <w:rPr>
          <w:rFonts w:hint="eastAsia"/>
        </w:rPr>
        <w:t>（规范性附录）</w:t>
      </w:r>
      <w:r>
        <w:br/>
      </w:r>
      <w:r>
        <w:rPr>
          <w:rFonts w:hint="eastAsia"/>
        </w:rPr>
        <w:t>蕉岭淮山地理标志产品保护范围</w:t>
      </w:r>
    </w:p>
    <w:p>
      <w:pPr>
        <w:pStyle w:val="6"/>
      </w:pPr>
    </w:p>
    <w:p>
      <w:pPr>
        <w:pStyle w:val="6"/>
        <w:jc w:val="center"/>
      </w:pPr>
      <w:r>
        <w:rPr>
          <w:rFonts w:ascii="宋体" w:hAnsi="Times New Roman" w:eastAsia="宋体" w:cs="Times New Roman"/>
          <w:sz w:val="21"/>
          <w:lang w:val="en-US" w:eastAsia="zh-CN" w:bidi="ar-SA"/>
        </w:rPr>
        <w:pict>
          <v:shape id="Picture 1" o:spid="_x0000_s1032" type="#_x0000_t75" style="height:504pt;width:406.5pt;rotation:0f;" o:ole="f" fillcolor="#FFFFFF" filled="f" o:preferrelative="t" stroked="f" coordorigin="0,0" coordsize="21600,21600">
            <v:fill on="f" color2="#FFFFFF" focus="0%"/>
            <v:imagedata gain="65536f" blacklevel="0f" gamma="0" o:title="图片1" r:id="rId11"/>
            <o:lock v:ext="edit" position="f" selection="f" grouping="f" rotation="f" cropping="f" text="f" aspectratio="t"/>
            <w10:wrap type="none"/>
            <w10:anchorlock/>
          </v:shape>
        </w:pict>
      </w:r>
    </w:p>
    <w:p>
      <w:pPr>
        <w:pStyle w:val="40"/>
        <w:framePr w:w="3543" w:vAnchor="text" w:hAnchor="page" w:x="3135" w:y="284"/>
        <w:rPr>
          <w:u w:val="single"/>
        </w:rPr>
      </w:pPr>
    </w:p>
    <w:p/>
    <w:sectPr>
      <w:pgSz w:w="11906" w:h="16838"/>
      <w:pgMar w:top="567" w:right="1134" w:bottom="1134" w:left="1417"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MS Mincho">
    <w:panose1 w:val="02020609040205080304"/>
    <w:charset w:val="80"/>
    <w:family w:val="auto"/>
    <w:pitch w:val="default"/>
    <w:sig w:usb0="A00002BF" w:usb1="68C7FCFB" w:usb2="00000010"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right="5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6"/>
    </w:pPr>
    <w:r>
      <w:fldChar w:fldCharType="begin"/>
    </w:r>
    <w:r>
      <w:instrText xml:space="preserve"> PAGE  \* MERGEFORMAT </w:instrText>
    </w:r>
    <w:r>
      <w:fldChar w:fldCharType="separate"/>
    </w:r>
    <w: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right="5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r>
      <w:fldChar w:fldCharType="begin"/>
    </w:r>
    <w:r>
      <w:instrText xml:space="preserve"> PAGE  \* MERGEFORMAT </w:instrText>
    </w:r>
    <w:r>
      <w:fldChar w:fldCharType="separate"/>
    </w:r>
    <w: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7"/>
    </w:pPr>
    <w:r>
      <w:t>DB44/T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r>
      <w:t>DB44</w:t>
    </w:r>
    <w:r>
      <w:rPr>
        <w:rFonts w:hint="eastAsia"/>
      </w:rPr>
      <w:t>14</w:t>
    </w:r>
    <w:r>
      <w:t>/</w:t>
    </w:r>
    <w:r>
      <w:rPr>
        <w:rFonts w:hint="eastAsia"/>
      </w:rPr>
      <w:t>T XXXX</w:t>
    </w:r>
    <w: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02707132">
    <w:nsid w:val="657D3FBC"/>
    <w:multiLevelType w:val="multilevel"/>
    <w:tmpl w:val="657D3FBC"/>
    <w:lvl w:ilvl="0" w:tentative="1">
      <w:start w:val="1"/>
      <w:numFmt w:val="upperLetter"/>
      <w:pStyle w:val="24"/>
      <w:suff w:val="nothing"/>
      <w:lvlText w:val="附　录　%1"/>
      <w:lvlJc w:val="left"/>
      <w:pPr>
        <w:ind w:left="0" w:firstLine="0"/>
      </w:pPr>
      <w:rPr>
        <w:rFonts w:hint="eastAsia" w:ascii="黑体" w:hAnsi="Times New Roman" w:eastAsia="黑体"/>
        <w:b w:val="0"/>
        <w:i w:val="0"/>
        <w:spacing w:val="0"/>
        <w:w w:val="100"/>
        <w:sz w:val="21"/>
      </w:rPr>
    </w:lvl>
    <w:lvl w:ilvl="1" w:tentative="1">
      <w:start w:val="1"/>
      <w:numFmt w:val="decimal"/>
      <w:pStyle w:val="33"/>
      <w:suff w:val="nothing"/>
      <w:lvlText w:val="%1.%2　"/>
      <w:lvlJc w:val="left"/>
      <w:pPr>
        <w:ind w:left="0" w:firstLine="0"/>
      </w:pPr>
      <w:rPr>
        <w:rFonts w:hint="eastAsia" w:ascii="黑体" w:hAnsi="Times New Roman" w:eastAsia="黑体"/>
        <w:b w:val="0"/>
        <w:i w:val="0"/>
        <w:spacing w:val="0"/>
        <w:w w:val="100"/>
        <w:kern w:val="21"/>
        <w:sz w:val="21"/>
      </w:rPr>
    </w:lvl>
    <w:lvl w:ilvl="2" w:tentative="1">
      <w:start w:val="1"/>
      <w:numFmt w:val="decimal"/>
      <w:pStyle w:val="34"/>
      <w:suff w:val="nothing"/>
      <w:lvlText w:val="%1.%2.%3　"/>
      <w:lvlJc w:val="left"/>
      <w:pPr>
        <w:ind w:left="0" w:firstLine="0"/>
      </w:pPr>
      <w:rPr>
        <w:rFonts w:hint="eastAsia" w:ascii="黑体" w:hAnsi="Times New Roman" w:eastAsia="黑体"/>
        <w:b w:val="0"/>
        <w:i w:val="0"/>
        <w:sz w:val="21"/>
      </w:rPr>
    </w:lvl>
    <w:lvl w:ilvl="3" w:tentative="1">
      <w:start w:val="1"/>
      <w:numFmt w:val="decimal"/>
      <w:pStyle w:val="27"/>
      <w:suff w:val="nothing"/>
      <w:lvlText w:val="%1.%2.%3.%4　"/>
      <w:lvlJc w:val="left"/>
      <w:pPr>
        <w:ind w:left="0" w:firstLine="0"/>
      </w:pPr>
      <w:rPr>
        <w:rFonts w:hint="eastAsia" w:ascii="黑体" w:hAnsi="Times New Roman" w:eastAsia="黑体"/>
        <w:b w:val="0"/>
        <w:i w:val="0"/>
        <w:sz w:val="21"/>
      </w:rPr>
    </w:lvl>
    <w:lvl w:ilvl="4" w:tentative="1">
      <w:start w:val="1"/>
      <w:numFmt w:val="decimal"/>
      <w:pStyle w:val="28"/>
      <w:suff w:val="nothing"/>
      <w:lvlText w:val="%1.%2.%3.%4.%5　"/>
      <w:lvlJc w:val="left"/>
      <w:pPr>
        <w:ind w:left="0" w:firstLine="0"/>
      </w:pPr>
      <w:rPr>
        <w:rFonts w:hint="eastAsia" w:ascii="黑体" w:hAnsi="Times New Roman" w:eastAsia="黑体"/>
        <w:b w:val="0"/>
        <w:i w:val="0"/>
        <w:sz w:val="21"/>
      </w:rPr>
    </w:lvl>
    <w:lvl w:ilvl="5" w:tentative="1">
      <w:start w:val="1"/>
      <w:numFmt w:val="decimal"/>
      <w:pStyle w:val="29"/>
      <w:suff w:val="nothing"/>
      <w:lvlText w:val="%1.%2.%3.%4.%5.%6　"/>
      <w:lvlJc w:val="left"/>
      <w:pPr>
        <w:ind w:left="0" w:firstLine="0"/>
      </w:pPr>
      <w:rPr>
        <w:rFonts w:hint="eastAsia" w:ascii="黑体" w:hAnsi="Times New Roman" w:eastAsia="黑体"/>
        <w:b w:val="0"/>
        <w:i w:val="0"/>
        <w:sz w:val="21"/>
      </w:rPr>
    </w:lvl>
    <w:lvl w:ilvl="6" w:tentative="1">
      <w:start w:val="1"/>
      <w:numFmt w:val="decimal"/>
      <w:pStyle w:val="32"/>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533270883">
    <w:nsid w:val="1FC91163"/>
    <w:multiLevelType w:val="multilevel"/>
    <w:tmpl w:val="1FC91163"/>
    <w:lvl w:ilvl="0" w:tentative="1">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1">
      <w:start w:val="1"/>
      <w:numFmt w:val="decimal"/>
      <w:pStyle w:val="11"/>
      <w:suff w:val="nothing"/>
      <w:lvlText w:val="%1.%2.%3　"/>
      <w:lvlJc w:val="left"/>
      <w:pPr>
        <w:ind w:left="0" w:firstLine="0"/>
      </w:pPr>
      <w:rPr>
        <w:rFonts w:hint="eastAsia" w:ascii="黑体" w:hAnsi="Times New Roman" w:eastAsia="黑体"/>
        <w:b w:val="0"/>
        <w:i w:val="0"/>
        <w:sz w:val="21"/>
      </w:rPr>
    </w:lvl>
    <w:lvl w:ilvl="3" w:tentative="1">
      <w:start w:val="1"/>
      <w:numFmt w:val="decimal"/>
      <w:suff w:val="nothing"/>
      <w:lvlText w:val="%1.%2.%3.%4　"/>
      <w:lvlJc w:val="left"/>
      <w:pPr>
        <w:ind w:left="0" w:firstLine="0"/>
      </w:pPr>
      <w:rPr>
        <w:rFonts w:hint="eastAsia" w:ascii="黑体" w:hAnsi="Times New Roman" w:eastAsia="黑体"/>
        <w:b w:val="0"/>
        <w:i w:val="0"/>
        <w:sz w:val="21"/>
      </w:rPr>
    </w:lvl>
    <w:lvl w:ilvl="4" w:tentative="1">
      <w:start w:val="1"/>
      <w:numFmt w:val="decimal"/>
      <w:pStyle w:val="14"/>
      <w:suff w:val="nothing"/>
      <w:lvlText w:val="%1.%2.%3.%4.%5　"/>
      <w:lvlJc w:val="left"/>
      <w:pPr>
        <w:ind w:left="1134" w:firstLine="0"/>
      </w:pPr>
      <w:rPr>
        <w:rFonts w:hint="eastAsia" w:ascii="黑体" w:hAnsi="Times New Roman" w:eastAsia="黑体"/>
        <w:b w:val="0"/>
        <w:i w:val="0"/>
        <w:sz w:val="21"/>
      </w:rPr>
    </w:lvl>
    <w:lvl w:ilvl="5" w:tentative="1">
      <w:start w:val="1"/>
      <w:numFmt w:val="decimal"/>
      <w:pStyle w:val="15"/>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622498754">
    <w:nsid w:val="60B55DC2"/>
    <w:multiLevelType w:val="multilevel"/>
    <w:tmpl w:val="60B55DC2"/>
    <w:lvl w:ilvl="0" w:tentative="1">
      <w:start w:val="1"/>
      <w:numFmt w:val="upperLetter"/>
      <w:pStyle w:val="25"/>
      <w:lvlText w:val="%1"/>
      <w:lvlJc w:val="left"/>
      <w:pPr>
        <w:tabs>
          <w:tab w:val="left" w:pos="0"/>
        </w:tabs>
        <w:ind w:left="0" w:hanging="425"/>
      </w:pPr>
      <w:rPr>
        <w:rFonts w:hint="eastAsia"/>
      </w:rPr>
    </w:lvl>
    <w:lvl w:ilvl="1" w:tentative="1">
      <w:start w:val="1"/>
      <w:numFmt w:val="decimal"/>
      <w:pStyle w:val="26"/>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714043667">
    <w:nsid w:val="2A8F7113"/>
    <w:multiLevelType w:val="multilevel"/>
    <w:tmpl w:val="2A8F7113"/>
    <w:lvl w:ilvl="0" w:tentative="1">
      <w:start w:val="1"/>
      <w:numFmt w:val="upperLetter"/>
      <w:pStyle w:val="30"/>
      <w:suff w:val="space"/>
      <w:lvlText w:val="%1"/>
      <w:lvlJc w:val="left"/>
      <w:pPr>
        <w:ind w:left="623" w:hanging="425"/>
      </w:pPr>
      <w:rPr>
        <w:rFonts w:hint="eastAsia"/>
      </w:rPr>
    </w:lvl>
    <w:lvl w:ilvl="1" w:tentative="1">
      <w:start w:val="1"/>
      <w:numFmt w:val="decimal"/>
      <w:pStyle w:val="31"/>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num w:numId="1">
    <w:abstractNumId w:val="533270883"/>
  </w:num>
  <w:num w:numId="2">
    <w:abstractNumId w:val="1702707132"/>
  </w:num>
  <w:num w:numId="3">
    <w:abstractNumId w:val="1622498754"/>
  </w:num>
  <w:num w:numId="4">
    <w:abstractNumId w:val="714043667"/>
  </w:num>
  <w:num w:numId="5">
    <w:abstractNumId w:val="533270883"/>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F582B"/>
    <w:rsid w:val="0001752E"/>
    <w:rsid w:val="000F582B"/>
    <w:rsid w:val="001D3112"/>
    <w:rsid w:val="00304141"/>
    <w:rsid w:val="003D1DAB"/>
    <w:rsid w:val="003E5088"/>
    <w:rsid w:val="004E1BBB"/>
    <w:rsid w:val="00556C64"/>
    <w:rsid w:val="00571779"/>
    <w:rsid w:val="006402C1"/>
    <w:rsid w:val="006A3D93"/>
    <w:rsid w:val="008C2D8B"/>
    <w:rsid w:val="008C62B9"/>
    <w:rsid w:val="009802F0"/>
    <w:rsid w:val="00A84171"/>
    <w:rsid w:val="00B24FDF"/>
    <w:rsid w:val="00D4776D"/>
    <w:rsid w:val="00D620F9"/>
    <w:rsid w:val="00DF4D33"/>
    <w:rsid w:val="00E21566"/>
    <w:rsid w:val="00F33B04"/>
    <w:rsid w:val="00F97396"/>
    <w:rsid w:val="06461B2D"/>
    <w:rsid w:val="0ABA1325"/>
    <w:rsid w:val="0B157A67"/>
    <w:rsid w:val="0CAA1425"/>
    <w:rsid w:val="127E36AE"/>
    <w:rsid w:val="12EE17D3"/>
    <w:rsid w:val="140F40DE"/>
    <w:rsid w:val="165C2DB6"/>
    <w:rsid w:val="1A691F48"/>
    <w:rsid w:val="1B867CA9"/>
    <w:rsid w:val="21820723"/>
    <w:rsid w:val="28F87199"/>
    <w:rsid w:val="29613346"/>
    <w:rsid w:val="2DC63177"/>
    <w:rsid w:val="3AA34791"/>
    <w:rsid w:val="45B03236"/>
    <w:rsid w:val="47912AC7"/>
    <w:rsid w:val="4D2917B0"/>
    <w:rsid w:val="4F7065EF"/>
    <w:rsid w:val="50E40470"/>
    <w:rsid w:val="5AEF45DC"/>
    <w:rsid w:val="5DBE6088"/>
    <w:rsid w:val="5F5F34FD"/>
    <w:rsid w:val="646668E2"/>
    <w:rsid w:val="6E2B1E62"/>
    <w:rsid w:val="70CB1BC5"/>
    <w:rsid w:val="72C874B2"/>
    <w:rsid w:val="795B434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黑体" w:hAnsi="黑体" w:eastAsia="黑体" w:cs="黑体"/>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宋体" w:eastAsia="黑体" w:cs="Times New Roman"/>
      <w:sz w:val="5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44"/>
    <w:uiPriority w:val="0"/>
    <w:pPr>
      <w:snapToGrid w:val="0"/>
      <w:ind w:right="210" w:rightChars="100"/>
      <w:jc w:val="right"/>
    </w:pPr>
    <w:rPr>
      <w:rFonts w:ascii="Times New Roman" w:hAnsi="Times New Roman" w:eastAsia="宋体"/>
      <w:kern w:val="2"/>
      <w:sz w:val="18"/>
      <w:szCs w:val="18"/>
    </w:rPr>
  </w:style>
  <w:style w:type="paragraph" w:styleId="3">
    <w:name w:val="header"/>
    <w:basedOn w:val="1"/>
    <w:link w:val="45"/>
    <w:uiPriority w:val="0"/>
    <w:pPr>
      <w:snapToGrid w:val="0"/>
      <w:jc w:val="left"/>
    </w:pPr>
    <w:rPr>
      <w:rFonts w:ascii="Times New Roman" w:hAnsi="Times New Roman" w:eastAsia="宋体"/>
      <w:kern w:val="2"/>
      <w:sz w:val="18"/>
      <w:szCs w:val="18"/>
    </w:rPr>
  </w:style>
  <w:style w:type="paragraph" w:customStyle="1" w:styleId="6">
    <w:name w:val="段"/>
    <w:link w:val="43"/>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7">
    <w:name w:val="一级条标题"/>
    <w:next w:val="6"/>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8">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9">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
    <w:name w:val="章标题"/>
    <w:next w:val="6"/>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1">
    <w:name w:val="二级条标题"/>
    <w:basedOn w:val="7"/>
    <w:next w:val="6"/>
    <w:uiPriority w:val="0"/>
    <w:pPr>
      <w:numPr>
        <w:ilvl w:val="2"/>
        <w:numId w:val="1"/>
      </w:numPr>
      <w:spacing w:before="50" w:after="50"/>
      <w:outlineLvl w:val="3"/>
    </w:pPr>
  </w:style>
  <w:style w:type="paragraph" w:customStyle="1" w:styleId="12">
    <w:name w:val="封面标准号2"/>
    <w:uiPriority w:val="0"/>
    <w:pPr>
      <w:spacing w:before="357" w:line="280" w:lineRule="exact"/>
      <w:jc w:val="right"/>
    </w:pPr>
    <w:rPr>
      <w:rFonts w:ascii="黑体" w:hAnsi="Times New Roman" w:eastAsia="黑体" w:cs="Times New Roman"/>
      <w:sz w:val="28"/>
      <w:szCs w:val="28"/>
      <w:lang w:val="en-US" w:eastAsia="zh-CN" w:bidi="ar-SA"/>
    </w:rPr>
  </w:style>
  <w:style w:type="paragraph" w:customStyle="1" w:styleId="13">
    <w:name w:val="目次、标准名称标题"/>
    <w:basedOn w:val="1"/>
    <w:next w:val="6"/>
    <w:uiPriority w:val="0"/>
    <w:pPr>
      <w:keepNext/>
      <w:pageBreakBefore/>
      <w:widowControl/>
      <w:shd w:val="clear" w:color="FFFFFF" w:fill="FFFFFF"/>
      <w:spacing w:before="640" w:after="560" w:line="460" w:lineRule="exact"/>
      <w:jc w:val="center"/>
      <w:outlineLvl w:val="0"/>
    </w:pPr>
    <w:rPr>
      <w:rFonts w:hAnsi="Times New Roman"/>
      <w:sz w:val="32"/>
    </w:rPr>
  </w:style>
  <w:style w:type="paragraph" w:customStyle="1" w:styleId="14">
    <w:name w:val="四级条标题"/>
    <w:basedOn w:val="1"/>
    <w:next w:val="6"/>
    <w:uiPriority w:val="0"/>
    <w:pPr>
      <w:widowControl/>
      <w:numPr>
        <w:ilvl w:val="4"/>
        <w:numId w:val="1"/>
      </w:numPr>
      <w:spacing w:beforeLines="50" w:afterLines="50"/>
      <w:jc w:val="left"/>
      <w:outlineLvl w:val="5"/>
    </w:pPr>
    <w:rPr>
      <w:rFonts w:hAnsi="Times New Roman"/>
      <w:sz w:val="21"/>
      <w:szCs w:val="21"/>
    </w:rPr>
  </w:style>
  <w:style w:type="paragraph" w:customStyle="1" w:styleId="15">
    <w:name w:val="五级条标题"/>
    <w:basedOn w:val="14"/>
    <w:next w:val="6"/>
    <w:uiPriority w:val="0"/>
    <w:pPr>
      <w:numPr>
        <w:ilvl w:val="5"/>
        <w:numId w:val="1"/>
      </w:numPr>
      <w:ind w:left="1134"/>
    </w:pPr>
  </w:style>
  <w:style w:type="paragraph" w:customStyle="1" w:styleId="16">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17">
    <w:name w:val="标准书眉_偶数页"/>
    <w:basedOn w:val="9"/>
    <w:next w:val="1"/>
    <w:uiPriority w:val="0"/>
    <w:pPr>
      <w:jc w:val="left"/>
    </w:pPr>
  </w:style>
  <w:style w:type="paragraph" w:customStyle="1" w:styleId="18">
    <w:name w:val="封面标准代替信息"/>
    <w:uiPriority w:val="0"/>
    <w:pPr>
      <w:spacing w:before="57" w:line="280" w:lineRule="exact"/>
      <w:jc w:val="right"/>
    </w:pPr>
    <w:rPr>
      <w:rFonts w:ascii="宋体" w:hAnsi="Times New Roman" w:eastAsia="宋体" w:cs="Times New Roman"/>
      <w:sz w:val="21"/>
      <w:szCs w:val="21"/>
      <w:lang w:val="en-US" w:eastAsia="zh-CN" w:bidi="ar-SA"/>
    </w:rPr>
  </w:style>
  <w:style w:type="paragraph" w:customStyle="1" w:styleId="19">
    <w:name w:val="封面标准名称"/>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0">
    <w:name w:val="封面标准英文名称"/>
    <w:basedOn w:val="19"/>
    <w:uiPriority w:val="0"/>
    <w:pPr>
      <w:framePr w:wrap="around" w:vAnchor="margin" w:hAnchor="text" w:y="1"/>
      <w:spacing w:before="370" w:line="400" w:lineRule="exact"/>
    </w:pPr>
    <w:rPr>
      <w:rFonts w:ascii="Times New Roman"/>
      <w:sz w:val="28"/>
      <w:szCs w:val="28"/>
    </w:rPr>
  </w:style>
  <w:style w:type="paragraph" w:customStyle="1" w:styleId="21">
    <w:name w:val="封面一致性程度标识"/>
    <w:basedOn w:val="20"/>
    <w:uiPriority w:val="0"/>
    <w:pPr>
      <w:spacing w:before="440"/>
    </w:pPr>
    <w:rPr>
      <w:rFonts w:ascii="宋体" w:eastAsia="宋体"/>
    </w:rPr>
  </w:style>
  <w:style w:type="paragraph" w:customStyle="1" w:styleId="22">
    <w:name w:val="封面标准文稿类别"/>
    <w:basedOn w:val="21"/>
    <w:uiPriority w:val="0"/>
    <w:pPr>
      <w:spacing w:after="160" w:line="240" w:lineRule="auto"/>
    </w:pPr>
    <w:rPr>
      <w:sz w:val="24"/>
    </w:rPr>
  </w:style>
  <w:style w:type="paragraph" w:customStyle="1" w:styleId="23">
    <w:name w:val="封面标准文稿编辑信息"/>
    <w:basedOn w:val="22"/>
    <w:uiPriority w:val="0"/>
    <w:pPr>
      <w:spacing w:before="180" w:line="180" w:lineRule="exact"/>
    </w:pPr>
    <w:rPr>
      <w:sz w:val="21"/>
    </w:rPr>
  </w:style>
  <w:style w:type="paragraph" w:customStyle="1" w:styleId="24">
    <w:name w:val="附录标识"/>
    <w:basedOn w:val="1"/>
    <w:next w:val="6"/>
    <w:uiPriority w:val="0"/>
    <w:pPr>
      <w:keepNext/>
      <w:widowControl/>
      <w:numPr>
        <w:ilvl w:val="0"/>
        <w:numId w:val="2"/>
      </w:numPr>
      <w:shd w:val="clear" w:color="FFFFFF" w:fill="FFFFFF"/>
      <w:tabs>
        <w:tab w:val="left" w:pos="360"/>
        <w:tab w:val="left" w:pos="6405"/>
      </w:tabs>
      <w:spacing w:before="640" w:after="280"/>
      <w:jc w:val="center"/>
      <w:outlineLvl w:val="0"/>
    </w:pPr>
    <w:rPr>
      <w:rFonts w:hAnsi="Times New Roman"/>
      <w:sz w:val="21"/>
    </w:rPr>
  </w:style>
  <w:style w:type="paragraph" w:customStyle="1" w:styleId="25">
    <w:name w:val="附录表标号"/>
    <w:basedOn w:val="1"/>
    <w:next w:val="6"/>
    <w:uiPriority w:val="0"/>
    <w:pPr>
      <w:numPr>
        <w:ilvl w:val="0"/>
        <w:numId w:val="3"/>
      </w:numPr>
      <w:spacing w:line="14" w:lineRule="exact"/>
      <w:ind w:left="811" w:hanging="448"/>
      <w:jc w:val="center"/>
      <w:outlineLvl w:val="0"/>
    </w:pPr>
    <w:rPr>
      <w:rFonts w:ascii="Times New Roman" w:hAnsi="Times New Roman" w:eastAsia="宋体"/>
      <w:color w:val="FFFFFF"/>
      <w:kern w:val="2"/>
      <w:sz w:val="21"/>
      <w:szCs w:val="24"/>
    </w:rPr>
  </w:style>
  <w:style w:type="paragraph" w:customStyle="1" w:styleId="26">
    <w:name w:val="附录表标题"/>
    <w:basedOn w:val="1"/>
    <w:next w:val="6"/>
    <w:uiPriority w:val="0"/>
    <w:pPr>
      <w:numPr>
        <w:ilvl w:val="1"/>
        <w:numId w:val="3"/>
      </w:numPr>
      <w:tabs>
        <w:tab w:val="left" w:pos="0"/>
        <w:tab w:val="left" w:pos="180"/>
      </w:tabs>
      <w:spacing w:beforeLines="50" w:afterLines="50"/>
      <w:ind w:left="0" w:firstLine="0"/>
      <w:jc w:val="center"/>
    </w:pPr>
    <w:rPr>
      <w:rFonts w:hAnsi="Times New Roman"/>
      <w:kern w:val="2"/>
      <w:sz w:val="21"/>
      <w:szCs w:val="21"/>
    </w:rPr>
  </w:style>
  <w:style w:type="paragraph" w:customStyle="1" w:styleId="27">
    <w:name w:val="附录二级条标题"/>
    <w:basedOn w:val="1"/>
    <w:next w:val="6"/>
    <w:uiPriority w:val="0"/>
    <w:pPr>
      <w:widowControl/>
      <w:numPr>
        <w:ilvl w:val="3"/>
        <w:numId w:val="2"/>
      </w:numPr>
      <w:tabs>
        <w:tab w:val="left" w:pos="360"/>
      </w:tabs>
      <w:wordWrap w:val="0"/>
      <w:overflowPunct w:val="0"/>
      <w:autoSpaceDE w:val="0"/>
      <w:autoSpaceDN w:val="0"/>
      <w:spacing w:beforeLines="50" w:afterLines="50"/>
      <w:textAlignment w:val="baseline"/>
      <w:outlineLvl w:val="3"/>
    </w:pPr>
    <w:rPr>
      <w:rFonts w:hAnsi="Times New Roman"/>
      <w:kern w:val="21"/>
      <w:sz w:val="21"/>
    </w:rPr>
  </w:style>
  <w:style w:type="paragraph" w:customStyle="1" w:styleId="28">
    <w:name w:val="附录三级条标题"/>
    <w:basedOn w:val="27"/>
    <w:next w:val="6"/>
    <w:uiPriority w:val="0"/>
    <w:pPr>
      <w:numPr>
        <w:ilvl w:val="4"/>
        <w:numId w:val="2"/>
      </w:numPr>
      <w:outlineLvl w:val="4"/>
    </w:pPr>
  </w:style>
  <w:style w:type="paragraph" w:customStyle="1" w:styleId="29">
    <w:name w:val="附录四级条标题"/>
    <w:basedOn w:val="28"/>
    <w:next w:val="6"/>
    <w:uiPriority w:val="0"/>
    <w:pPr>
      <w:numPr>
        <w:ilvl w:val="5"/>
        <w:numId w:val="2"/>
      </w:numPr>
      <w:outlineLvl w:val="5"/>
    </w:pPr>
  </w:style>
  <w:style w:type="paragraph" w:customStyle="1" w:styleId="30">
    <w:name w:val="附录图标号"/>
    <w:basedOn w:val="1"/>
    <w:uiPriority w:val="0"/>
    <w:pPr>
      <w:keepNext/>
      <w:pageBreakBefore/>
      <w:widowControl/>
      <w:numPr>
        <w:ilvl w:val="0"/>
        <w:numId w:val="4"/>
      </w:numPr>
      <w:spacing w:line="14" w:lineRule="exact"/>
      <w:ind w:left="0" w:firstLine="363"/>
      <w:jc w:val="center"/>
      <w:outlineLvl w:val="0"/>
    </w:pPr>
    <w:rPr>
      <w:rFonts w:ascii="Times New Roman" w:hAnsi="Times New Roman" w:eastAsia="宋体"/>
      <w:color w:val="FFFFFF"/>
      <w:kern w:val="2"/>
      <w:sz w:val="21"/>
      <w:szCs w:val="24"/>
    </w:rPr>
  </w:style>
  <w:style w:type="paragraph" w:customStyle="1" w:styleId="31">
    <w:name w:val="附录图标题"/>
    <w:basedOn w:val="1"/>
    <w:next w:val="6"/>
    <w:uiPriority w:val="0"/>
    <w:pPr>
      <w:numPr>
        <w:ilvl w:val="1"/>
        <w:numId w:val="4"/>
      </w:numPr>
      <w:tabs>
        <w:tab w:val="left" w:pos="363"/>
      </w:tabs>
      <w:spacing w:beforeLines="50" w:afterLines="50"/>
      <w:ind w:left="0" w:firstLine="0"/>
      <w:jc w:val="center"/>
    </w:pPr>
    <w:rPr>
      <w:rFonts w:hAnsi="Times New Roman"/>
      <w:kern w:val="2"/>
      <w:sz w:val="21"/>
      <w:szCs w:val="21"/>
    </w:rPr>
  </w:style>
  <w:style w:type="paragraph" w:customStyle="1" w:styleId="32">
    <w:name w:val="附录五级条标题"/>
    <w:basedOn w:val="29"/>
    <w:next w:val="6"/>
    <w:uiPriority w:val="0"/>
    <w:pPr>
      <w:numPr>
        <w:ilvl w:val="6"/>
        <w:numId w:val="2"/>
      </w:numPr>
      <w:outlineLvl w:val="6"/>
    </w:pPr>
  </w:style>
  <w:style w:type="paragraph" w:customStyle="1" w:styleId="33">
    <w:name w:val="附录章标题"/>
    <w:next w:val="6"/>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4">
    <w:name w:val="附录一级条标题"/>
    <w:basedOn w:val="33"/>
    <w:next w:val="6"/>
    <w:uiPriority w:val="0"/>
    <w:pPr>
      <w:numPr>
        <w:ilvl w:val="2"/>
        <w:numId w:val="2"/>
      </w:numPr>
      <w:autoSpaceDN w:val="0"/>
      <w:spacing w:beforeLines="50" w:afterLines="50"/>
      <w:outlineLvl w:val="2"/>
    </w:pPr>
  </w:style>
  <w:style w:type="paragraph" w:customStyle="1" w:styleId="35">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b/>
      <w:w w:val="130"/>
      <w:sz w:val="96"/>
      <w:szCs w:val="96"/>
    </w:rPr>
  </w:style>
  <w:style w:type="paragraph" w:customStyle="1" w:styleId="36">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7">
    <w:name w:val="其他发布部门"/>
    <w:basedOn w:val="1"/>
    <w:uiPriority w:val="0"/>
    <w:pPr>
      <w:framePr w:w="7938" w:h="1134" w:hRule="exact" w:hSpace="125" w:vSpace="181" w:wrap="around" w:vAnchor="page" w:hAnchor="page" w:x="2150" w:y="15310" w:anchorLock="1"/>
      <w:widowControl/>
      <w:spacing w:line="0" w:lineRule="atLeast"/>
      <w:jc w:val="center"/>
    </w:pPr>
    <w:rPr>
      <w:rFonts w:hAnsi="Times New Roman"/>
      <w:spacing w:val="20"/>
      <w:w w:val="135"/>
      <w:sz w:val="28"/>
    </w:rPr>
  </w:style>
  <w:style w:type="paragraph" w:customStyle="1" w:styleId="38">
    <w:name w:val="前言、引言标题"/>
    <w:next w:val="6"/>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9">
    <w:name w:val="文献分类号"/>
    <w:uiPriority w:val="0"/>
    <w:pPr>
      <w:widowControl w:val="0"/>
      <w:textAlignment w:val="center"/>
    </w:pPr>
    <w:rPr>
      <w:rFonts w:ascii="黑体" w:hAnsi="Times New Roman" w:eastAsia="黑体" w:cs="Times New Roman"/>
      <w:sz w:val="21"/>
      <w:szCs w:val="21"/>
      <w:lang w:val="en-US" w:eastAsia="zh-CN" w:bidi="ar-SA"/>
    </w:rPr>
  </w:style>
  <w:style w:type="paragraph" w:customStyle="1" w:styleId="40">
    <w:name w:val="终结线"/>
    <w:basedOn w:val="1"/>
    <w:uiPriority w:val="0"/>
    <w:pPr>
      <w:framePr w:hSpace="181" w:vSpace="181" w:wrap="around" w:vAnchor="text" w:hAnchor="margin" w:xAlign="center" w:y="285"/>
    </w:pPr>
    <w:rPr>
      <w:rFonts w:ascii="Times New Roman" w:hAnsi="Times New Roman" w:eastAsia="宋体"/>
      <w:kern w:val="2"/>
      <w:sz w:val="21"/>
      <w:szCs w:val="24"/>
    </w:rPr>
  </w:style>
  <w:style w:type="paragraph" w:customStyle="1" w:styleId="41">
    <w:name w:val="其他发布日期"/>
    <w:basedOn w:val="1"/>
    <w:uiPriority w:val="0"/>
    <w:pPr>
      <w:framePr w:w="3997" w:h="471" w:hRule="exact" w:vSpace="181" w:wrap="around" w:vAnchor="page" w:hAnchor="page" w:x="1419" w:y="14097" w:anchorLock="1"/>
      <w:widowControl/>
      <w:jc w:val="left"/>
    </w:pPr>
    <w:rPr>
      <w:rFonts w:ascii="Times New Roman" w:hAnsi="Times New Roman"/>
      <w:sz w:val="28"/>
    </w:rPr>
  </w:style>
  <w:style w:type="paragraph" w:customStyle="1" w:styleId="42">
    <w:name w:val="其他实施日期"/>
    <w:basedOn w:val="1"/>
    <w:uiPriority w:val="0"/>
    <w:pPr>
      <w:framePr w:w="3997" w:h="471" w:hRule="exact" w:vSpace="181" w:wrap="around" w:vAnchor="page" w:hAnchor="page" w:x="7089" w:y="14097" w:anchorLock="1"/>
      <w:widowControl/>
      <w:jc w:val="right"/>
    </w:pPr>
    <w:rPr>
      <w:rFonts w:ascii="Times New Roman" w:hAnsi="Times New Roman"/>
      <w:sz w:val="28"/>
    </w:rPr>
  </w:style>
  <w:style w:type="character" w:customStyle="1" w:styleId="43">
    <w:name w:val="段 Char"/>
    <w:basedOn w:val="4"/>
    <w:link w:val="6"/>
    <w:uiPriority w:val="0"/>
    <w:rPr>
      <w:rFonts w:ascii="宋体" w:hAnsi="Times New Roman" w:eastAsia="宋体"/>
      <w:sz w:val="21"/>
    </w:rPr>
  </w:style>
  <w:style w:type="character" w:customStyle="1" w:styleId="44">
    <w:name w:val="页脚 Char"/>
    <w:basedOn w:val="4"/>
    <w:link w:val="2"/>
    <w:uiPriority w:val="0"/>
    <w:rPr>
      <w:rFonts w:ascii="Times New Roman" w:hAnsi="Times New Roman" w:eastAsia="宋体"/>
      <w:kern w:val="2"/>
      <w:sz w:val="18"/>
      <w:szCs w:val="18"/>
    </w:rPr>
  </w:style>
  <w:style w:type="character" w:customStyle="1" w:styleId="45">
    <w:name w:val="页眉 Char"/>
    <w:basedOn w:val="4"/>
    <w:link w:val="3"/>
    <w:uiPriority w:val="0"/>
    <w:rPr>
      <w:rFonts w:ascii="Times New Roman" w:hAnsi="Times New Roman" w:eastAsia="宋体"/>
      <w:kern w:val="2"/>
      <w:sz w:val="18"/>
      <w:szCs w:val="18"/>
    </w:rPr>
  </w:style>
  <w:style w:type="character" w:customStyle="1" w:styleId="46">
    <w:name w:val="发布"/>
    <w:basedOn w:val="4"/>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2.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559</Words>
  <Characters>3192</Characters>
  <Lines>26</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2020-07-27T07:18:00Z</dcterms:created>
  <dc:creator>Administrator</dc:creator>
  <cp:lastModifiedBy>Administrator</cp:lastModifiedBy>
  <dcterms:modified xsi:type="dcterms:W3CDTF">2020-08-17T02:55:03Z</dcterms:modified>
  <dc:title>ICS 67.080.20</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