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0"/>
        <w:framePr w:wrap="around" w:vAnchor="margin" w:hAnchor="text" w:y="1"/>
      </w:pPr>
      <w:r>
        <w:rPr>
          <w:rFonts w:ascii="Times New Roman"/>
        </w:rPr>
        <w:t>ICS</w:t>
      </w:r>
      <w:r>
        <w:rPr>
          <w:rFonts w:hint="eastAsia" w:ascii="MS Mincho" w:hAnsi="MS Mincho" w:eastAsia="MS Mincho" w:cs="MS Mincho"/>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67.140.10</w:t>
      </w:r>
      <w:r>
        <w:fldChar w:fldCharType="end"/>
      </w:r>
      <w:bookmarkEnd w:id="0"/>
    </w:p>
    <w:p>
      <w:pPr>
        <w:pStyle w:val="40"/>
        <w:framePr w:wrap="around" w:vAnchor="margin" w:hAnchor="text" w:y="1"/>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X55</w:t>
      </w:r>
      <w:r>
        <w:fldChar w:fldCharType="end"/>
      </w:r>
      <w:bookmarkEnd w:id="1"/>
    </w:p>
    <w:tbl>
      <w:tblPr>
        <w:tblStyle w:val="5"/>
        <w:tblW w:w="98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4" w:type="dxa"/>
            <w:tcBorders>
              <w:top w:val="nil"/>
              <w:left w:val="nil"/>
              <w:bottom w:val="nil"/>
              <w:right w:val="nil"/>
            </w:tcBorders>
            <w:vAlign w:val="top"/>
          </w:tcPr>
          <w:p>
            <w:pPr>
              <w:pStyle w:val="40"/>
              <w:framePr w:wrap="around" w:vAnchor="margin" w:hAnchor="text" w:y="1"/>
            </w:pPr>
            <w:r>
              <w:rPr>
                <w:rFonts w:ascii="黑体" w:hAnsi="Times New Roman" w:eastAsia="黑体" w:cs="Times New Roman"/>
                <w:sz w:val="21"/>
                <w:szCs w:val="21"/>
                <w:lang w:val="en-US" w:eastAsia="zh-CN" w:bidi="ar-SA"/>
              </w:rPr>
              <w:pict>
                <v:rect id="BAH" o:spid="_x0000_s1027" style="position:absolute;left:0;margin-left:-5.25pt;margin-top:0pt;height:15.6pt;width:68.25pt;rotation:0f;z-index:-251655168;" o:ole="f" fillcolor="#FFFFFF" filled="t" o:preferrelative="t" stroked="f" coordsize="21600,21600">
                  <v:imagedata gain="65536f" blacklevel="0f" gamma="0"/>
                  <o:lock v:ext="edit" position="f" selection="f" grouping="f" rotation="f" cropping="f" text="f" aspectratio="f"/>
                </v:rect>
              </w:pict>
            </w:r>
            <w:r>
              <w:fldChar w:fldCharType="begin">
                <w:ffData>
                  <w:name w:val="BAH"/>
                  <w:enabled/>
                  <w:calcOnExit w:val="0"/>
                  <w:textInput/>
                </w:ffData>
              </w:fldChar>
            </w:r>
            <w:bookmarkStart w:id="2" w:name="BAH"/>
            <w:r>
              <w:instrText xml:space="preserve"> FORMTEXT </w:instrText>
            </w:r>
            <w:r>
              <w:fldChar w:fldCharType="separate"/>
            </w:r>
            <w:r>
              <w:rPr>
                <w:rFonts w:hint="eastAsia"/>
              </w:rPr>
              <w:t>备案号：</w:t>
            </w:r>
            <w:r>
              <w:fldChar w:fldCharType="end"/>
            </w:r>
            <w:bookmarkEnd w:id="2"/>
          </w:p>
        </w:tc>
      </w:tr>
    </w:tbl>
    <w:p>
      <w:pPr>
        <w:pStyle w:val="36"/>
      </w:pPr>
      <w:r>
        <w:t>DB</w:t>
      </w:r>
      <w:bookmarkStart w:id="3" w:name="c3"/>
      <w:r>
        <w:rPr>
          <w:rFonts w:hint="eastAsia"/>
        </w:rPr>
        <w:t>4414</w:t>
      </w:r>
      <w:bookmarkEnd w:id="3"/>
    </w:p>
    <w:tbl>
      <w:tblPr>
        <w:tblStyle w:val="5"/>
        <w:tblpPr w:leftFromText="180" w:rightFromText="180" w:vertAnchor="text" w:horzAnchor="page" w:tblpX="1592" w:tblpY="-340"/>
        <w:tblOverlap w:val="never"/>
        <w:tblW w:w="93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vAlign w:val="top"/>
          </w:tcPr>
          <w:p>
            <w:pPr>
              <w:pStyle w:val="37"/>
              <w:framePr w:hSpace="0" w:vSpace="0" w:wrap="auto" w:vAnchor="margin" w:hAnchor="text" w:xAlign="left" w:yAlign="inline"/>
            </w:pPr>
            <w:r>
              <w:fldChar w:fldCharType="begin">
                <w:ffData>
                  <w:name w:val="c4"/>
                  <w:enabled/>
                  <w:calcOnExit w:val="0"/>
                  <w:textInput/>
                </w:ffData>
              </w:fldChar>
            </w:r>
            <w:r>
              <w:instrText xml:space="preserve"> FORMTEXT </w:instrText>
            </w:r>
            <w:r>
              <w:fldChar w:fldCharType="separate"/>
            </w:r>
            <w:r>
              <w:rPr>
                <w:rFonts w:hint="eastAsia"/>
              </w:rPr>
              <w:t>梅州市</w:t>
            </w:r>
            <w:r>
              <w:fldChar w:fldCharType="end"/>
            </w:r>
            <w:r>
              <w:rPr>
                <w:rFonts w:hint="eastAsia"/>
              </w:rPr>
              <w:t>地方标准</w:t>
            </w:r>
          </w:p>
        </w:tc>
      </w:tr>
    </w:tbl>
    <w:p>
      <w:pPr>
        <w:pStyle w:val="12"/>
        <w:framePr w:wrap="around" w:vAnchor="margin" w:hAnchor="text" w:y="1"/>
        <w:jc w:val="center"/>
      </w:pPr>
      <w:r>
        <w:rPr>
          <w:rFonts w:hint="eastAsia"/>
        </w:rPr>
        <w:t xml:space="preserve">                                                  DB4414/T XXXX-XXXX</w:t>
      </w:r>
    </w:p>
    <w:p>
      <w:pPr>
        <w:pStyle w:val="20"/>
        <w:framePr w:wrap="around" w:vAnchor="margin" w:hAnchor="text" w:y="1"/>
      </w:pPr>
      <w:bookmarkStart w:id="4" w:name="StdName"/>
    </w:p>
    <w:p>
      <w:pPr>
        <w:pStyle w:val="20"/>
        <w:framePr w:wrap="around" w:vAnchor="margin" w:hAnchor="text" w:y="1"/>
      </w:pPr>
    </w:p>
    <w:p>
      <w:pPr>
        <w:pStyle w:val="20"/>
        <w:framePr w:wrap="around" w:vAnchor="margin" w:hAnchor="text" w:y="1"/>
      </w:pPr>
    </w:p>
    <w:p>
      <w:pPr>
        <w:pStyle w:val="20"/>
        <w:framePr w:wrap="around" w:vAnchor="margin" w:hAnchor="text" w:y="1"/>
      </w:pPr>
    </w:p>
    <w:p>
      <w:pPr>
        <w:pStyle w:val="20"/>
        <w:framePr w:wrap="around" w:vAnchor="margin" w:hAnchor="text" w:y="1"/>
      </w:pPr>
    </w:p>
    <w:p>
      <w:pPr>
        <w:pStyle w:val="20"/>
        <w:framePr w:wrap="around" w:vAnchor="margin" w:hAnchor="text" w:y="1"/>
      </w:pPr>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地理标志产品 蕉岭绿茶</w:t>
      </w:r>
      <w:r>
        <w:fldChar w:fldCharType="end"/>
      </w:r>
      <w:bookmarkEnd w:id="4"/>
    </w:p>
    <w:p>
      <w:pPr>
        <w:pStyle w:val="21"/>
      </w:pPr>
      <w:bookmarkStart w:id="5"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t>Product of geographical indication</w:t>
      </w:r>
      <w:r>
        <w:rPr>
          <w:rFonts w:hint="eastAsia"/>
        </w:rPr>
        <w:t>—JiaoLing green</w:t>
      </w:r>
      <w:r>
        <w:t xml:space="preserve"> tea</w:t>
      </w:r>
      <w:r>
        <w:fldChar w:fldCharType="end"/>
      </w:r>
      <w:bookmarkEnd w:id="5"/>
    </w:p>
    <w:p>
      <w:pPr>
        <w:pStyle w:val="22"/>
      </w:pPr>
      <w:bookmarkStart w:id="6"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t>     </w:t>
      </w:r>
      <w:r>
        <w:fldChar w:fldCharType="end"/>
      </w:r>
      <w:bookmarkEnd w:id="6"/>
    </w:p>
    <w:tbl>
      <w:tblPr>
        <w:tblStyle w:val="5"/>
        <w:tblW w:w="98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vAlign w:val="top"/>
          </w:tcPr>
          <w:p>
            <w:pPr>
              <w:pStyle w:val="23"/>
            </w:pPr>
            <w:r>
              <w:rPr>
                <w:rFonts w:ascii="宋体" w:hAnsi="Times New Roman" w:eastAsia="宋体" w:cs="Times New Roman"/>
                <w:sz w:val="24"/>
                <w:szCs w:val="28"/>
                <w:lang w:val="en-US" w:eastAsia="zh-CN" w:bidi="ar-SA"/>
              </w:rPr>
              <w:pict>
                <v:rect id="RQ" o:spid="_x0000_s1028" style="position:absolute;left:0;margin-left:173.3pt;margin-top:337.15pt;height:20pt;width:150pt;rotation:0f;z-index:-251656192;" o:ole="f" fillcolor="#FFFFFF" filled="t" o:preferrelative="t" stroked="f" coordsize="21600,21600">
                  <v:imagedata gain="65536f" blacklevel="0f" gamma="0"/>
                  <o:lock v:ext="edit" position="f" selection="f" grouping="f" rotation="f" cropping="f" text="f" aspectratio="f"/>
                  <w10:anchorlock/>
                </v:rect>
              </w:pict>
            </w:r>
            <w:bookmarkStart w:id="7" w:name="LB"/>
            <w:r>
              <w:rPr>
                <w:rFonts w:ascii="宋体" w:hAnsi="Times New Roman" w:eastAsia="宋体" w:cs="Times New Roman"/>
                <w:sz w:val="24"/>
                <w:szCs w:val="28"/>
                <w:lang w:val="en-US" w:eastAsia="zh-CN" w:bidi="ar-SA"/>
              </w:rPr>
              <w:fldChar w:fldCharType="begin">
                <w:ffData>
                  <w:name w:val="LB"/>
                  <w:enabled/>
                  <w:calcOnExit w:val="0"/>
                  <w:ddList>
                    <w:listEntry w:val="（报批稿）"/>
                    <w:listEntry w:val="（工作组讨论稿）"/>
                    <w:listEntry w:val="（征求意见稿）"/>
                    <w:listEntry w:val="文稿版次选择"/>
                    <w:listEntry w:val="（送审讨论稿）"/>
                    <w:listEntry w:val="（送审稿）"/>
                  </w:ddList>
                </w:ffData>
              </w:fldChar>
            </w:r>
            <w:r>
              <w:rPr>
                <w:rFonts w:ascii="宋体" w:hAnsi="Times New Roman" w:eastAsia="宋体" w:cs="Times New Roman"/>
                <w:sz w:val="24"/>
                <w:szCs w:val="28"/>
                <w:lang w:val="en-US" w:eastAsia="zh-CN" w:bidi="ar-SA"/>
              </w:rPr>
              <w:instrText xml:space="preserve">FORMDROPDOWN</w:instrText>
            </w:r>
            <w:r>
              <w:rPr>
                <w:rFonts w:ascii="宋体" w:hAnsi="Times New Roman" w:eastAsia="宋体" w:cs="Times New Roman"/>
                <w:sz w:val="24"/>
                <w:szCs w:val="28"/>
                <w:lang w:val="en-US" w:eastAsia="zh-CN" w:bidi="ar-SA"/>
              </w:rPr>
              <w:fldChar w:fldCharType="separate"/>
            </w:r>
            <w:r>
              <w:rPr>
                <w:rFonts w:ascii="宋体" w:hAnsi="Times New Roman" w:eastAsia="宋体" w:cs="Times New Roman"/>
                <w:sz w:val="24"/>
                <w:szCs w:val="28"/>
                <w:lang w:val="en-US" w:eastAsia="zh-CN" w:bidi="ar-SA"/>
              </w:rPr>
              <w:fldChar w:fldCharType="end"/>
            </w:r>
            <w:bookmarkEnd w:id="7"/>
          </w:p>
        </w:tc>
        <w:bookmarkStart w:id="8" w:name="WCRQ"/>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vAlign w:val="top"/>
          </w:tcPr>
          <w:p>
            <w:pPr>
              <w:pStyle w:val="24"/>
            </w:pPr>
            <w:r>
              <w:fldChar w:fldCharType="begin">
                <w:ffData>
                  <w:name w:val="WCRQ"/>
                  <w:enabled/>
                  <w:calcOnExit w:val="0"/>
                  <w:textInput/>
                </w:ffData>
              </w:fldChar>
            </w:r>
            <w:r>
              <w:instrText xml:space="preserve"> FORMTEXT </w:instrText>
            </w:r>
            <w:r>
              <w:fldChar w:fldCharType="separate"/>
            </w:r>
            <w:r>
              <w:t>     </w:t>
            </w:r>
            <w:r>
              <w:fldChar w:fldCharType="end"/>
            </w:r>
            <w:bookmarkEnd w:id="8"/>
          </w:p>
        </w:tc>
      </w:tr>
    </w:tbl>
    <w:p>
      <w:pPr>
        <w:pStyle w:val="43"/>
      </w:pPr>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9"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发布</w:t>
      </w:r>
      <w:r>
        <w:rPr>
          <w:rFonts w:ascii="Times New Roman" w:hAnsi="Times New Roman" w:eastAsia="黑体" w:cs="Times New Roman"/>
          <w:sz w:val="28"/>
          <w:lang w:val="en-US" w:eastAsia="zh-CN" w:bidi="ar-SA"/>
        </w:rPr>
        <w:pict>
          <v:line id="Line 2" o:spid="_x0000_s1029" style="position:absolute;left:0;margin-left:0pt;margin-top:728.5pt;height:0.05pt;width:481.85pt;mso-position-vertical-relative:page;rotation:0f;z-index:251662336;" o:ole="f" fillcolor="#FFFFFF" filled="f" o:preferrelative="t" stroked="t" coordsize="21600,21600">
            <v:fill on="f" color2="#FFFFFF" focus="0%"/>
            <v:stroke color="#000000" color2="#FFFFFF" miterlimit="2"/>
            <v:imagedata gain="65536f" blacklevel="0f" gamma="0"/>
            <o:lock v:ext="edit" position="f" selection="f" grouping="f" rotation="f" cropping="f" text="f" aspectratio="f"/>
            <w10:anchorlock/>
          </v:line>
        </w:pict>
      </w:r>
    </w:p>
    <w:p>
      <w:pPr>
        <w:pStyle w:val="44"/>
      </w:pPr>
      <w:bookmarkStart w:id="10"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bookmarkStart w:id="11"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bookmarkStart w:id="12"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实施</w:t>
      </w:r>
    </w:p>
    <w:p>
      <w:pPr>
        <w:pStyle w:val="38"/>
      </w:pPr>
      <w:bookmarkStart w:id="13" w:name="fm"/>
      <w:r>
        <w:rPr>
          <w:rFonts w:ascii="黑体" w:hAnsi="Times New Roman" w:eastAsia="黑体" w:cs="Times New Roman"/>
          <w:spacing w:val="20"/>
          <w:w w:val="100"/>
          <w:sz w:val="28"/>
          <w:lang w:val="en-US" w:eastAsia="zh-CN" w:bidi="ar-SA"/>
        </w:rPr>
        <w:pict>
          <v:rect id="LB" o:spid="_x0000_s1030" style="position:absolute;left:0;margin-left:142.55pt;margin-top:-310.45pt;height:24.8pt;width:100pt;rotation:0f;z-index:-251657216;" o:ole="f" fillcolor="#FFFFFF" filled="t" o:preferrelative="t" stroked="f" coordsize="21600,21600">
            <v:imagedata gain="65536f" blacklevel="0f" gamma="0"/>
            <o:lock v:ext="edit" position="f" selection="f" grouping="f" rotation="f" cropping="f" text="f" aspectratio="f"/>
          </v:rect>
        </w:pict>
      </w:r>
      <w:r>
        <w:rPr>
          <w:rFonts w:ascii="黑体" w:hAnsi="Times New Roman" w:eastAsia="黑体" w:cs="Times New Roman"/>
          <w:spacing w:val="20"/>
          <w:w w:val="100"/>
          <w:sz w:val="28"/>
          <w:lang w:val="en-US" w:eastAsia="zh-CN" w:bidi="ar-SA"/>
        </w:rPr>
        <w:pict>
          <v:rect id="DT" o:spid="_x0000_s1031" style="position:absolute;left:0;margin-left:347.55pt;margin-top:-585.45pt;height:18.8pt;width:90pt;rotation:0f;z-index:-251658240;" o:ole="f" fillcolor="#FFFFFF" filled="t" o:preferrelative="t" stroked="f" coordsize="21600,21600">
            <v:imagedata gain="65536f" blacklevel="0f" gamma="0"/>
            <o:lock v:ext="edit" position="f" selection="f" grouping="f" rotation="f" cropping="f" text="f" aspectratio="f"/>
          </v:rect>
        </w:pict>
      </w:r>
      <w:r>
        <w:rPr>
          <w:rFonts w:ascii="黑体" w:hAnsi="Times New Roman" w:eastAsia="黑体" w:cs="Times New Roman"/>
          <w:spacing w:val="20"/>
          <w:w w:val="100"/>
          <w:sz w:val="28"/>
          <w:lang w:val="en-US" w:eastAsia="zh-CN" w:bidi="ar-SA"/>
        </w:rPr>
        <w:pict>
          <v:line id="Line 3" o:spid="_x0000_s1032" style="position:absolute;left:0;margin-left:-36.5pt;margin-top:-552.75pt;height:0.75pt;width:481.8pt;rotation:0f;z-index:251663360;"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fldChar w:fldCharType="begin">
          <w:ffData>
            <w:name w:val="fm"/>
            <w:enabled/>
            <w:calcOnExit w:val="0"/>
            <w:textInput/>
          </w:ffData>
        </w:fldChar>
      </w:r>
      <w:r>
        <w:instrText xml:space="preserve"> FORMTEXT </w:instrText>
      </w:r>
      <w:r>
        <w:fldChar w:fldCharType="separate"/>
      </w:r>
      <w:r>
        <w:rPr>
          <w:rFonts w:hint="eastAsia"/>
        </w:rPr>
        <w:t>梅州市市场监督管理局</w:t>
      </w:r>
      <w:r>
        <w:fldChar w:fldCharType="end"/>
      </w:r>
      <w:bookmarkEnd w:id="13"/>
      <w:r>
        <w:t>   </w:t>
      </w:r>
      <w:r>
        <w:rPr>
          <w:rStyle w:val="48"/>
          <w:rFonts w:hint="eastAsia"/>
        </w:rPr>
        <w:t>发布</w:t>
      </w:r>
    </w:p>
    <w:p>
      <w:pPr>
        <w:pStyle w:val="39"/>
        <w:rPr>
          <w:sz w:val="44"/>
          <w:szCs w:val="44"/>
        </w:rPr>
      </w:pPr>
      <w:r>
        <w:rPr>
          <w:rFonts w:hint="eastAsia"/>
          <w:sz w:val="44"/>
          <w:szCs w:val="44"/>
        </w:rPr>
        <w:t>前</w:t>
      </w:r>
      <w:bookmarkStart w:id="14" w:name="BKQY"/>
      <w:r>
        <w:rPr>
          <w:rFonts w:hint="eastAsia"/>
          <w:sz w:val="44"/>
          <w:szCs w:val="44"/>
        </w:rPr>
        <w:t>  言</w:t>
      </w:r>
      <w:bookmarkEnd w:id="14"/>
    </w:p>
    <w:p>
      <w:pPr>
        <w:pStyle w:val="6"/>
      </w:pPr>
      <w:r>
        <w:rPr>
          <w:rFonts w:hint="eastAsia"/>
        </w:rPr>
        <w:t>本标准按照GB/T 1.1</w:t>
      </w:r>
      <w:bookmarkStart w:id="15" w:name="_GoBack"/>
      <w:bookmarkEnd w:id="15"/>
      <w:r>
        <w:rPr>
          <w:rFonts w:hint="eastAsia"/>
        </w:rPr>
        <w:t>《标准化工作导则 第1部分：标准的结构和编写》给出的规则编写。</w:t>
      </w:r>
    </w:p>
    <w:p>
      <w:pPr>
        <w:pStyle w:val="6"/>
      </w:pPr>
      <w:r>
        <w:rPr>
          <w:rFonts w:hint="eastAsia"/>
        </w:rPr>
        <w:t>本标准根据国家质量监督检验检疫总局颁布的《地理标志产品保护规定》和GB/T 17924《地理标志产品标准通用要求》而制定。</w:t>
      </w:r>
    </w:p>
    <w:p>
      <w:pPr>
        <w:pStyle w:val="6"/>
      </w:pPr>
      <w:r>
        <w:rPr>
          <w:rFonts w:hint="eastAsia"/>
        </w:rPr>
        <w:t>本标准由梅州市市场监督管理局提出并归口。</w:t>
      </w:r>
    </w:p>
    <w:p>
      <w:pPr>
        <w:pStyle w:val="6"/>
      </w:pPr>
      <w:r>
        <w:rPr>
          <w:rFonts w:hint="eastAsia"/>
        </w:rPr>
        <w:t>本标准起草单位：蕉岭县星森茶厂、蕉岭县市场监督管理局。</w:t>
      </w:r>
    </w:p>
    <w:p>
      <w:pPr>
        <w:pStyle w:val="6"/>
      </w:pPr>
      <w:r>
        <w:rPr>
          <w:rFonts w:hint="eastAsia"/>
        </w:rPr>
        <w:t>本标准主要起草人： 刘文龙、曾海明、黄文敏、刘达忠、肖宇珍。</w:t>
      </w:r>
    </w:p>
    <w:p>
      <w:pPr>
        <w:pStyle w:val="6"/>
        <w:sectPr>
          <w:footerReference r:id="rId8" w:type="first"/>
          <w:headerReference r:id="rId4" w:type="default"/>
          <w:footerReference r:id="rId6" w:type="default"/>
          <w:headerReference r:id="rId5" w:type="even"/>
          <w:footerReference r:id="rId7" w:type="even"/>
          <w:pgSz w:w="11906" w:h="16838"/>
          <w:pgMar w:top="567" w:right="1134" w:bottom="567" w:left="1134" w:header="851" w:footer="992" w:gutter="0"/>
          <w:cols w:space="720" w:num="1"/>
          <w:docGrid w:type="lines" w:linePitch="312" w:charSpace="0"/>
        </w:sectPr>
      </w:pPr>
      <w:r>
        <w:rPr>
          <w:rFonts w:hint="eastAsia"/>
        </w:rPr>
        <w:t>本标准为首次发布。</w:t>
      </w:r>
    </w:p>
    <w:p>
      <w:pPr>
        <w:pStyle w:val="13"/>
        <w:rPr>
          <w:sz w:val="44"/>
          <w:szCs w:val="44"/>
        </w:rPr>
      </w:pPr>
      <w:r>
        <w:rPr>
          <w:rFonts w:hint="eastAsia"/>
          <w:sz w:val="44"/>
          <w:szCs w:val="44"/>
        </w:rPr>
        <w:t>地理标志产品 蕉岭绿茶</w:t>
      </w:r>
    </w:p>
    <w:p>
      <w:pPr>
        <w:pStyle w:val="10"/>
        <w:spacing w:before="312" w:after="312"/>
      </w:pPr>
      <w:r>
        <w:rPr>
          <w:rFonts w:hint="eastAsia"/>
        </w:rPr>
        <w:t>范围</w:t>
      </w:r>
    </w:p>
    <w:p>
      <w:pPr>
        <w:pStyle w:val="6"/>
      </w:pPr>
      <w:r>
        <w:rPr>
          <w:rFonts w:hint="eastAsia"/>
        </w:rPr>
        <w:t>本标准规定了地理标志产品蕉岭绿茶的保护范围、术语和定义、生产技术、要求、试验方法及标志、标签、包装、运输</w:t>
      </w:r>
      <w:r>
        <w:rPr>
          <w:rFonts w:hint="eastAsia"/>
          <w:lang w:eastAsia="zh-CN"/>
        </w:rPr>
        <w:t>和</w:t>
      </w:r>
      <w:r>
        <w:rPr>
          <w:rFonts w:hint="eastAsia"/>
        </w:rPr>
        <w:t>贮存。</w:t>
      </w:r>
    </w:p>
    <w:p>
      <w:pPr>
        <w:pStyle w:val="6"/>
      </w:pPr>
      <w:r>
        <w:rPr>
          <w:rFonts w:hint="eastAsia"/>
        </w:rPr>
        <w:t>本标准适用于国家质量监督检验检疫总局2016年第128号</w:t>
      </w:r>
      <w:r>
        <w:rPr>
          <w:rFonts w:hint="eastAsia" w:ascii="仿宋_GB2312" w:hAnsi="宋体" w:eastAsia="仿宋_GB2312"/>
          <w:sz w:val="28"/>
          <w:szCs w:val="28"/>
        </w:rPr>
        <w:t>《</w:t>
      </w:r>
      <w:r>
        <w:rPr>
          <w:rFonts w:hint="eastAsia" w:hAnsi="宋体"/>
          <w:szCs w:val="21"/>
        </w:rPr>
        <w:t>质检总局关于对涉县柴胡等70个产品实施国家地理标志产品保护的公告》</w:t>
      </w:r>
      <w:r>
        <w:rPr>
          <w:rFonts w:hint="eastAsia"/>
        </w:rPr>
        <w:t>批准保护的蕉岭绿茶。</w:t>
      </w:r>
    </w:p>
    <w:p>
      <w:pPr>
        <w:pStyle w:val="10"/>
        <w:spacing w:before="312" w:after="312"/>
      </w:pPr>
      <w:r>
        <w:rPr>
          <w:rFonts w:hint="eastAsia"/>
        </w:rPr>
        <w:t>规范性引用文件</w:t>
      </w:r>
    </w:p>
    <w:p>
      <w:pPr>
        <w:pStyle w:val="6"/>
      </w:pPr>
      <w:r>
        <w:rPr>
          <w:rFonts w:hint="eastAsia"/>
        </w:rPr>
        <w:t>下列文件对于本文件的应用是必不可少的。凡是注日期的引用文件，仅所注日期的版本适用于本文件。凡是不注日期的引用文件，其最新版本（包括所有的修改单）适用于本文件。</w:t>
      </w:r>
    </w:p>
    <w:p>
      <w:pPr>
        <w:pStyle w:val="6"/>
        <w:rPr>
          <w:rFonts w:ascii="宋体" w:hAnsi="宋体" w:eastAsia="宋体"/>
          <w:szCs w:val="21"/>
        </w:rPr>
      </w:pPr>
      <w:r>
        <w:rPr>
          <w:rFonts w:hint="eastAsia" w:ascii="宋体" w:hAnsi="宋体" w:eastAsia="宋体"/>
          <w:szCs w:val="21"/>
        </w:rPr>
        <w:t>GB/T 191 包装储运图示标志</w:t>
      </w:r>
    </w:p>
    <w:p>
      <w:pPr>
        <w:pStyle w:val="6"/>
        <w:rPr>
          <w:rFonts w:ascii="宋体" w:hAnsi="宋体" w:eastAsia="宋体"/>
          <w:szCs w:val="21"/>
        </w:rPr>
      </w:pPr>
      <w:r>
        <w:rPr>
          <w:rFonts w:hint="eastAsia" w:ascii="宋体" w:hAnsi="宋体" w:eastAsia="宋体"/>
          <w:szCs w:val="21"/>
        </w:rPr>
        <w:t>GB 2762 食品安全国家标准 食品中污染物限量</w:t>
      </w:r>
    </w:p>
    <w:p>
      <w:pPr>
        <w:pStyle w:val="6"/>
        <w:rPr>
          <w:rFonts w:ascii="宋体" w:hAnsi="宋体" w:eastAsia="宋体"/>
          <w:szCs w:val="21"/>
        </w:rPr>
      </w:pPr>
      <w:r>
        <w:rPr>
          <w:rFonts w:hint="eastAsia" w:ascii="宋体" w:hAnsi="宋体" w:eastAsia="宋体"/>
          <w:szCs w:val="21"/>
        </w:rPr>
        <w:t>GB 2763 食品安全国家标准 食品中农药最大残留限量</w:t>
      </w:r>
    </w:p>
    <w:p>
      <w:pPr>
        <w:pStyle w:val="6"/>
        <w:rPr>
          <w:rFonts w:ascii="宋体" w:hAnsi="宋体" w:eastAsia="宋体"/>
          <w:szCs w:val="21"/>
        </w:rPr>
      </w:pPr>
      <w:r>
        <w:rPr>
          <w:rFonts w:hint="eastAsia" w:ascii="宋体" w:hAnsi="宋体" w:eastAsia="宋体"/>
          <w:szCs w:val="21"/>
        </w:rPr>
        <w:t>GB 5009.3 食品安全国家标准 食品中水分的测定</w:t>
      </w:r>
    </w:p>
    <w:p>
      <w:pPr>
        <w:pStyle w:val="6"/>
        <w:rPr>
          <w:rFonts w:ascii="宋体" w:hAnsi="宋体" w:eastAsia="宋体"/>
          <w:szCs w:val="21"/>
        </w:rPr>
      </w:pPr>
      <w:r>
        <w:rPr>
          <w:rFonts w:hint="eastAsia" w:ascii="宋体" w:hAnsi="宋体" w:eastAsia="宋体"/>
          <w:szCs w:val="21"/>
        </w:rPr>
        <w:t>GB 7718 食品安全国家标准 预包装食品标签通则</w:t>
      </w:r>
    </w:p>
    <w:p>
      <w:pPr>
        <w:pStyle w:val="6"/>
        <w:rPr>
          <w:rFonts w:ascii="宋体" w:hAnsi="宋体" w:eastAsia="宋体"/>
          <w:szCs w:val="21"/>
        </w:rPr>
      </w:pPr>
      <w:r>
        <w:rPr>
          <w:rFonts w:hint="eastAsia" w:ascii="宋体" w:hAnsi="宋体" w:eastAsia="宋体"/>
          <w:szCs w:val="21"/>
        </w:rPr>
        <w:t>GB/T 8302 茶 取样</w:t>
      </w:r>
    </w:p>
    <w:p>
      <w:pPr>
        <w:pStyle w:val="6"/>
        <w:rPr>
          <w:rFonts w:ascii="宋体" w:hAnsi="宋体" w:eastAsia="宋体"/>
          <w:szCs w:val="21"/>
        </w:rPr>
      </w:pPr>
      <w:r>
        <w:rPr>
          <w:rFonts w:hint="eastAsia" w:ascii="宋体" w:hAnsi="宋体" w:eastAsia="宋体"/>
          <w:szCs w:val="21"/>
        </w:rPr>
        <w:t>GB/T 8303 茶 磨碎试样的制备及其干物质含量测定</w:t>
      </w:r>
    </w:p>
    <w:p>
      <w:pPr>
        <w:pStyle w:val="6"/>
        <w:rPr>
          <w:rFonts w:ascii="宋体" w:hAnsi="宋体" w:eastAsia="宋体"/>
          <w:szCs w:val="21"/>
        </w:rPr>
      </w:pPr>
      <w:r>
        <w:rPr>
          <w:rFonts w:hint="eastAsia" w:ascii="宋体" w:hAnsi="宋体" w:eastAsia="宋体"/>
          <w:szCs w:val="21"/>
        </w:rPr>
        <w:t>GB/T 8305 茶 水浸出物测定</w:t>
      </w:r>
    </w:p>
    <w:p>
      <w:pPr>
        <w:pStyle w:val="6"/>
        <w:rPr>
          <w:rFonts w:ascii="宋体" w:hAnsi="宋体" w:eastAsia="宋体"/>
          <w:szCs w:val="21"/>
        </w:rPr>
      </w:pPr>
      <w:r>
        <w:rPr>
          <w:rFonts w:hint="eastAsia" w:ascii="宋体" w:hAnsi="宋体" w:eastAsia="宋体"/>
          <w:szCs w:val="21"/>
        </w:rPr>
        <w:t>GB/T 8321 农药合理使用准则</w:t>
      </w:r>
      <w:r>
        <w:rPr>
          <w:rFonts w:hint="eastAsia" w:hAnsi="宋体"/>
          <w:szCs w:val="21"/>
          <w:lang w:val="en-US" w:eastAsia="zh-CN"/>
        </w:rPr>
        <w:t>(所有部分)</w:t>
      </w:r>
    </w:p>
    <w:p>
      <w:pPr>
        <w:pStyle w:val="6"/>
        <w:rPr>
          <w:rFonts w:ascii="宋体" w:hAnsi="宋体" w:eastAsia="宋体"/>
          <w:szCs w:val="21"/>
        </w:rPr>
      </w:pPr>
      <w:r>
        <w:rPr>
          <w:rFonts w:hint="eastAsia" w:ascii="宋体" w:hAnsi="宋体" w:eastAsia="宋体"/>
          <w:szCs w:val="21"/>
        </w:rPr>
        <w:t xml:space="preserve">GB/T 14487 </w:t>
      </w:r>
      <w:r>
        <w:rPr>
          <w:rFonts w:ascii="宋体" w:hAnsi="宋体" w:eastAsia="宋体" w:cs="Arial"/>
          <w:color w:val="000000"/>
          <w:szCs w:val="21"/>
        </w:rPr>
        <w:t>茶叶感官审评术语</w:t>
      </w:r>
    </w:p>
    <w:p>
      <w:pPr>
        <w:pStyle w:val="6"/>
        <w:rPr>
          <w:rFonts w:ascii="宋体" w:hAnsi="宋体" w:eastAsia="宋体"/>
          <w:szCs w:val="21"/>
        </w:rPr>
      </w:pPr>
      <w:r>
        <w:rPr>
          <w:rFonts w:hint="eastAsia" w:ascii="宋体" w:hAnsi="宋体" w:eastAsia="宋体"/>
          <w:szCs w:val="21"/>
        </w:rPr>
        <w:t>GB 14881 食品企业通用卫生规范</w:t>
      </w:r>
    </w:p>
    <w:p>
      <w:pPr>
        <w:pStyle w:val="6"/>
        <w:rPr>
          <w:rFonts w:ascii="宋体" w:hAnsi="宋体" w:eastAsia="宋体"/>
          <w:szCs w:val="21"/>
        </w:rPr>
      </w:pPr>
      <w:r>
        <w:rPr>
          <w:rFonts w:hint="eastAsia" w:ascii="宋体" w:hAnsi="宋体" w:eastAsia="宋体"/>
          <w:szCs w:val="21"/>
        </w:rPr>
        <w:t xml:space="preserve">GB/T 18795 </w:t>
      </w:r>
      <w:r>
        <w:rPr>
          <w:rFonts w:ascii="宋体" w:hAnsi="宋体" w:eastAsia="宋体" w:cs="Arial"/>
          <w:color w:val="000000"/>
          <w:szCs w:val="21"/>
        </w:rPr>
        <w:t>茶叶标准样品制备技术条件</w:t>
      </w:r>
    </w:p>
    <w:p>
      <w:pPr>
        <w:pStyle w:val="6"/>
        <w:rPr>
          <w:rFonts w:ascii="宋体" w:hAnsi="宋体" w:eastAsia="宋体"/>
          <w:szCs w:val="21"/>
        </w:rPr>
      </w:pPr>
      <w:r>
        <w:rPr>
          <w:rFonts w:hint="eastAsia" w:ascii="宋体" w:hAnsi="宋体" w:eastAsia="宋体"/>
          <w:szCs w:val="21"/>
        </w:rPr>
        <w:t>GB/T 23776 茶叶感官审评办法</w:t>
      </w:r>
    </w:p>
    <w:p>
      <w:pPr>
        <w:pStyle w:val="6"/>
        <w:rPr>
          <w:rFonts w:ascii="宋体" w:hAnsi="宋体" w:eastAsia="宋体"/>
          <w:szCs w:val="21"/>
        </w:rPr>
      </w:pPr>
      <w:r>
        <w:rPr>
          <w:rFonts w:hint="eastAsia" w:ascii="宋体" w:hAnsi="宋体" w:eastAsia="宋体"/>
          <w:szCs w:val="21"/>
        </w:rPr>
        <w:t>GH/T 1070 茶叶包装通则</w:t>
      </w:r>
    </w:p>
    <w:p>
      <w:pPr>
        <w:pStyle w:val="6"/>
        <w:rPr>
          <w:rFonts w:ascii="宋体" w:hAnsi="宋体" w:eastAsia="宋体"/>
          <w:szCs w:val="21"/>
        </w:rPr>
      </w:pPr>
      <w:r>
        <w:rPr>
          <w:rFonts w:hint="eastAsia" w:ascii="宋体" w:hAnsi="宋体" w:eastAsia="宋体"/>
          <w:szCs w:val="21"/>
        </w:rPr>
        <w:t xml:space="preserve">GH/T 1071 </w:t>
      </w:r>
      <w:r>
        <w:rPr>
          <w:rFonts w:ascii="宋体" w:hAnsi="宋体" w:eastAsia="宋体" w:cs="Arial"/>
          <w:color w:val="000000"/>
          <w:szCs w:val="21"/>
        </w:rPr>
        <w:t>茶叶</w:t>
      </w:r>
      <w:r>
        <w:rPr>
          <w:rFonts w:hint="eastAsia" w:ascii="宋体" w:hAnsi="宋体" w:eastAsia="宋体" w:cs="Arial"/>
          <w:color w:val="000000"/>
          <w:szCs w:val="21"/>
        </w:rPr>
        <w:t>储存通则</w:t>
      </w:r>
    </w:p>
    <w:p>
      <w:pPr>
        <w:pStyle w:val="6"/>
        <w:rPr>
          <w:rFonts w:ascii="宋体" w:hAnsi="宋体" w:eastAsia="宋体"/>
          <w:szCs w:val="21"/>
        </w:rPr>
      </w:pPr>
      <w:r>
        <w:rPr>
          <w:rFonts w:hint="eastAsia" w:ascii="宋体" w:hAnsi="宋体" w:eastAsia="宋体"/>
          <w:szCs w:val="21"/>
        </w:rPr>
        <w:t>JJF 1070 定量包装商品净含量计量检验规则</w:t>
      </w:r>
    </w:p>
    <w:p>
      <w:pPr>
        <w:pStyle w:val="6"/>
        <w:rPr>
          <w:rFonts w:ascii="宋体" w:hAnsi="宋体" w:eastAsia="宋体"/>
          <w:szCs w:val="21"/>
        </w:rPr>
      </w:pPr>
      <w:r>
        <w:rPr>
          <w:rFonts w:hint="eastAsia" w:ascii="宋体" w:hAnsi="宋体" w:eastAsia="宋体"/>
          <w:szCs w:val="21"/>
        </w:rPr>
        <w:t>国家质量监督检验检疫总局[2005]75号令 《定量包装商品计量监督管理办法》</w:t>
      </w:r>
    </w:p>
    <w:p>
      <w:pPr>
        <w:pStyle w:val="6"/>
        <w:rPr>
          <w:rFonts w:ascii="宋体" w:hAnsi="宋体" w:eastAsia="宋体"/>
          <w:szCs w:val="21"/>
        </w:rPr>
      </w:pPr>
      <w:r>
        <w:rPr>
          <w:rFonts w:hint="eastAsia" w:ascii="宋体" w:hAnsi="宋体" w:eastAsia="宋体"/>
          <w:szCs w:val="21"/>
        </w:rPr>
        <w:t>国家质量监督检验检疫总局公告[2005]151号《中华人民共和国地理标志保护产品专用标志》</w:t>
      </w:r>
    </w:p>
    <w:p>
      <w:pPr>
        <w:pStyle w:val="10"/>
        <w:spacing w:before="312" w:after="312"/>
      </w:pPr>
      <w:r>
        <w:rPr>
          <w:rFonts w:hint="eastAsia"/>
        </w:rPr>
        <w:t>地理标志产品保护范围</w:t>
      </w:r>
    </w:p>
    <w:p>
      <w:pPr>
        <w:pStyle w:val="6"/>
      </w:pPr>
      <w:r>
        <w:rPr>
          <w:rFonts w:hint="eastAsia"/>
        </w:rPr>
        <w:t>地理标志产品蕉岭绿茶的保护范围限于国家质量监督检验检疫总局根据《地理标志产品保护规定》批准的范围，即为广东省梅州市蕉岭县现辖行政区域，见附录A。</w:t>
      </w:r>
    </w:p>
    <w:p>
      <w:pPr>
        <w:pStyle w:val="10"/>
        <w:spacing w:before="312" w:after="312"/>
      </w:pPr>
      <w:r>
        <w:rPr>
          <w:rFonts w:hint="eastAsia"/>
        </w:rPr>
        <w:t>术语和定义</w:t>
      </w:r>
    </w:p>
    <w:p>
      <w:pPr>
        <w:pStyle w:val="6"/>
      </w:pPr>
      <w:r>
        <w:t>GB/T 17924</w:t>
      </w:r>
      <w:r>
        <w:rPr>
          <w:rFonts w:hint="eastAsia"/>
        </w:rPr>
        <w:t>界定的以下术语和定义适用于本标准。</w:t>
      </w:r>
    </w:p>
    <w:p>
      <w:pPr>
        <w:pStyle w:val="7"/>
        <w:spacing w:before="156" w:after="156"/>
      </w:pPr>
      <w:r>
        <w:rPr>
          <w:rFonts w:hint="eastAsia"/>
        </w:rPr>
        <w:t>蕉岭绿茶JiaoLing green tea</w:t>
      </w:r>
    </w:p>
    <w:p>
      <w:pPr>
        <w:ind w:right="-62" w:firstLine="420" w:firstLineChars="200"/>
        <w:rPr>
          <w:rFonts w:ascii="宋体" w:eastAsia="宋体" w:cs="宋体"/>
          <w:sz w:val="21"/>
          <w:szCs w:val="21"/>
        </w:rPr>
      </w:pPr>
      <w:r>
        <w:rPr>
          <w:rFonts w:hint="eastAsia" w:ascii="宋体" w:eastAsia="宋体" w:cs="宋体"/>
          <w:sz w:val="21"/>
          <w:szCs w:val="21"/>
        </w:rPr>
        <w:t>在地理标志产品产地范围内采摘的茶树鲜叶，经摊放→杀青→揉捻→干燥→拣剔和复火等工艺过程制成的具有“外形条索紧结，有锋苗，色泽绿润，干茶有浓郁的清香气味。汤色黄绿明亮，香气清香持久，滋味香醇甘滑，回甘持久，叶底绿亮，耐冲泡”的蕉岭绿茶。</w:t>
      </w:r>
    </w:p>
    <w:p>
      <w:pPr>
        <w:pStyle w:val="10"/>
        <w:spacing w:before="312" w:after="312"/>
      </w:pPr>
      <w:r>
        <w:rPr>
          <w:rFonts w:hint="eastAsia"/>
        </w:rPr>
        <w:t>生产技术</w:t>
      </w:r>
    </w:p>
    <w:p>
      <w:pPr>
        <w:pStyle w:val="7"/>
        <w:spacing w:before="156" w:after="156"/>
      </w:pPr>
      <w:r>
        <w:rPr>
          <w:rFonts w:hint="eastAsia"/>
        </w:rPr>
        <w:t>生长环境</w:t>
      </w:r>
    </w:p>
    <w:p>
      <w:pPr>
        <w:pStyle w:val="10"/>
        <w:numPr>
          <w:ilvl w:val="0"/>
          <w:numId w:val="0"/>
        </w:numPr>
        <w:spacing w:before="312" w:after="312"/>
      </w:pPr>
      <w:r>
        <w:rPr>
          <w:rFonts w:hint="eastAsia"/>
        </w:rPr>
        <w:t>5.1.1自然环境</w:t>
      </w:r>
    </w:p>
    <w:p>
      <w:pPr>
        <w:pStyle w:val="10"/>
        <w:numPr>
          <w:ilvl w:val="0"/>
          <w:numId w:val="0"/>
        </w:numPr>
        <w:spacing w:before="312" w:after="312"/>
        <w:ind w:firstLine="210" w:firstLineChars="100"/>
        <w:rPr>
          <w:rFonts w:ascii="宋体" w:hAnsi="宋体" w:eastAsia="宋体" w:cs="宋体"/>
          <w:szCs w:val="21"/>
        </w:rPr>
      </w:pPr>
      <w:r>
        <w:rPr>
          <w:rFonts w:hint="eastAsia" w:ascii="宋体" w:hAnsi="宋体" w:eastAsia="宋体" w:cs="宋体"/>
          <w:szCs w:val="21"/>
        </w:rPr>
        <w:t>蕉岭绿茶产区位于蕉岭县属亚热带地区海洋性季风气候，夏长冬短，气候温和，雨季长，光照充足，雨量充沛。境内山峦起伏，林木葱郁，空气清新，水资源丰富，水质清澈甘甜。位置在海拔千米以上的有金山笔、皇佑笔、铁山嶂、大峰嶂、小峰笔、樟坑岌，全县位于东经116°01′～116°22′，北纬24°25′～24°53′。全年平均气温21.7℃，年平均降雨量1304mm左右。</w:t>
      </w:r>
    </w:p>
    <w:p>
      <w:pPr>
        <w:pStyle w:val="11"/>
        <w:numPr>
          <w:ilvl w:val="2"/>
          <w:numId w:val="0"/>
        </w:numPr>
        <w:spacing w:before="156" w:after="156"/>
      </w:pPr>
      <w:r>
        <w:rPr>
          <w:rFonts w:hint="eastAsia"/>
        </w:rPr>
        <w:t>5.1.2 立地条件</w:t>
      </w:r>
    </w:p>
    <w:p>
      <w:pPr>
        <w:pStyle w:val="6"/>
      </w:pPr>
      <w:r>
        <w:rPr>
          <w:rFonts w:hint="eastAsia"/>
        </w:rPr>
        <w:t>海拔≥530m，土壤类型为红壤土、砾土，土壤pH值为5.4至6.7，土壤中含有有机质含量≥1.5％，土层厚度≥1.5m,地下水位≤1.0m。</w:t>
      </w:r>
    </w:p>
    <w:p>
      <w:pPr>
        <w:pStyle w:val="7"/>
        <w:spacing w:before="156" w:after="156"/>
      </w:pPr>
      <w:r>
        <w:rPr>
          <w:rFonts w:hint="eastAsia"/>
        </w:rPr>
        <w:t>栽培技术</w:t>
      </w:r>
    </w:p>
    <w:p>
      <w:pPr>
        <w:pStyle w:val="11"/>
        <w:numPr>
          <w:ilvl w:val="2"/>
          <w:numId w:val="0"/>
        </w:numPr>
        <w:spacing w:before="156" w:after="156"/>
      </w:pPr>
      <w:r>
        <w:rPr>
          <w:rFonts w:hint="eastAsia"/>
        </w:rPr>
        <w:t>5.2.1</w:t>
      </w:r>
      <w:r>
        <w:rPr>
          <w:rFonts w:hint="eastAsia"/>
          <w:lang w:val="en-US" w:eastAsia="zh-CN"/>
        </w:rPr>
        <w:t xml:space="preserve"> </w:t>
      </w:r>
      <w:r>
        <w:rPr>
          <w:rFonts w:hint="eastAsia"/>
        </w:rPr>
        <w:t>茶树品种</w:t>
      </w:r>
    </w:p>
    <w:p>
      <w:pPr>
        <w:widowControl/>
        <w:autoSpaceDE w:val="0"/>
        <w:autoSpaceDN w:val="0"/>
        <w:spacing w:line="320" w:lineRule="exact"/>
        <w:ind w:firstLine="420" w:firstLineChars="200"/>
        <w:rPr>
          <w:rFonts w:ascii="宋体" w:hAnsi="宋体" w:eastAsia="宋体" w:cs="宋体"/>
          <w:sz w:val="21"/>
          <w:szCs w:val="21"/>
        </w:rPr>
      </w:pPr>
      <w:r>
        <w:rPr>
          <w:rFonts w:hint="eastAsia" w:ascii="宋体" w:hAnsi="宋体" w:eastAsia="宋体" w:cs="宋体"/>
          <w:sz w:val="21"/>
          <w:szCs w:val="21"/>
        </w:rPr>
        <w:t>水仙、小叶乌龙。</w:t>
      </w:r>
    </w:p>
    <w:p>
      <w:pPr>
        <w:pStyle w:val="11"/>
        <w:numPr>
          <w:ilvl w:val="2"/>
          <w:numId w:val="0"/>
        </w:numPr>
        <w:spacing w:before="156" w:after="156"/>
        <w:rPr>
          <w:rFonts w:ascii="宋体" w:hAnsi="宋体" w:eastAsia="宋体"/>
        </w:rPr>
      </w:pPr>
      <w:r>
        <w:rPr>
          <w:rFonts w:hint="eastAsia"/>
        </w:rPr>
        <w:t>5.2.2</w:t>
      </w:r>
      <w:r>
        <w:rPr>
          <w:rFonts w:hint="eastAsia"/>
          <w:lang w:val="en-US" w:eastAsia="zh-CN"/>
        </w:rPr>
        <w:t xml:space="preserve"> </w:t>
      </w:r>
      <w:r>
        <w:rPr>
          <w:rFonts w:hint="eastAsia"/>
        </w:rPr>
        <w:t>育苗：</w:t>
      </w:r>
      <w:r>
        <w:rPr>
          <w:rFonts w:hint="eastAsia" w:ascii="宋体" w:hAnsi="宋体" w:eastAsia="宋体"/>
        </w:rPr>
        <w:t>采用扦插育苗。</w:t>
      </w:r>
    </w:p>
    <w:p>
      <w:pPr>
        <w:pStyle w:val="14"/>
        <w:spacing w:beforeLines="0" w:afterLines="0"/>
        <w:rPr>
          <w:rFonts w:ascii="宋体" w:hAnsi="宋体" w:eastAsia="宋体"/>
        </w:rPr>
      </w:pPr>
      <w:r>
        <w:rPr>
          <w:rFonts w:hint="eastAsia"/>
        </w:rPr>
        <w:t>5.2.3  定植：</w:t>
      </w:r>
      <w:r>
        <w:rPr>
          <w:rFonts w:hint="eastAsia" w:ascii="宋体" w:hAnsi="宋体" w:eastAsia="宋体"/>
        </w:rPr>
        <w:t>茶苗移栽在晚秋或早春，种植密度≤45000株／公顷。</w:t>
      </w:r>
    </w:p>
    <w:p>
      <w:pPr>
        <w:pStyle w:val="14"/>
        <w:spacing w:beforeLines="0" w:afterLines="0"/>
      </w:pPr>
      <w:r>
        <w:rPr>
          <w:rFonts w:hint="eastAsia"/>
        </w:rPr>
        <w:t xml:space="preserve">5.2.4  </w:t>
      </w:r>
      <w:r>
        <w:rPr>
          <w:rFonts w:hint="eastAsia" w:hAnsi="宋体"/>
        </w:rPr>
        <w:t>茶园施肥：</w:t>
      </w:r>
      <w:r>
        <w:rPr>
          <w:rFonts w:hint="eastAsia" w:ascii="宋体" w:hAnsi="宋体" w:eastAsia="宋体"/>
        </w:rPr>
        <w:t>每年施腐熟的有机肥≥12吨／公顷。</w:t>
      </w:r>
    </w:p>
    <w:p>
      <w:pPr>
        <w:pStyle w:val="14"/>
        <w:spacing w:beforeLines="0" w:afterLines="0"/>
      </w:pPr>
      <w:r>
        <w:rPr>
          <w:rFonts w:hint="eastAsia"/>
        </w:rPr>
        <w:t>5.2.5  农药使用</w:t>
      </w:r>
    </w:p>
    <w:p>
      <w:pPr>
        <w:pStyle w:val="6"/>
        <w:rPr>
          <w:rFonts w:hint="eastAsia"/>
        </w:rPr>
      </w:pPr>
      <w:r>
        <w:rPr>
          <w:rFonts w:hint="eastAsia"/>
        </w:rPr>
        <w:t>使用农药应严格遵循GB/T 8321的规定，不得使用国家明令禁止的农药，不得污染环境。</w:t>
      </w:r>
    </w:p>
    <w:p>
      <w:pPr>
        <w:pStyle w:val="11"/>
        <w:numPr>
          <w:ilvl w:val="2"/>
          <w:numId w:val="0"/>
        </w:numPr>
        <w:spacing w:before="156" w:after="156"/>
        <w:rPr>
          <w:rFonts w:hint="eastAsia" w:ascii="黑体" w:hAnsi="黑体" w:eastAsia="黑体" w:cs="黑体"/>
          <w:sz w:val="21"/>
          <w:szCs w:val="21"/>
        </w:rPr>
      </w:pPr>
      <w:r>
        <w:rPr>
          <w:rFonts w:hint="eastAsia" w:ascii="黑体" w:hAnsi="黑体" w:eastAsia="黑体" w:cs="黑体"/>
          <w:sz w:val="21"/>
          <w:szCs w:val="21"/>
          <w:lang w:val="en-US" w:eastAsia="zh-CN"/>
        </w:rPr>
        <w:t xml:space="preserve">5.3 </w:t>
      </w:r>
      <w:r>
        <w:rPr>
          <w:rFonts w:hint="eastAsia" w:hAnsi="黑体" w:cs="黑体"/>
          <w:sz w:val="21"/>
          <w:szCs w:val="21"/>
          <w:lang w:val="en-US" w:eastAsia="zh-CN"/>
        </w:rPr>
        <w:t xml:space="preserve"> </w:t>
      </w:r>
      <w:r>
        <w:rPr>
          <w:rFonts w:hint="eastAsia" w:ascii="黑体" w:hAnsi="黑体" w:eastAsia="黑体" w:cs="黑体"/>
          <w:sz w:val="21"/>
          <w:szCs w:val="21"/>
        </w:rPr>
        <w:t>鲜叶采摘</w:t>
      </w:r>
    </w:p>
    <w:p>
      <w:pPr>
        <w:pStyle w:val="14"/>
        <w:spacing w:before="156" w:after="156"/>
        <w:rPr>
          <w:rFonts w:hint="eastAsia" w:ascii="宋体" w:hAnsi="宋体" w:eastAsia="宋体" w:cs="宋体"/>
        </w:rPr>
      </w:pPr>
      <w:r>
        <w:rPr>
          <w:rFonts w:hint="eastAsia" w:ascii="黑体" w:hAnsi="黑体" w:eastAsia="黑体" w:cs="黑体"/>
          <w:sz w:val="21"/>
          <w:szCs w:val="21"/>
          <w:lang w:val="en-US" w:eastAsia="zh-CN"/>
        </w:rPr>
        <w:t>5.3.1 采摘时间：</w:t>
      </w:r>
      <w:r>
        <w:rPr>
          <w:rFonts w:hint="eastAsia" w:ascii="宋体" w:hAnsi="宋体" w:eastAsia="宋体" w:cs="宋体"/>
        </w:rPr>
        <w:t>按标准采摘鲜叶</w:t>
      </w:r>
      <w:r>
        <w:rPr>
          <w:rFonts w:hint="eastAsia" w:ascii="宋体" w:hAnsi="宋体" w:eastAsia="宋体" w:cs="宋体"/>
          <w:lang w:val="en-US" w:eastAsia="zh-CN"/>
        </w:rPr>
        <w:t>,</w:t>
      </w:r>
      <w:r>
        <w:rPr>
          <w:rFonts w:hint="eastAsia" w:ascii="宋体" w:hAnsi="宋体" w:eastAsia="宋体" w:cs="宋体"/>
        </w:rPr>
        <w:t>时间为每年3月初至4月中旬为宜。</w:t>
      </w:r>
    </w:p>
    <w:p>
      <w:pPr>
        <w:pStyle w:val="15"/>
        <w:numPr>
          <w:ilvl w:val="4"/>
          <w:numId w:val="0"/>
        </w:numPr>
        <w:spacing w:before="156" w:after="156"/>
        <w:rPr>
          <w:rFonts w:hint="eastAsia"/>
        </w:rPr>
      </w:pPr>
      <w:r>
        <w:rPr>
          <w:rFonts w:hint="eastAsia" w:ascii="黑体" w:hAnsi="黑体" w:eastAsia="黑体" w:cs="黑体"/>
          <w:lang w:val="en-US" w:eastAsia="zh-CN"/>
        </w:rPr>
        <w:t xml:space="preserve">5.3.2 </w:t>
      </w:r>
      <w:r>
        <w:rPr>
          <w:rFonts w:hint="eastAsia" w:ascii="黑体" w:hAnsi="黑体" w:eastAsia="黑体" w:cs="黑体"/>
        </w:rPr>
        <w:t>采摘标准</w:t>
      </w:r>
      <w:r>
        <w:rPr>
          <w:rFonts w:hint="eastAsia" w:ascii="黑体" w:hAnsi="黑体" w:eastAsia="黑体" w:cs="黑体"/>
          <w:lang w:eastAsia="zh-CN"/>
        </w:rPr>
        <w:t>：</w:t>
      </w:r>
      <w:r>
        <w:rPr>
          <w:rFonts w:hint="eastAsia"/>
        </w:rPr>
        <w:t>一芽一叶初展至一芽二叶的鲜叶。</w:t>
      </w:r>
    </w:p>
    <w:p>
      <w:pPr>
        <w:pStyle w:val="6"/>
        <w:ind w:left="0" w:leftChars="0" w:firstLine="0" w:firstLineChars="0"/>
        <w:rPr>
          <w:rFonts w:hint="eastAsia" w:eastAsia="宋体"/>
          <w:lang w:val="en-US" w:eastAsia="zh-CN"/>
        </w:rPr>
      </w:pPr>
      <w:r>
        <w:rPr>
          <w:rFonts w:hint="eastAsia" w:ascii="黑体" w:hAnsi="黑体" w:eastAsia="黑体" w:cs="黑体"/>
          <w:lang w:val="en-US" w:eastAsia="zh-CN"/>
        </w:rPr>
        <w:t>5.3.3 采摘要求：</w:t>
      </w:r>
      <w:r>
        <w:rPr>
          <w:rFonts w:hint="eastAsia" w:ascii="宋体" w:eastAsia="宋体" w:cs="宋体"/>
          <w:sz w:val="21"/>
          <w:szCs w:val="21"/>
        </w:rPr>
        <w:t>应遵循采留结合，质量兼顾和因地制宜的采摘原则。手工采茶提手采为宜，保持芽叶完整、新鲜、匀净，不夹带头蒂、茶果与老叶。严禁抓采</w:t>
      </w:r>
      <w:r>
        <w:rPr>
          <w:rFonts w:hint="eastAsia" w:ascii="宋体" w:eastAsia="宋体" w:cs="宋体"/>
          <w:sz w:val="21"/>
          <w:szCs w:val="21"/>
          <w:lang w:eastAsia="zh-CN"/>
        </w:rPr>
        <w:t>。</w:t>
      </w:r>
    </w:p>
    <w:p>
      <w:pPr>
        <w:pStyle w:val="7"/>
        <w:numPr>
          <w:ilvl w:val="1"/>
          <w:numId w:val="0"/>
        </w:numPr>
        <w:spacing w:before="156" w:after="156"/>
        <w:ind w:leftChars="0"/>
      </w:pPr>
      <w:r>
        <w:rPr>
          <w:rFonts w:hint="eastAsia"/>
          <w:lang w:val="en-US" w:eastAsia="zh-CN"/>
        </w:rPr>
        <w:t xml:space="preserve">5.4 </w:t>
      </w:r>
      <w:r>
        <w:rPr>
          <w:rFonts w:hint="eastAsia"/>
        </w:rPr>
        <w:t>加工</w:t>
      </w:r>
    </w:p>
    <w:p>
      <w:pPr>
        <w:pStyle w:val="11"/>
        <w:numPr>
          <w:ilvl w:val="2"/>
          <w:numId w:val="0"/>
        </w:numPr>
        <w:spacing w:before="156" w:after="156"/>
        <w:rPr>
          <w:rFonts w:ascii="宋体" w:hAnsi="宋体" w:eastAsia="宋体"/>
        </w:rPr>
      </w:pPr>
      <w:r>
        <w:rPr>
          <w:rFonts w:hint="eastAsia" w:ascii="宋体" w:hAnsi="宋体" w:eastAsia="宋体"/>
        </w:rPr>
        <w:t>5.</w:t>
      </w:r>
      <w:r>
        <w:rPr>
          <w:rFonts w:hint="eastAsia" w:ascii="宋体" w:hAnsi="宋体" w:eastAsia="宋体"/>
          <w:lang w:val="en-US" w:eastAsia="zh-CN"/>
        </w:rPr>
        <w:t>4</w:t>
      </w:r>
      <w:r>
        <w:rPr>
          <w:rFonts w:hint="eastAsia" w:ascii="宋体" w:hAnsi="宋体" w:eastAsia="宋体"/>
        </w:rPr>
        <w:t>.1</w:t>
      </w:r>
      <w:r>
        <w:rPr>
          <w:rFonts w:hint="eastAsia" w:ascii="宋体" w:hAnsi="宋体" w:eastAsia="宋体"/>
          <w:lang w:val="en-US" w:eastAsia="zh-CN"/>
        </w:rPr>
        <w:t xml:space="preserve"> </w:t>
      </w:r>
      <w:r>
        <w:rPr>
          <w:rFonts w:hint="eastAsia" w:ascii="宋体" w:hAnsi="宋体" w:eastAsia="宋体"/>
        </w:rPr>
        <w:t>工艺流程：摊放→杀青→揉捻→干燥→拣剔和复火。</w:t>
      </w:r>
    </w:p>
    <w:p>
      <w:pPr>
        <w:pStyle w:val="14"/>
        <w:spacing w:before="156" w:after="156"/>
      </w:pPr>
      <w:r>
        <w:rPr>
          <w:rFonts w:hint="eastAsia"/>
        </w:rPr>
        <w:t>5.</w:t>
      </w:r>
      <w:r>
        <w:rPr>
          <w:rFonts w:hint="eastAsia"/>
          <w:lang w:val="en-US" w:eastAsia="zh-CN"/>
        </w:rPr>
        <w:t>4</w:t>
      </w:r>
      <w:r>
        <w:rPr>
          <w:rFonts w:hint="eastAsia"/>
        </w:rPr>
        <w:t>.</w:t>
      </w:r>
      <w:r>
        <w:rPr>
          <w:rFonts w:hint="eastAsia"/>
          <w:lang w:val="en-US" w:eastAsia="zh-CN"/>
        </w:rPr>
        <w:t>2</w:t>
      </w:r>
      <w:r>
        <w:rPr>
          <w:rFonts w:hint="eastAsia"/>
        </w:rPr>
        <w:t>摊放</w:t>
      </w:r>
    </w:p>
    <w:p>
      <w:pPr>
        <w:pStyle w:val="6"/>
      </w:pPr>
      <w:r>
        <w:rPr>
          <w:rFonts w:hint="eastAsia"/>
        </w:rPr>
        <w:t>摊放鲜叶厚度≤0.15m，时间≤8h，至鲜叶含水率68</w:t>
      </w:r>
      <w:r>
        <w:rPr>
          <w:rFonts w:hint="eastAsia" w:hAnsi="宋体"/>
        </w:rPr>
        <w:t>～</w:t>
      </w:r>
      <w:r>
        <w:rPr>
          <w:rFonts w:hint="eastAsia"/>
        </w:rPr>
        <w:t>72</w:t>
      </w:r>
      <w:r>
        <w:rPr>
          <w:rFonts w:hint="eastAsia" w:hAnsi="宋体"/>
        </w:rPr>
        <w:t>％</w:t>
      </w:r>
      <w:r>
        <w:rPr>
          <w:rFonts w:hint="eastAsia"/>
        </w:rPr>
        <w:t>即止。</w:t>
      </w:r>
    </w:p>
    <w:p>
      <w:pPr>
        <w:pStyle w:val="14"/>
        <w:spacing w:before="156" w:after="156"/>
      </w:pPr>
      <w:r>
        <w:rPr>
          <w:rFonts w:hint="eastAsia"/>
        </w:rPr>
        <w:t>5.</w:t>
      </w:r>
      <w:r>
        <w:rPr>
          <w:rFonts w:hint="eastAsia"/>
          <w:lang w:val="en-US" w:eastAsia="zh-CN"/>
        </w:rPr>
        <w:t>4</w:t>
      </w:r>
      <w:r>
        <w:rPr>
          <w:rFonts w:hint="eastAsia"/>
        </w:rPr>
        <w:t>.</w:t>
      </w:r>
      <w:r>
        <w:rPr>
          <w:rFonts w:hint="eastAsia"/>
          <w:lang w:val="en-US" w:eastAsia="zh-CN"/>
        </w:rPr>
        <w:t>3</w:t>
      </w:r>
      <w:r>
        <w:rPr>
          <w:rFonts w:hint="eastAsia"/>
        </w:rPr>
        <w:t xml:space="preserve"> 杀青</w:t>
      </w:r>
    </w:p>
    <w:p>
      <w:pPr>
        <w:pStyle w:val="6"/>
      </w:pPr>
      <w:r>
        <w:rPr>
          <w:rFonts w:hint="eastAsia"/>
        </w:rPr>
        <w:t>温度220℃</w:t>
      </w:r>
      <w:r>
        <w:rPr>
          <w:rFonts w:hint="eastAsia" w:hAnsi="宋体"/>
        </w:rPr>
        <w:t>～</w:t>
      </w:r>
      <w:r>
        <w:rPr>
          <w:rFonts w:hint="eastAsia"/>
        </w:rPr>
        <w:t>260℃，炒至“无青草气有芳香，叶色呈暗绿色，叶质变软，有弹性”时出锅。</w:t>
      </w:r>
    </w:p>
    <w:p>
      <w:pPr>
        <w:pStyle w:val="14"/>
        <w:spacing w:before="156" w:after="156"/>
      </w:pPr>
      <w:r>
        <w:rPr>
          <w:rFonts w:hint="eastAsia"/>
        </w:rPr>
        <w:t>5.</w:t>
      </w:r>
      <w:r>
        <w:rPr>
          <w:rFonts w:hint="eastAsia"/>
          <w:lang w:val="en-US" w:eastAsia="zh-CN"/>
        </w:rPr>
        <w:t>4</w:t>
      </w:r>
      <w:r>
        <w:rPr>
          <w:rFonts w:hint="eastAsia"/>
        </w:rPr>
        <w:t>.</w:t>
      </w:r>
      <w:r>
        <w:rPr>
          <w:rFonts w:hint="eastAsia"/>
          <w:lang w:val="en-US" w:eastAsia="zh-CN"/>
        </w:rPr>
        <w:t>4</w:t>
      </w:r>
      <w:r>
        <w:rPr>
          <w:rFonts w:hint="eastAsia"/>
        </w:rPr>
        <w:t xml:space="preserve"> 揉捻</w:t>
      </w:r>
    </w:p>
    <w:p>
      <w:pPr>
        <w:pStyle w:val="6"/>
      </w:pPr>
      <w:r>
        <w:rPr>
          <w:rFonts w:hint="eastAsia"/>
        </w:rPr>
        <w:t>揉捻至成条率≥70℅。</w:t>
      </w:r>
    </w:p>
    <w:p>
      <w:pPr>
        <w:pStyle w:val="14"/>
        <w:spacing w:before="156" w:after="156"/>
      </w:pPr>
      <w:r>
        <w:rPr>
          <w:rFonts w:hint="eastAsia"/>
        </w:rPr>
        <w:t>5.</w:t>
      </w:r>
      <w:r>
        <w:rPr>
          <w:rFonts w:hint="eastAsia"/>
          <w:lang w:val="en-US" w:eastAsia="zh-CN"/>
        </w:rPr>
        <w:t>4</w:t>
      </w:r>
      <w:r>
        <w:rPr>
          <w:rFonts w:hint="eastAsia"/>
        </w:rPr>
        <w:t>.</w:t>
      </w:r>
      <w:r>
        <w:rPr>
          <w:rFonts w:hint="eastAsia"/>
          <w:lang w:val="en-US" w:eastAsia="zh-CN"/>
        </w:rPr>
        <w:t>5</w:t>
      </w:r>
      <w:r>
        <w:rPr>
          <w:rFonts w:hint="eastAsia"/>
        </w:rPr>
        <w:t xml:space="preserve"> 干燥</w:t>
      </w:r>
    </w:p>
    <w:p>
      <w:pPr>
        <w:pStyle w:val="6"/>
        <w:rPr>
          <w:rFonts w:hint="eastAsia"/>
        </w:rPr>
      </w:pPr>
      <w:r>
        <w:rPr>
          <w:rFonts w:hint="eastAsia"/>
        </w:rPr>
        <w:t>温度120℃</w:t>
      </w:r>
      <w:r>
        <w:rPr>
          <w:rFonts w:hint="eastAsia" w:hAnsi="宋体"/>
        </w:rPr>
        <w:t>～150℃</w:t>
      </w:r>
      <w:r>
        <w:rPr>
          <w:rFonts w:hint="eastAsia"/>
        </w:rPr>
        <w:t>，炒至九成干。</w:t>
      </w:r>
    </w:p>
    <w:p>
      <w:pPr>
        <w:pStyle w:val="6"/>
        <w:ind w:firstLine="0" w:firstLineChars="0"/>
        <w:rPr>
          <w:rFonts w:hint="eastAsia" w:ascii="黑体" w:eastAsia="黑体"/>
        </w:rPr>
      </w:pPr>
      <w:r>
        <w:rPr>
          <w:rFonts w:hint="eastAsia" w:ascii="黑体" w:eastAsia="黑体"/>
        </w:rPr>
        <w:t>5.</w:t>
      </w:r>
      <w:r>
        <w:rPr>
          <w:rFonts w:hint="eastAsia" w:ascii="黑体" w:eastAsia="黑体"/>
          <w:lang w:val="en-US" w:eastAsia="zh-CN"/>
        </w:rPr>
        <w:t>4</w:t>
      </w:r>
      <w:r>
        <w:rPr>
          <w:rFonts w:hint="eastAsia" w:ascii="黑体" w:eastAsia="黑体"/>
        </w:rPr>
        <w:t>.</w:t>
      </w:r>
      <w:r>
        <w:rPr>
          <w:rFonts w:hint="eastAsia" w:ascii="黑体" w:eastAsia="黑体"/>
          <w:lang w:val="en-US" w:eastAsia="zh-CN"/>
        </w:rPr>
        <w:t>6</w:t>
      </w:r>
      <w:r>
        <w:rPr>
          <w:rFonts w:hint="eastAsia" w:ascii="黑体" w:eastAsia="黑体"/>
        </w:rPr>
        <w:t xml:space="preserve"> 挑剔和复火：</w:t>
      </w:r>
      <w:r>
        <w:rPr>
          <w:rFonts w:hint="eastAsia" w:ascii="宋体" w:hAnsi="宋体" w:eastAsia="宋体"/>
        </w:rPr>
        <w:t>筛除茶末，进行复火。</w:t>
      </w:r>
    </w:p>
    <w:p>
      <w:pPr>
        <w:pStyle w:val="10"/>
        <w:spacing w:before="312" w:after="312"/>
      </w:pPr>
      <w:r>
        <w:rPr>
          <w:rFonts w:hint="eastAsia"/>
        </w:rPr>
        <w:t>要求</w:t>
      </w:r>
    </w:p>
    <w:p>
      <w:pPr>
        <w:pStyle w:val="7"/>
        <w:spacing w:before="156" w:after="156"/>
      </w:pPr>
      <w:r>
        <w:rPr>
          <w:rFonts w:hint="eastAsia"/>
        </w:rPr>
        <w:t>实物标准样</w:t>
      </w:r>
    </w:p>
    <w:p>
      <w:pPr>
        <w:pStyle w:val="6"/>
      </w:pPr>
      <w:r>
        <w:rPr>
          <w:rFonts w:hint="eastAsia"/>
        </w:rPr>
        <w:t>设一个实物标准样，实物标准样为品质最低界限，每四年换样一次。实物标准样的制备按GB/T 18795 的规定执行。</w:t>
      </w:r>
    </w:p>
    <w:p>
      <w:pPr>
        <w:pStyle w:val="7"/>
        <w:spacing w:before="156" w:after="156"/>
      </w:pPr>
      <w:r>
        <w:rPr>
          <w:rFonts w:hint="eastAsia"/>
        </w:rPr>
        <w:t>感官要求</w:t>
      </w:r>
    </w:p>
    <w:p>
      <w:pPr>
        <w:pStyle w:val="6"/>
      </w:pPr>
      <w:r>
        <w:rPr>
          <w:rFonts w:hint="eastAsia"/>
        </w:rPr>
        <w:t>蕉岭绿茶感官特色应符合表1的规定。</w:t>
      </w:r>
    </w:p>
    <w:p>
      <w:pPr>
        <w:pStyle w:val="41"/>
        <w:spacing w:before="156" w:after="156"/>
      </w:pPr>
      <w:r>
        <w:rPr>
          <w:rFonts w:hint="eastAsia"/>
        </w:rPr>
        <w:t>感官要求</w:t>
      </w:r>
    </w:p>
    <w:tbl>
      <w:tblPr>
        <w:tblStyle w:val="5"/>
        <w:tblW w:w="7649" w:type="dxa"/>
        <w:tblInd w:w="823"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1063"/>
        <w:gridCol w:w="1064"/>
        <w:gridCol w:w="1199"/>
        <w:gridCol w:w="929"/>
        <w:gridCol w:w="1198"/>
        <w:gridCol w:w="11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1062" w:type="dxa"/>
            <w:vAlign w:val="center"/>
          </w:tcPr>
          <w:p>
            <w:pPr>
              <w:jc w:val="center"/>
              <w:rPr>
                <w:rFonts w:ascii="宋体" w:eastAsia="宋体" w:cs="宋体"/>
                <w:sz w:val="18"/>
                <w:szCs w:val="18"/>
              </w:rPr>
            </w:pPr>
            <w:r>
              <w:rPr>
                <w:rFonts w:hint="eastAsia" w:ascii="宋体" w:eastAsia="宋体" w:cs="宋体"/>
                <w:sz w:val="18"/>
                <w:szCs w:val="18"/>
              </w:rPr>
              <w:t>项目</w:t>
            </w:r>
          </w:p>
        </w:tc>
        <w:tc>
          <w:tcPr>
            <w:tcW w:w="1063" w:type="dxa"/>
            <w:vAlign w:val="center"/>
          </w:tcPr>
          <w:p>
            <w:pPr>
              <w:jc w:val="center"/>
              <w:rPr>
                <w:rFonts w:ascii="宋体" w:eastAsia="宋体" w:cs="宋体"/>
                <w:sz w:val="18"/>
                <w:szCs w:val="18"/>
              </w:rPr>
            </w:pPr>
            <w:r>
              <w:rPr>
                <w:rFonts w:hint="eastAsia" w:ascii="宋体" w:eastAsia="宋体" w:cs="宋体"/>
                <w:sz w:val="18"/>
                <w:szCs w:val="18"/>
              </w:rPr>
              <w:t>外形</w:t>
            </w:r>
          </w:p>
        </w:tc>
        <w:tc>
          <w:tcPr>
            <w:tcW w:w="1064" w:type="dxa"/>
            <w:vAlign w:val="center"/>
          </w:tcPr>
          <w:p>
            <w:pPr>
              <w:jc w:val="center"/>
              <w:rPr>
                <w:rFonts w:ascii="宋体" w:eastAsia="宋体" w:cs="宋体"/>
                <w:sz w:val="18"/>
                <w:szCs w:val="18"/>
              </w:rPr>
            </w:pPr>
            <w:r>
              <w:rPr>
                <w:rFonts w:hint="eastAsia" w:ascii="宋体" w:eastAsia="宋体" w:cs="宋体"/>
                <w:sz w:val="18"/>
                <w:szCs w:val="18"/>
              </w:rPr>
              <w:t>色泽</w:t>
            </w:r>
          </w:p>
        </w:tc>
        <w:tc>
          <w:tcPr>
            <w:tcW w:w="1199" w:type="dxa"/>
            <w:vAlign w:val="center"/>
          </w:tcPr>
          <w:p>
            <w:pPr>
              <w:jc w:val="center"/>
              <w:rPr>
                <w:rFonts w:ascii="宋体" w:eastAsia="宋体" w:cs="宋体"/>
                <w:sz w:val="18"/>
                <w:szCs w:val="18"/>
              </w:rPr>
            </w:pPr>
            <w:r>
              <w:rPr>
                <w:rFonts w:hint="eastAsia" w:ascii="宋体" w:eastAsia="宋体" w:cs="宋体"/>
                <w:sz w:val="18"/>
                <w:szCs w:val="18"/>
              </w:rPr>
              <w:t>香气</w:t>
            </w:r>
          </w:p>
        </w:tc>
        <w:tc>
          <w:tcPr>
            <w:tcW w:w="929" w:type="dxa"/>
            <w:vAlign w:val="center"/>
          </w:tcPr>
          <w:p>
            <w:pPr>
              <w:jc w:val="center"/>
              <w:rPr>
                <w:rFonts w:ascii="宋体" w:eastAsia="宋体" w:cs="宋体"/>
                <w:sz w:val="18"/>
                <w:szCs w:val="18"/>
              </w:rPr>
            </w:pPr>
            <w:r>
              <w:rPr>
                <w:rFonts w:hint="eastAsia" w:ascii="宋体" w:eastAsia="宋体" w:cs="宋体"/>
                <w:sz w:val="18"/>
                <w:szCs w:val="18"/>
              </w:rPr>
              <w:t>汤色</w:t>
            </w:r>
          </w:p>
        </w:tc>
        <w:tc>
          <w:tcPr>
            <w:tcW w:w="1198" w:type="dxa"/>
            <w:vAlign w:val="center"/>
          </w:tcPr>
          <w:p>
            <w:pPr>
              <w:jc w:val="center"/>
              <w:rPr>
                <w:rFonts w:ascii="宋体" w:eastAsia="宋体" w:cs="宋体"/>
                <w:sz w:val="18"/>
                <w:szCs w:val="18"/>
              </w:rPr>
            </w:pPr>
            <w:r>
              <w:rPr>
                <w:rFonts w:hint="eastAsia" w:ascii="宋体" w:eastAsia="宋体" w:cs="宋体"/>
                <w:sz w:val="18"/>
                <w:szCs w:val="18"/>
              </w:rPr>
              <w:t>滋味</w:t>
            </w:r>
          </w:p>
        </w:tc>
        <w:tc>
          <w:tcPr>
            <w:tcW w:w="1134" w:type="dxa"/>
            <w:vAlign w:val="center"/>
          </w:tcPr>
          <w:p>
            <w:pPr>
              <w:jc w:val="center"/>
              <w:rPr>
                <w:rFonts w:ascii="宋体" w:eastAsia="宋体" w:cs="宋体"/>
                <w:sz w:val="18"/>
                <w:szCs w:val="18"/>
              </w:rPr>
            </w:pPr>
            <w:r>
              <w:rPr>
                <w:rFonts w:hint="eastAsia" w:ascii="宋体" w:eastAsia="宋体" w:cs="宋体"/>
                <w:sz w:val="18"/>
                <w:szCs w:val="18"/>
              </w:rPr>
              <w:t>叶底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1062" w:type="dxa"/>
            <w:tcBorders>
              <w:bottom w:val="single" w:color="auto" w:sz="4" w:space="0"/>
            </w:tcBorders>
            <w:vAlign w:val="center"/>
          </w:tcPr>
          <w:p>
            <w:pPr>
              <w:jc w:val="center"/>
              <w:rPr>
                <w:rFonts w:ascii="宋体" w:eastAsia="宋体" w:cs="宋体"/>
                <w:sz w:val="18"/>
                <w:szCs w:val="18"/>
              </w:rPr>
            </w:pPr>
            <w:r>
              <w:rPr>
                <w:rFonts w:hint="eastAsia" w:ascii="宋体" w:eastAsia="宋体" w:cs="宋体"/>
                <w:sz w:val="18"/>
                <w:szCs w:val="18"/>
              </w:rPr>
              <w:t>要求</w:t>
            </w:r>
          </w:p>
        </w:tc>
        <w:tc>
          <w:tcPr>
            <w:tcW w:w="1063" w:type="dxa"/>
            <w:tcBorders>
              <w:bottom w:val="single" w:color="auto" w:sz="4" w:space="0"/>
            </w:tcBorders>
            <w:vAlign w:val="center"/>
          </w:tcPr>
          <w:p>
            <w:pPr>
              <w:pStyle w:val="6"/>
              <w:ind w:firstLine="0" w:firstLineChars="0"/>
              <w:jc w:val="center"/>
              <w:rPr>
                <w:rFonts w:hAnsi="宋体" w:cs="宋体"/>
                <w:sz w:val="18"/>
                <w:szCs w:val="18"/>
              </w:rPr>
            </w:pPr>
            <w:r>
              <w:rPr>
                <w:rFonts w:hint="eastAsia" w:hAnsi="宋体" w:cs="宋体"/>
                <w:sz w:val="18"/>
                <w:szCs w:val="18"/>
              </w:rPr>
              <w:t>紧结</w:t>
            </w:r>
          </w:p>
          <w:p>
            <w:pPr>
              <w:pStyle w:val="6"/>
              <w:ind w:firstLine="0" w:firstLineChars="0"/>
              <w:jc w:val="center"/>
              <w:rPr>
                <w:rFonts w:hAnsi="宋体" w:cs="宋体"/>
                <w:sz w:val="18"/>
                <w:szCs w:val="18"/>
              </w:rPr>
            </w:pPr>
            <w:r>
              <w:rPr>
                <w:rFonts w:hint="eastAsia" w:hAnsi="宋体" w:cs="宋体"/>
                <w:sz w:val="18"/>
                <w:szCs w:val="18"/>
              </w:rPr>
              <w:t>有锋苗</w:t>
            </w:r>
          </w:p>
        </w:tc>
        <w:tc>
          <w:tcPr>
            <w:tcW w:w="1064" w:type="dxa"/>
            <w:tcBorders>
              <w:bottom w:val="single" w:color="auto" w:sz="4" w:space="0"/>
            </w:tcBorders>
            <w:vAlign w:val="center"/>
          </w:tcPr>
          <w:p>
            <w:pPr>
              <w:pStyle w:val="6"/>
              <w:ind w:firstLine="0" w:firstLineChars="0"/>
              <w:jc w:val="center"/>
              <w:rPr>
                <w:rFonts w:hAnsi="宋体" w:cs="宋体"/>
                <w:sz w:val="18"/>
                <w:szCs w:val="18"/>
              </w:rPr>
            </w:pPr>
            <w:r>
              <w:rPr>
                <w:rFonts w:hint="eastAsia" w:hAnsi="宋体" w:cs="宋体"/>
                <w:sz w:val="18"/>
                <w:szCs w:val="18"/>
              </w:rPr>
              <w:t>绿润</w:t>
            </w:r>
          </w:p>
        </w:tc>
        <w:tc>
          <w:tcPr>
            <w:tcW w:w="1199" w:type="dxa"/>
            <w:tcBorders>
              <w:bottom w:val="single" w:color="auto" w:sz="4" w:space="0"/>
            </w:tcBorders>
            <w:vAlign w:val="center"/>
          </w:tcPr>
          <w:p>
            <w:pPr>
              <w:pStyle w:val="6"/>
              <w:ind w:firstLine="0" w:firstLineChars="0"/>
              <w:jc w:val="center"/>
              <w:rPr>
                <w:rFonts w:hAnsi="宋体" w:cs="宋体"/>
                <w:sz w:val="18"/>
                <w:szCs w:val="18"/>
              </w:rPr>
            </w:pPr>
            <w:r>
              <w:rPr>
                <w:rFonts w:hint="eastAsia" w:hAnsi="宋体" w:cs="宋体"/>
                <w:sz w:val="18"/>
                <w:szCs w:val="18"/>
              </w:rPr>
              <w:t>有浓郁的清香，持久</w:t>
            </w:r>
          </w:p>
        </w:tc>
        <w:tc>
          <w:tcPr>
            <w:tcW w:w="929" w:type="dxa"/>
            <w:tcBorders>
              <w:bottom w:val="single" w:color="auto" w:sz="4" w:space="0"/>
            </w:tcBorders>
            <w:vAlign w:val="center"/>
          </w:tcPr>
          <w:p>
            <w:pPr>
              <w:pStyle w:val="6"/>
              <w:ind w:firstLine="0" w:firstLineChars="0"/>
              <w:jc w:val="center"/>
              <w:rPr>
                <w:rFonts w:hAnsi="宋体" w:cs="宋体"/>
                <w:sz w:val="18"/>
                <w:szCs w:val="18"/>
              </w:rPr>
            </w:pPr>
            <w:r>
              <w:rPr>
                <w:rFonts w:hint="eastAsia" w:hAnsi="宋体" w:cs="宋体"/>
                <w:sz w:val="18"/>
                <w:szCs w:val="18"/>
              </w:rPr>
              <w:t>黄绿明亮</w:t>
            </w:r>
          </w:p>
        </w:tc>
        <w:tc>
          <w:tcPr>
            <w:tcW w:w="1198" w:type="dxa"/>
            <w:tcBorders>
              <w:bottom w:val="single" w:color="auto" w:sz="4" w:space="0"/>
            </w:tcBorders>
            <w:vAlign w:val="center"/>
          </w:tcPr>
          <w:p>
            <w:pPr>
              <w:pStyle w:val="6"/>
              <w:ind w:firstLine="0" w:firstLineChars="0"/>
              <w:jc w:val="center"/>
              <w:rPr>
                <w:rFonts w:hAnsi="宋体" w:cs="宋体"/>
                <w:sz w:val="18"/>
                <w:szCs w:val="18"/>
              </w:rPr>
            </w:pPr>
            <w:r>
              <w:rPr>
                <w:rFonts w:hint="eastAsia" w:hAnsi="宋体" w:cs="宋体"/>
                <w:sz w:val="18"/>
                <w:szCs w:val="18"/>
              </w:rPr>
              <w:t>香醇甘滑回甘持久</w:t>
            </w:r>
          </w:p>
        </w:tc>
        <w:tc>
          <w:tcPr>
            <w:tcW w:w="1134" w:type="dxa"/>
            <w:tcBorders>
              <w:bottom w:val="single" w:color="auto" w:sz="4" w:space="0"/>
            </w:tcBorders>
            <w:vAlign w:val="center"/>
          </w:tcPr>
          <w:p>
            <w:pPr>
              <w:pStyle w:val="6"/>
              <w:ind w:firstLine="0" w:firstLineChars="0"/>
              <w:jc w:val="center"/>
              <w:rPr>
                <w:rFonts w:hAnsi="宋体" w:cs="宋体"/>
                <w:sz w:val="18"/>
                <w:szCs w:val="18"/>
              </w:rPr>
            </w:pPr>
            <w:r>
              <w:rPr>
                <w:rFonts w:hint="eastAsia" w:hAnsi="宋体" w:cs="宋体"/>
                <w:sz w:val="18"/>
                <w:szCs w:val="18"/>
              </w:rPr>
              <w:t>绿亮</w:t>
            </w:r>
          </w:p>
          <w:p>
            <w:pPr>
              <w:pStyle w:val="6"/>
              <w:ind w:firstLine="0" w:firstLineChars="0"/>
              <w:jc w:val="center"/>
              <w:rPr>
                <w:rFonts w:hAnsi="宋体" w:cs="宋体"/>
                <w:sz w:val="18"/>
                <w:szCs w:val="18"/>
              </w:rPr>
            </w:pPr>
            <w:r>
              <w:rPr>
                <w:rFonts w:hint="eastAsia" w:hAnsi="宋体" w:cs="宋体"/>
                <w:sz w:val="18"/>
                <w:szCs w:val="18"/>
              </w:rPr>
              <w:t>耐冲泡</w:t>
            </w:r>
          </w:p>
        </w:tc>
      </w:tr>
    </w:tbl>
    <w:p>
      <w:pPr>
        <w:pStyle w:val="7"/>
        <w:spacing w:before="156" w:after="156"/>
      </w:pPr>
      <w:r>
        <w:rPr>
          <w:rFonts w:hint="eastAsia"/>
        </w:rPr>
        <w:t>理化指标</w:t>
      </w:r>
    </w:p>
    <w:p>
      <w:pPr>
        <w:pStyle w:val="6"/>
      </w:pPr>
      <w:r>
        <w:rPr>
          <w:rFonts w:hint="eastAsia"/>
        </w:rPr>
        <w:t>理化指标应符合表2的规定。</w:t>
      </w:r>
    </w:p>
    <w:p>
      <w:pPr>
        <w:pStyle w:val="6"/>
      </w:pPr>
    </w:p>
    <w:p>
      <w:pPr>
        <w:pStyle w:val="41"/>
        <w:spacing w:before="156" w:after="156"/>
      </w:pPr>
      <w:r>
        <w:rPr>
          <w:rFonts w:hint="eastAsia"/>
        </w:rPr>
        <w:t>理化指标</w:t>
      </w:r>
    </w:p>
    <w:tbl>
      <w:tblPr>
        <w:tblStyle w:val="5"/>
        <w:tblW w:w="957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785"/>
        <w:gridCol w:w="47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8" w:space="0"/>
              <w:bottom w:val="single" w:color="auto" w:sz="8" w:space="0"/>
            </w:tcBorders>
            <w:vAlign w:val="top"/>
          </w:tcPr>
          <w:p>
            <w:pPr>
              <w:ind w:firstLine="180"/>
              <w:rPr>
                <w:rFonts w:ascii="宋体"/>
                <w:sz w:val="18"/>
              </w:rPr>
            </w:pPr>
            <w:r>
              <w:rPr>
                <w:rFonts w:hint="eastAsia" w:ascii="宋体"/>
                <w:sz w:val="18"/>
              </w:rPr>
              <w:t>项目</w:t>
            </w:r>
          </w:p>
        </w:tc>
        <w:tc>
          <w:tcPr>
            <w:tcW w:w="4785" w:type="dxa"/>
            <w:tcBorders>
              <w:top w:val="single" w:color="auto" w:sz="8" w:space="0"/>
              <w:bottom w:val="single" w:color="auto" w:sz="8" w:space="0"/>
            </w:tcBorders>
            <w:vAlign w:val="top"/>
          </w:tcPr>
          <w:p>
            <w:pPr>
              <w:ind w:firstLine="180"/>
              <w:rPr>
                <w:rFonts w:ascii="宋体"/>
                <w:sz w:val="18"/>
              </w:rPr>
            </w:pPr>
            <w:r>
              <w:rPr>
                <w:rFonts w:hint="eastAsia" w:ascii="宋体"/>
                <w:sz w:val="18"/>
              </w:rPr>
              <w:t>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8" w:space="0"/>
              <w:bottom w:val="single" w:color="auto" w:sz="8" w:space="0"/>
            </w:tcBorders>
            <w:vAlign w:val="top"/>
          </w:tcPr>
          <w:p>
            <w:pPr>
              <w:pStyle w:val="6"/>
              <w:ind w:firstLine="0" w:firstLineChars="0"/>
              <w:rPr>
                <w:rFonts w:hAnsi="宋体"/>
                <w:sz w:val="18"/>
                <w:szCs w:val="18"/>
              </w:rPr>
            </w:pPr>
            <w:r>
              <w:rPr>
                <w:rFonts w:hint="eastAsia" w:hAnsi="宋体"/>
                <w:sz w:val="18"/>
                <w:szCs w:val="18"/>
              </w:rPr>
              <w:t>水分，%                 ≤</w:t>
            </w:r>
          </w:p>
        </w:tc>
        <w:tc>
          <w:tcPr>
            <w:tcW w:w="4785" w:type="dxa"/>
            <w:tcBorders>
              <w:top w:val="single" w:color="auto" w:sz="8" w:space="0"/>
              <w:bottom w:val="single" w:color="auto" w:sz="8" w:space="0"/>
            </w:tcBorders>
            <w:vAlign w:val="top"/>
          </w:tcPr>
          <w:p>
            <w:pPr>
              <w:ind w:firstLine="180"/>
              <w:rPr>
                <w:rFonts w:ascii="宋体"/>
                <w:sz w:val="18"/>
              </w:rPr>
            </w:pPr>
            <w:r>
              <w:rPr>
                <w:rFonts w:hint="eastAsia" w:ascii="宋体"/>
                <w:sz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c>
          <w:tcPr>
            <w:tcW w:w="4785" w:type="dxa"/>
            <w:tcBorders>
              <w:top w:val="single" w:color="auto" w:sz="8" w:space="0"/>
            </w:tcBorders>
            <w:vAlign w:val="top"/>
          </w:tcPr>
          <w:p>
            <w:pPr>
              <w:pStyle w:val="6"/>
              <w:ind w:firstLine="0" w:firstLineChars="0"/>
              <w:rPr>
                <w:rFonts w:hAnsi="宋体"/>
                <w:sz w:val="18"/>
                <w:szCs w:val="18"/>
              </w:rPr>
            </w:pPr>
            <w:r>
              <w:rPr>
                <w:rFonts w:hint="eastAsia" w:hAnsi="宋体"/>
                <w:sz w:val="18"/>
                <w:szCs w:val="18"/>
              </w:rPr>
              <w:t>水浸出物，%             ≥</w:t>
            </w:r>
          </w:p>
        </w:tc>
        <w:tc>
          <w:tcPr>
            <w:tcW w:w="4785" w:type="dxa"/>
            <w:tcBorders>
              <w:top w:val="single" w:color="auto" w:sz="8" w:space="0"/>
            </w:tcBorders>
            <w:vAlign w:val="top"/>
          </w:tcPr>
          <w:p>
            <w:pPr>
              <w:ind w:firstLine="180"/>
              <w:rPr>
                <w:rFonts w:ascii="宋体"/>
                <w:sz w:val="18"/>
              </w:rPr>
            </w:pPr>
            <w:r>
              <w:rPr>
                <w:rFonts w:hint="eastAsia" w:ascii="宋体"/>
                <w:sz w:val="18"/>
              </w:rPr>
              <w:t>38</w:t>
            </w:r>
          </w:p>
        </w:tc>
      </w:tr>
    </w:tbl>
    <w:p>
      <w:pPr>
        <w:pStyle w:val="7"/>
        <w:spacing w:before="156" w:after="156"/>
      </w:pPr>
      <w:r>
        <w:rPr>
          <w:rFonts w:hint="eastAsia"/>
        </w:rPr>
        <w:t>质量安全指标</w:t>
      </w:r>
    </w:p>
    <w:p>
      <w:pPr>
        <w:pStyle w:val="11"/>
        <w:numPr>
          <w:ilvl w:val="2"/>
          <w:numId w:val="0"/>
        </w:numPr>
        <w:autoSpaceDN w:val="0"/>
        <w:spacing w:before="156" w:after="156"/>
        <w:rPr>
          <w:rFonts w:ascii="宋体" w:hAnsi="宋体" w:eastAsia="宋体"/>
        </w:rPr>
      </w:pPr>
      <w:r>
        <w:rPr>
          <w:rFonts w:hint="eastAsia" w:ascii="黑体" w:hAnsi="黑体" w:eastAsia="黑体" w:cs="黑体"/>
          <w:lang w:val="en-US" w:eastAsia="zh-CN"/>
        </w:rPr>
        <w:t xml:space="preserve">6.4.1 </w:t>
      </w:r>
      <w:r>
        <w:rPr>
          <w:rFonts w:hint="eastAsia" w:ascii="宋体" w:hAnsi="宋体" w:eastAsia="宋体"/>
        </w:rPr>
        <w:t>污染物限量指标应符合GB 2762的规定。</w:t>
      </w:r>
    </w:p>
    <w:p>
      <w:pPr>
        <w:pStyle w:val="11"/>
        <w:numPr>
          <w:ilvl w:val="2"/>
          <w:numId w:val="0"/>
        </w:numPr>
        <w:autoSpaceDN w:val="0"/>
        <w:spacing w:before="156" w:after="156"/>
        <w:rPr>
          <w:rFonts w:ascii="宋体" w:hAnsi="宋体" w:eastAsia="宋体"/>
        </w:rPr>
      </w:pPr>
      <w:r>
        <w:rPr>
          <w:rFonts w:hint="eastAsia" w:ascii="黑体" w:hAnsi="黑体" w:eastAsia="黑体" w:cs="黑体"/>
          <w:lang w:val="en-US" w:eastAsia="zh-CN"/>
        </w:rPr>
        <w:t>6.4.2</w:t>
      </w:r>
      <w:r>
        <w:rPr>
          <w:rFonts w:hint="eastAsia" w:ascii="宋体" w:hAnsi="宋体" w:eastAsia="宋体"/>
          <w:lang w:val="en-US" w:eastAsia="zh-CN"/>
        </w:rPr>
        <w:t xml:space="preserve"> </w:t>
      </w:r>
      <w:r>
        <w:rPr>
          <w:rFonts w:hint="eastAsia" w:ascii="宋体" w:hAnsi="宋体" w:eastAsia="宋体"/>
        </w:rPr>
        <w:t>农药最大残留限量指标应符合GB 2763的规定。</w:t>
      </w:r>
    </w:p>
    <w:p>
      <w:pPr>
        <w:pStyle w:val="7"/>
        <w:spacing w:before="156" w:after="156"/>
      </w:pPr>
      <w:r>
        <w:rPr>
          <w:rFonts w:hint="eastAsia"/>
        </w:rPr>
        <w:t>净含量偏差</w:t>
      </w:r>
    </w:p>
    <w:p>
      <w:pPr>
        <w:pStyle w:val="6"/>
      </w:pPr>
      <w:r>
        <w:rPr>
          <w:rFonts w:hint="eastAsia"/>
        </w:rPr>
        <w:t>预包装商品净含量负偏差应符合《定量包装商品计量监督管理办法》的规定。</w:t>
      </w:r>
    </w:p>
    <w:p>
      <w:pPr>
        <w:pStyle w:val="7"/>
        <w:spacing w:before="156" w:after="156"/>
      </w:pPr>
      <w:r>
        <w:rPr>
          <w:rFonts w:hint="eastAsia"/>
        </w:rPr>
        <w:t>生产加工过程卫生要求</w:t>
      </w:r>
    </w:p>
    <w:p>
      <w:pPr>
        <w:pStyle w:val="10"/>
        <w:numPr>
          <w:ilvl w:val="0"/>
          <w:numId w:val="0"/>
        </w:numPr>
        <w:autoSpaceDN w:val="0"/>
        <w:spacing w:before="312" w:after="312"/>
        <w:ind w:firstLine="420" w:firstLineChars="200"/>
        <w:rPr>
          <w:rFonts w:ascii="宋体" w:hAnsi="宋体" w:eastAsia="宋体"/>
        </w:rPr>
      </w:pPr>
      <w:r>
        <w:rPr>
          <w:rFonts w:hint="eastAsia" w:ascii="宋体" w:hAnsi="宋体" w:eastAsia="宋体"/>
        </w:rPr>
        <w:t>应符合GB 14881的规定。</w:t>
      </w:r>
    </w:p>
    <w:p>
      <w:pPr>
        <w:pStyle w:val="10"/>
        <w:spacing w:before="312" w:after="312"/>
      </w:pPr>
      <w:r>
        <w:rPr>
          <w:rFonts w:hint="eastAsia"/>
        </w:rPr>
        <w:t>试验方法</w:t>
      </w:r>
    </w:p>
    <w:p>
      <w:pPr>
        <w:pStyle w:val="7"/>
        <w:spacing w:before="156" w:after="156"/>
        <w:rPr>
          <w:rFonts w:hAnsi="宋体"/>
        </w:rPr>
      </w:pPr>
      <w:r>
        <w:rPr>
          <w:rFonts w:hint="eastAsia" w:hAnsi="宋体"/>
        </w:rPr>
        <w:t>感官品质</w:t>
      </w:r>
    </w:p>
    <w:p>
      <w:pPr>
        <w:pStyle w:val="7"/>
        <w:numPr>
          <w:ilvl w:val="1"/>
          <w:numId w:val="0"/>
        </w:numPr>
        <w:autoSpaceDN w:val="0"/>
        <w:spacing w:before="156" w:after="156"/>
        <w:ind w:firstLine="630" w:firstLineChars="300"/>
        <w:rPr>
          <w:rFonts w:ascii="宋体" w:hAnsi="宋体" w:eastAsia="宋体"/>
        </w:rPr>
      </w:pPr>
      <w:r>
        <w:rPr>
          <w:rFonts w:hint="eastAsia" w:ascii="宋体" w:hAnsi="宋体" w:eastAsia="宋体"/>
        </w:rPr>
        <w:t>按GB/T 23776的规定执行。</w:t>
      </w:r>
    </w:p>
    <w:p>
      <w:pPr>
        <w:pStyle w:val="7"/>
        <w:spacing w:before="156" w:after="156"/>
        <w:rPr>
          <w:rFonts w:hAnsi="宋体" w:cs="黑体"/>
          <w:color w:val="000000"/>
        </w:rPr>
      </w:pPr>
      <w:r>
        <w:rPr>
          <w:rFonts w:hint="eastAsia" w:hAnsi="宋体" w:cs="黑体"/>
          <w:color w:val="000000"/>
        </w:rPr>
        <w:t>试样制备</w:t>
      </w:r>
    </w:p>
    <w:p>
      <w:pPr>
        <w:pStyle w:val="7"/>
        <w:numPr>
          <w:ilvl w:val="1"/>
          <w:numId w:val="0"/>
        </w:numPr>
        <w:autoSpaceDN w:val="0"/>
        <w:spacing w:before="156" w:after="156"/>
        <w:ind w:firstLine="630" w:firstLineChars="300"/>
        <w:rPr>
          <w:rFonts w:ascii="宋体" w:hAnsi="宋体" w:eastAsia="宋体"/>
        </w:rPr>
      </w:pPr>
      <w:r>
        <w:rPr>
          <w:rFonts w:hint="eastAsia" w:ascii="宋体" w:hAnsi="宋体" w:eastAsia="宋体"/>
        </w:rPr>
        <w:t>按GB/T 8303的规定执行。</w:t>
      </w:r>
    </w:p>
    <w:p>
      <w:pPr>
        <w:pStyle w:val="7"/>
        <w:spacing w:before="156" w:after="156"/>
        <w:rPr>
          <w:rFonts w:hAnsi="宋体" w:cs="黑体"/>
          <w:color w:val="000000"/>
        </w:rPr>
      </w:pPr>
      <w:r>
        <w:rPr>
          <w:rFonts w:hint="eastAsia" w:hAnsi="宋体" w:cs="黑体"/>
          <w:color w:val="000000"/>
        </w:rPr>
        <w:t>水分</w:t>
      </w:r>
    </w:p>
    <w:p>
      <w:pPr>
        <w:pStyle w:val="7"/>
        <w:numPr>
          <w:ilvl w:val="1"/>
          <w:numId w:val="0"/>
        </w:numPr>
        <w:autoSpaceDN w:val="0"/>
        <w:spacing w:before="156" w:after="156"/>
        <w:ind w:firstLine="630" w:firstLineChars="300"/>
        <w:rPr>
          <w:rFonts w:ascii="宋体" w:hAnsi="宋体" w:eastAsia="宋体"/>
        </w:rPr>
      </w:pPr>
      <w:r>
        <w:rPr>
          <w:rFonts w:hint="eastAsia" w:ascii="宋体" w:hAnsi="宋体" w:eastAsia="宋体"/>
        </w:rPr>
        <w:t>按</w:t>
      </w:r>
      <w:r>
        <w:rPr>
          <w:rFonts w:hint="eastAsia" w:ascii="宋体" w:hAnsi="宋体" w:eastAsia="宋体"/>
          <w:lang w:val="en-US" w:eastAsia="zh-CN"/>
        </w:rPr>
        <w:t>GB 5009.3</w:t>
      </w:r>
      <w:r>
        <w:rPr>
          <w:rFonts w:hint="eastAsia" w:ascii="宋体" w:hAnsi="宋体" w:eastAsia="宋体"/>
        </w:rPr>
        <w:t>的规定执行。</w:t>
      </w:r>
    </w:p>
    <w:p>
      <w:pPr>
        <w:pStyle w:val="7"/>
        <w:spacing w:before="156" w:after="156"/>
        <w:rPr>
          <w:rFonts w:hAnsi="宋体" w:cs="黑体"/>
          <w:color w:val="000000"/>
        </w:rPr>
      </w:pPr>
      <w:r>
        <w:rPr>
          <w:rFonts w:hint="eastAsia" w:hAnsi="宋体" w:cs="黑体"/>
          <w:color w:val="000000"/>
        </w:rPr>
        <w:t>水浸出物</w:t>
      </w:r>
    </w:p>
    <w:p>
      <w:pPr>
        <w:pStyle w:val="7"/>
        <w:numPr>
          <w:ilvl w:val="1"/>
          <w:numId w:val="0"/>
        </w:numPr>
        <w:autoSpaceDN w:val="0"/>
        <w:spacing w:before="156" w:after="156"/>
        <w:ind w:firstLine="630" w:firstLineChars="300"/>
        <w:rPr>
          <w:rFonts w:ascii="宋体" w:hAnsi="宋体" w:eastAsia="宋体"/>
        </w:rPr>
      </w:pPr>
      <w:r>
        <w:rPr>
          <w:rFonts w:hint="eastAsia" w:ascii="宋体" w:hAnsi="宋体" w:eastAsia="宋体"/>
        </w:rPr>
        <w:t>按 GB/T 8305的规定执行。</w:t>
      </w:r>
    </w:p>
    <w:p>
      <w:pPr>
        <w:pStyle w:val="7"/>
        <w:spacing w:before="156" w:after="156"/>
        <w:rPr>
          <w:rFonts w:hAnsi="宋体" w:cs="黑体"/>
          <w:color w:val="000000"/>
        </w:rPr>
      </w:pPr>
      <w:r>
        <w:rPr>
          <w:rFonts w:hint="eastAsia" w:hAnsi="宋体" w:cs="黑体"/>
          <w:color w:val="000000"/>
        </w:rPr>
        <w:t>质量安全指标</w:t>
      </w:r>
    </w:p>
    <w:p>
      <w:pPr>
        <w:pStyle w:val="7"/>
        <w:numPr>
          <w:ilvl w:val="1"/>
          <w:numId w:val="0"/>
        </w:numPr>
        <w:autoSpaceDN w:val="0"/>
        <w:spacing w:before="156" w:after="156"/>
        <w:ind w:firstLine="630" w:firstLineChars="300"/>
        <w:rPr>
          <w:rFonts w:ascii="宋体" w:hAnsi="宋体" w:eastAsia="宋体"/>
        </w:rPr>
      </w:pPr>
      <w:r>
        <w:rPr>
          <w:rFonts w:hint="eastAsia" w:ascii="宋体" w:hAnsi="宋体" w:eastAsia="宋体"/>
        </w:rPr>
        <w:t>按 GB 2762、GB 2763的规定执行。</w:t>
      </w:r>
    </w:p>
    <w:p>
      <w:pPr>
        <w:pStyle w:val="7"/>
        <w:spacing w:before="156" w:after="156"/>
      </w:pPr>
      <w:r>
        <w:rPr>
          <w:rFonts w:hint="eastAsia"/>
        </w:rPr>
        <w:t>净含量</w:t>
      </w:r>
    </w:p>
    <w:p>
      <w:pPr>
        <w:pStyle w:val="7"/>
        <w:numPr>
          <w:ilvl w:val="1"/>
          <w:numId w:val="0"/>
        </w:numPr>
        <w:autoSpaceDN w:val="0"/>
        <w:spacing w:before="156" w:after="156"/>
        <w:ind w:firstLine="630" w:firstLineChars="300"/>
        <w:rPr>
          <w:rFonts w:ascii="宋体" w:hAnsi="宋体" w:eastAsia="宋体"/>
        </w:rPr>
      </w:pPr>
      <w:r>
        <w:rPr>
          <w:rFonts w:hint="eastAsia" w:ascii="宋体" w:hAnsi="宋体" w:eastAsia="宋体"/>
        </w:rPr>
        <w:t>按JJF 1070的规定执行。</w:t>
      </w:r>
    </w:p>
    <w:p>
      <w:pPr>
        <w:pStyle w:val="10"/>
        <w:spacing w:before="312" w:after="312"/>
      </w:pPr>
      <w:r>
        <w:rPr>
          <w:rFonts w:hint="eastAsia"/>
        </w:rPr>
        <w:t>标志、标签、包装、运输和贮存</w:t>
      </w:r>
    </w:p>
    <w:p>
      <w:pPr>
        <w:pStyle w:val="7"/>
        <w:spacing w:before="156" w:after="156"/>
      </w:pPr>
      <w:r>
        <w:rPr>
          <w:rFonts w:hint="eastAsia"/>
        </w:rPr>
        <w:t>标志</w:t>
      </w:r>
    </w:p>
    <w:p>
      <w:pPr>
        <w:pStyle w:val="11"/>
        <w:numPr>
          <w:ilvl w:val="2"/>
          <w:numId w:val="0"/>
        </w:numPr>
        <w:spacing w:before="156" w:after="156"/>
        <w:rPr>
          <w:rFonts w:ascii="宋体" w:hAnsi="宋体" w:eastAsia="宋体"/>
        </w:rPr>
      </w:pPr>
      <w:r>
        <w:rPr>
          <w:rFonts w:hint="eastAsia" w:hAnsi="宋体"/>
        </w:rPr>
        <w:t xml:space="preserve">8.1.1  </w:t>
      </w:r>
      <w:r>
        <w:rPr>
          <w:rFonts w:hint="eastAsia" w:ascii="宋体" w:hAnsi="宋体" w:eastAsia="宋体"/>
        </w:rPr>
        <w:t>获得批准的企业，可在其产品包装上使用地理标志产品专用标志。标志应符合国家质量技术监督检验检疫总局公告[2005]151号的要求。</w:t>
      </w:r>
    </w:p>
    <w:p>
      <w:pPr>
        <w:pStyle w:val="11"/>
        <w:numPr>
          <w:ilvl w:val="2"/>
          <w:numId w:val="0"/>
        </w:numPr>
        <w:autoSpaceDN w:val="0"/>
        <w:spacing w:before="156" w:after="156"/>
        <w:rPr>
          <w:rFonts w:ascii="宋体" w:hAnsi="宋体" w:eastAsia="宋体"/>
        </w:rPr>
      </w:pPr>
      <w:r>
        <w:rPr>
          <w:rFonts w:hint="eastAsia" w:hAnsi="宋体"/>
        </w:rPr>
        <w:t>8.1.2</w:t>
      </w:r>
      <w:r>
        <w:rPr>
          <w:rFonts w:hint="eastAsia" w:ascii="宋体" w:hAnsi="宋体" w:eastAsia="宋体"/>
        </w:rPr>
        <w:t xml:space="preserve"> 包装储运图示标志应符合 GB/T 191的规定</w:t>
      </w:r>
    </w:p>
    <w:p>
      <w:pPr>
        <w:pStyle w:val="7"/>
        <w:spacing w:before="156" w:after="156"/>
      </w:pPr>
      <w:r>
        <w:rPr>
          <w:rFonts w:hint="eastAsia"/>
        </w:rPr>
        <w:t>标签</w:t>
      </w:r>
    </w:p>
    <w:p>
      <w:pPr>
        <w:pStyle w:val="6"/>
      </w:pPr>
      <w:r>
        <w:rPr>
          <w:rFonts w:hint="eastAsia"/>
        </w:rPr>
        <w:t>产品标签应符合 GB 7718的规定。</w:t>
      </w:r>
    </w:p>
    <w:p>
      <w:pPr>
        <w:pStyle w:val="7"/>
        <w:spacing w:before="156" w:after="156"/>
      </w:pPr>
      <w:r>
        <w:rPr>
          <w:rFonts w:hint="eastAsia"/>
        </w:rPr>
        <w:t>包装</w:t>
      </w:r>
    </w:p>
    <w:p>
      <w:pPr>
        <w:pStyle w:val="6"/>
      </w:pPr>
      <w:r>
        <w:rPr>
          <w:rFonts w:hint="eastAsia"/>
        </w:rPr>
        <w:t>包装应符合</w:t>
      </w:r>
      <w:r>
        <w:rPr>
          <w:rFonts w:hint="eastAsia" w:hAnsi="宋体" w:cs="黑体"/>
          <w:color w:val="000000"/>
          <w:szCs w:val="21"/>
        </w:rPr>
        <w:t>GH</w:t>
      </w:r>
      <w:r>
        <w:rPr>
          <w:rFonts w:hAnsi="宋体" w:cs="黑体"/>
          <w:color w:val="000000"/>
          <w:szCs w:val="21"/>
        </w:rPr>
        <w:t xml:space="preserve">/T </w:t>
      </w:r>
      <w:r>
        <w:rPr>
          <w:rFonts w:hint="eastAsia" w:hAnsi="宋体" w:cs="黑体"/>
          <w:color w:val="000000"/>
          <w:szCs w:val="21"/>
        </w:rPr>
        <w:t>1070</w:t>
      </w:r>
      <w:r>
        <w:rPr>
          <w:rFonts w:hAnsi="宋体" w:cs="黑体"/>
          <w:color w:val="000000"/>
          <w:szCs w:val="21"/>
        </w:rPr>
        <w:t>的规定</w:t>
      </w:r>
      <w:r>
        <w:rPr>
          <w:rFonts w:hint="eastAsia" w:hAnsi="宋体" w:cs="黑体"/>
          <w:color w:val="000000"/>
          <w:szCs w:val="21"/>
        </w:rPr>
        <w:t>。</w:t>
      </w:r>
    </w:p>
    <w:p>
      <w:pPr>
        <w:pStyle w:val="7"/>
        <w:spacing w:before="156" w:after="156"/>
      </w:pPr>
      <w:r>
        <w:rPr>
          <w:rFonts w:hint="eastAsia"/>
        </w:rPr>
        <w:t>运输</w:t>
      </w:r>
    </w:p>
    <w:p>
      <w:pPr>
        <w:pStyle w:val="6"/>
      </w:pPr>
      <w:r>
        <w:rPr>
          <w:rFonts w:hint="eastAsia"/>
        </w:rPr>
        <w:t>产品的运输应防雨、防潮、防曝晒，严禁与有毒、有异味、易污染的物品混装、混运。运输工具应清洁、干燥、无污染、无异味。</w:t>
      </w:r>
    </w:p>
    <w:p>
      <w:pPr>
        <w:pStyle w:val="7"/>
        <w:spacing w:before="156" w:after="156"/>
      </w:pPr>
      <w:r>
        <w:rPr>
          <w:rFonts w:hint="eastAsia"/>
        </w:rPr>
        <w:t>贮存</w:t>
      </w:r>
    </w:p>
    <w:p>
      <w:pPr>
        <w:pStyle w:val="6"/>
        <w:rPr>
          <w:rFonts w:hAnsi="宋体"/>
          <w:szCs w:val="21"/>
        </w:rPr>
      </w:pPr>
      <w:r>
        <w:rPr>
          <w:rFonts w:hint="eastAsia"/>
        </w:rPr>
        <w:t>应符合GH/T 1071的规定。产品应贮存于清洁、干燥、无异味的专用仓库中，仓库周围应无异味污染。严禁与有毒、有害、有异味、易污染的物品混放。</w:t>
      </w:r>
    </w:p>
    <w:p>
      <w:pPr>
        <w:pStyle w:val="6"/>
        <w:rPr>
          <w:u w:val="single"/>
        </w:rPr>
      </w:pPr>
      <w:r>
        <w:rPr>
          <w:rFonts w:hint="eastAsia"/>
        </w:rPr>
        <w:t xml:space="preserve">                         </w:t>
      </w:r>
      <w:r>
        <w:rPr>
          <w:rFonts w:hint="eastAsia"/>
          <w:u w:val="single"/>
        </w:rPr>
        <w:t xml:space="preserve">                           </w:t>
      </w:r>
      <w:r>
        <w:rPr>
          <w:rFonts w:hint="eastAsia"/>
        </w:rPr>
        <w:t xml:space="preserve">  </w:t>
      </w:r>
    </w:p>
    <w:p>
      <w:pPr>
        <w:pStyle w:val="6"/>
      </w:pPr>
    </w:p>
    <w:p>
      <w:pPr>
        <w:pStyle w:val="31"/>
      </w:pPr>
    </w:p>
    <w:p>
      <w:pPr>
        <w:pStyle w:val="26"/>
        <w:tabs>
          <w:tab w:val="clear" w:pos="0"/>
        </w:tabs>
      </w:pPr>
    </w:p>
    <w:p>
      <w:pPr>
        <w:pStyle w:val="25"/>
      </w:pPr>
      <w:r>
        <w:br/>
      </w:r>
      <w:r>
        <w:rPr>
          <w:rFonts w:hint="eastAsia"/>
        </w:rPr>
        <w:t>（规范性附录）</w:t>
      </w:r>
      <w:r>
        <w:br/>
      </w:r>
      <w:r>
        <w:rPr>
          <w:rFonts w:hint="eastAsia"/>
        </w:rPr>
        <w:t>蕉岭绿茶地理标志产品保护范围</w:t>
      </w:r>
    </w:p>
    <w:p>
      <w:pPr>
        <w:pStyle w:val="6"/>
      </w:pPr>
    </w:p>
    <w:p>
      <w:pPr>
        <w:pStyle w:val="6"/>
        <w:jc w:val="center"/>
      </w:pPr>
      <w:r>
        <w:rPr>
          <w:rFonts w:ascii="宋体" w:hAnsi="Times New Roman" w:eastAsia="宋体" w:cs="Times New Roman"/>
          <w:sz w:val="21"/>
          <w:lang w:val="en-US" w:eastAsia="zh-CN" w:bidi="ar-SA"/>
        </w:rPr>
        <w:pict>
          <v:shape id="Picture 1" o:spid="_x0000_s1033" type="#_x0000_t75" style="height:504pt;width:406.5pt;rotation:0f;" o:ole="f" fillcolor="#FFFFFF" filled="f" o:preferrelative="t" stroked="f" coordorigin="0,0" coordsize="21600,21600">
            <v:fill on="f" color2="#FFFFFF" focus="0%"/>
            <v:imagedata gain="65536f" blacklevel="0f" gamma="0" o:title="图片1" r:id="rId10"/>
            <o:lock v:ext="edit" position="f" selection="f" grouping="f" rotation="f" cropping="f" text="f" aspectratio="t"/>
            <w10:wrap type="none"/>
            <w10:anchorlock/>
          </v:shape>
        </w:pict>
      </w:r>
    </w:p>
    <w:p>
      <w:pPr>
        <w:pStyle w:val="42"/>
        <w:framePr w:w="3543" w:vAnchor="text" w:hAnchor="page" w:x="3135" w:y="284"/>
        <w:rPr>
          <w:u w:val="single"/>
        </w:rPr>
      </w:pPr>
    </w:p>
    <w:p/>
    <w:sectPr>
      <w:pgSz w:w="11906" w:h="16838"/>
      <w:pgMar w:top="567" w:right="1134" w:bottom="1134" w:left="1417"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MS Mincho">
    <w:panose1 w:val="02020609040205080304"/>
    <w:charset w:val="80"/>
    <w:family w:val="auto"/>
    <w:pitch w:val="default"/>
    <w:sig w:usb0="A00002BF" w:usb1="68C7FCFB" w:usb2="00000010" w:usb3="00000000" w:csb0="4002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pPr>
    <w:r>
      <w:rPr>
        <w:rFonts w:ascii="宋体" w:hAnsi="Times New Roman" w:eastAsia="宋体" w:cs="Times New Roman"/>
        <w:sz w:val="18"/>
        <w:szCs w:val="18"/>
        <w:lang w:val="en-US" w:eastAsia="zh-CN" w:bidi="ar-SA"/>
      </w:rPr>
      <w:pict>
        <v:shape id="文本框 9" o:spid="_x0000_s1025" type="#_x0000_t202" style="position:absolute;left:0;margin-top:0pt;height:144pt;width:144pt;mso-position-horizontal:outside;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7"/>
    </w:pPr>
    <w:r>
      <w:fldChar w:fldCharType="begin"/>
    </w:r>
    <w:r>
      <w:instrText xml:space="preserve"> PAGE  \* MERGEFORMAT </w:instrText>
    </w:r>
    <w:r>
      <w:fldChar w:fldCharType="separate"/>
    </w:r>
    <w: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right="5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Pr>
    <w:r>
      <w:rPr>
        <w:rFonts w:hint="eastAsia"/>
      </w:rPr>
      <w:t xml:space="preserve">                                                                  DB4414 /T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8"/>
    </w:pPr>
    <w:r>
      <w:t>DB44/T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22498754">
    <w:nsid w:val="60B55DC2"/>
    <w:multiLevelType w:val="multilevel"/>
    <w:tmpl w:val="60B55DC2"/>
    <w:lvl w:ilvl="0" w:tentative="1">
      <w:start w:val="1"/>
      <w:numFmt w:val="upperLetter"/>
      <w:pStyle w:val="26"/>
      <w:lvlText w:val="%1"/>
      <w:lvlJc w:val="left"/>
      <w:pPr>
        <w:tabs>
          <w:tab w:val="left" w:pos="0"/>
        </w:tabs>
        <w:ind w:left="0" w:hanging="425"/>
      </w:pPr>
      <w:rPr>
        <w:rFonts w:hint="eastAsia"/>
      </w:rPr>
    </w:lvl>
    <w:lvl w:ilvl="1" w:tentative="1">
      <w:start w:val="1"/>
      <w:numFmt w:val="decimal"/>
      <w:pStyle w:val="27"/>
      <w:suff w:val="nothing"/>
      <w:lvlText w:val="表%1.%2　"/>
      <w:lvlJc w:val="left"/>
      <w:pPr>
        <w:ind w:left="567" w:hanging="567"/>
      </w:pPr>
      <w:rPr>
        <w:rFonts w:hint="eastAsia"/>
      </w:rPr>
    </w:lvl>
    <w:lvl w:ilvl="2" w:tentative="1">
      <w:start w:val="1"/>
      <w:numFmt w:val="decimal"/>
      <w:lvlText w:val="%1.%2.%3"/>
      <w:lvlJc w:val="left"/>
      <w:pPr>
        <w:tabs>
          <w:tab w:val="left" w:pos="993"/>
        </w:tabs>
        <w:ind w:left="993" w:hanging="567"/>
      </w:pPr>
      <w:rPr>
        <w:rFonts w:hint="eastAsia"/>
      </w:rPr>
    </w:lvl>
    <w:lvl w:ilvl="3" w:tentative="1">
      <w:start w:val="1"/>
      <w:numFmt w:val="decimal"/>
      <w:lvlText w:val="%1.%2.%3.%4"/>
      <w:lvlJc w:val="left"/>
      <w:pPr>
        <w:tabs>
          <w:tab w:val="left" w:pos="2291"/>
        </w:tabs>
        <w:ind w:left="1559" w:hanging="708"/>
      </w:pPr>
      <w:rPr>
        <w:rFonts w:hint="eastAsia"/>
      </w:rPr>
    </w:lvl>
    <w:lvl w:ilvl="4" w:tentative="1">
      <w:start w:val="1"/>
      <w:numFmt w:val="decimal"/>
      <w:lvlText w:val="%1.%2.%3.%4.%5"/>
      <w:lvlJc w:val="left"/>
      <w:pPr>
        <w:tabs>
          <w:tab w:val="left" w:pos="3076"/>
        </w:tabs>
        <w:ind w:left="2126" w:hanging="850"/>
      </w:pPr>
      <w:rPr>
        <w:rFonts w:hint="eastAsia"/>
      </w:rPr>
    </w:lvl>
    <w:lvl w:ilvl="5" w:tentative="1">
      <w:start w:val="1"/>
      <w:numFmt w:val="decimal"/>
      <w:lvlText w:val="%1.%2.%3.%4.%5.%6"/>
      <w:lvlJc w:val="left"/>
      <w:pPr>
        <w:tabs>
          <w:tab w:val="left" w:pos="3861"/>
        </w:tabs>
        <w:ind w:left="2835" w:hanging="1134"/>
      </w:pPr>
      <w:rPr>
        <w:rFonts w:hint="eastAsia"/>
      </w:rPr>
    </w:lvl>
    <w:lvl w:ilvl="6" w:tentative="1">
      <w:start w:val="1"/>
      <w:numFmt w:val="decimal"/>
      <w:lvlText w:val="%1.%2.%3.%4.%5.%6.%7"/>
      <w:lvlJc w:val="left"/>
      <w:pPr>
        <w:tabs>
          <w:tab w:val="left" w:pos="4646"/>
        </w:tabs>
        <w:ind w:left="3402" w:hanging="1276"/>
      </w:pPr>
      <w:rPr>
        <w:rFonts w:hint="eastAsia"/>
      </w:rPr>
    </w:lvl>
    <w:lvl w:ilvl="7" w:tentative="1">
      <w:start w:val="1"/>
      <w:numFmt w:val="decimal"/>
      <w:lvlText w:val="%1.%2.%3.%4.%5.%6.%7.%8"/>
      <w:lvlJc w:val="left"/>
      <w:pPr>
        <w:tabs>
          <w:tab w:val="left" w:pos="5431"/>
        </w:tabs>
        <w:ind w:left="3969" w:hanging="1418"/>
      </w:pPr>
      <w:rPr>
        <w:rFonts w:hint="eastAsia"/>
      </w:rPr>
    </w:lvl>
    <w:lvl w:ilvl="8" w:tentative="1">
      <w:start w:val="1"/>
      <w:numFmt w:val="decimal"/>
      <w:lvlText w:val="%1.%2.%3.%4.%5.%6.%7.%8.%9"/>
      <w:lvlJc w:val="left"/>
      <w:pPr>
        <w:tabs>
          <w:tab w:val="left" w:pos="6217"/>
        </w:tabs>
        <w:ind w:left="4677" w:hanging="1700"/>
      </w:pPr>
      <w:rPr>
        <w:rFonts w:hint="eastAsia"/>
      </w:rPr>
    </w:lvl>
  </w:abstractNum>
  <w:abstractNum w:abstractNumId="714043667">
    <w:nsid w:val="2A8F7113"/>
    <w:multiLevelType w:val="multilevel"/>
    <w:tmpl w:val="2A8F7113"/>
    <w:lvl w:ilvl="0" w:tentative="1">
      <w:start w:val="1"/>
      <w:numFmt w:val="upperLetter"/>
      <w:pStyle w:val="31"/>
      <w:suff w:val="space"/>
      <w:lvlText w:val="%1"/>
      <w:lvlJc w:val="left"/>
      <w:pPr>
        <w:ind w:left="623" w:hanging="425"/>
      </w:pPr>
      <w:rPr>
        <w:rFonts w:hint="eastAsia"/>
      </w:rPr>
    </w:lvl>
    <w:lvl w:ilvl="1" w:tentative="1">
      <w:start w:val="1"/>
      <w:numFmt w:val="decimal"/>
      <w:pStyle w:val="32"/>
      <w:suff w:val="nothing"/>
      <w:lvlText w:val="图%1.%2　"/>
      <w:lvlJc w:val="left"/>
      <w:pPr>
        <w:ind w:left="1190" w:hanging="567"/>
      </w:pPr>
      <w:rPr>
        <w:rFonts w:hint="eastAsia"/>
      </w:rPr>
    </w:lvl>
    <w:lvl w:ilvl="2" w:tentative="1">
      <w:start w:val="1"/>
      <w:numFmt w:val="decimal"/>
      <w:lvlText w:val="%1.%2.%3"/>
      <w:lvlJc w:val="left"/>
      <w:pPr>
        <w:tabs>
          <w:tab w:val="left" w:pos="1616"/>
        </w:tabs>
        <w:ind w:left="1616" w:hanging="567"/>
      </w:pPr>
      <w:rPr>
        <w:rFonts w:hint="eastAsia"/>
      </w:rPr>
    </w:lvl>
    <w:lvl w:ilvl="3" w:tentative="1">
      <w:start w:val="1"/>
      <w:numFmt w:val="decimal"/>
      <w:lvlText w:val="%1.%2.%3.%4"/>
      <w:lvlJc w:val="left"/>
      <w:pPr>
        <w:tabs>
          <w:tab w:val="left" w:pos="2914"/>
        </w:tabs>
        <w:ind w:left="2182" w:hanging="708"/>
      </w:pPr>
      <w:rPr>
        <w:rFonts w:hint="eastAsia"/>
      </w:rPr>
    </w:lvl>
    <w:lvl w:ilvl="4" w:tentative="1">
      <w:start w:val="1"/>
      <w:numFmt w:val="decimal"/>
      <w:lvlText w:val="%1.%2.%3.%4.%5"/>
      <w:lvlJc w:val="left"/>
      <w:pPr>
        <w:tabs>
          <w:tab w:val="left" w:pos="3699"/>
        </w:tabs>
        <w:ind w:left="2749" w:hanging="850"/>
      </w:pPr>
      <w:rPr>
        <w:rFonts w:hint="eastAsia"/>
      </w:rPr>
    </w:lvl>
    <w:lvl w:ilvl="5" w:tentative="1">
      <w:start w:val="1"/>
      <w:numFmt w:val="decimal"/>
      <w:lvlText w:val="%1.%2.%3.%4.%5.%6"/>
      <w:lvlJc w:val="left"/>
      <w:pPr>
        <w:tabs>
          <w:tab w:val="left" w:pos="4484"/>
        </w:tabs>
        <w:ind w:left="3458" w:hanging="1134"/>
      </w:pPr>
      <w:rPr>
        <w:rFonts w:hint="eastAsia"/>
      </w:rPr>
    </w:lvl>
    <w:lvl w:ilvl="6" w:tentative="1">
      <w:start w:val="1"/>
      <w:numFmt w:val="decimal"/>
      <w:lvlText w:val="%1.%2.%3.%4.%5.%6.%7"/>
      <w:lvlJc w:val="left"/>
      <w:pPr>
        <w:tabs>
          <w:tab w:val="left" w:pos="5269"/>
        </w:tabs>
        <w:ind w:left="4025" w:hanging="1276"/>
      </w:pPr>
      <w:rPr>
        <w:rFonts w:hint="eastAsia"/>
      </w:rPr>
    </w:lvl>
    <w:lvl w:ilvl="7" w:tentative="1">
      <w:start w:val="1"/>
      <w:numFmt w:val="decimal"/>
      <w:lvlText w:val="%1.%2.%3.%4.%5.%6.%7.%8"/>
      <w:lvlJc w:val="left"/>
      <w:pPr>
        <w:tabs>
          <w:tab w:val="left" w:pos="6054"/>
        </w:tabs>
        <w:ind w:left="4592" w:hanging="1418"/>
      </w:pPr>
      <w:rPr>
        <w:rFonts w:hint="eastAsia"/>
      </w:rPr>
    </w:lvl>
    <w:lvl w:ilvl="8" w:tentative="1">
      <w:start w:val="1"/>
      <w:numFmt w:val="decimal"/>
      <w:lvlText w:val="%1.%2.%3.%4.%5.%6.%7.%8.%9"/>
      <w:lvlJc w:val="left"/>
      <w:pPr>
        <w:tabs>
          <w:tab w:val="left" w:pos="6840"/>
        </w:tabs>
        <w:ind w:left="5300" w:hanging="1700"/>
      </w:pPr>
      <w:rPr>
        <w:rFonts w:hint="eastAsia"/>
      </w:rPr>
    </w:lvl>
  </w:abstractNum>
  <w:abstractNum w:abstractNumId="533270883">
    <w:nsid w:val="1FC91163"/>
    <w:multiLevelType w:val="multilevel"/>
    <w:tmpl w:val="1FC91163"/>
    <w:lvl w:ilvl="0" w:tentative="1">
      <w:start w:val="1"/>
      <w:numFmt w:val="decimal"/>
      <w:pStyle w:val="10"/>
      <w:suff w:val="nothing"/>
      <w:lvlText w:val="%1　"/>
      <w:lvlJc w:val="left"/>
      <w:pPr>
        <w:ind w:left="0" w:firstLine="0"/>
      </w:pPr>
      <w:rPr>
        <w:rFonts w:hint="eastAsia" w:ascii="黑体" w:hAnsi="Times New Roman" w:eastAsia="黑体"/>
        <w:b w:val="0"/>
        <w:i w:val="0"/>
        <w:sz w:val="21"/>
        <w:szCs w:val="21"/>
      </w:rPr>
    </w:lvl>
    <w:lvl w:ilvl="1" w:tentative="1">
      <w:start w:val="1"/>
      <w:numFmt w:val="decimal"/>
      <w:pStyle w:val="7"/>
      <w:suff w:val="nothing"/>
      <w:lvlText w:val="%1.%2　"/>
      <w:lvlJc w:val="left"/>
      <w:pPr>
        <w:ind w:left="284" w:firstLine="0"/>
      </w:pPr>
      <w:rPr>
        <w:rFonts w:hint="eastAsia" w:ascii="黑体" w:hAnsi="Times New Roman" w:eastAsia="黑体" w:cs="Times New Roman"/>
        <w:b w:val="0"/>
        <w:bCs w:val="0"/>
        <w:i w:val="0"/>
        <w:iCs w:val="0"/>
        <w:caps w:val="0"/>
        <w:strike w:val="0"/>
        <w:dstrike w:val="0"/>
        <w:outline w:val="0"/>
        <w:shadow w:val="0"/>
        <w:spacing w:val="0"/>
        <w:kern w:val="0"/>
        <w:position w:val="0"/>
        <w:sz w:val="21"/>
        <w:szCs w:val="21"/>
        <w:u w:val="none"/>
      </w:rPr>
    </w:lvl>
    <w:lvl w:ilvl="2" w:tentative="1">
      <w:start w:val="1"/>
      <w:numFmt w:val="decimal"/>
      <w:pStyle w:val="11"/>
      <w:suff w:val="nothing"/>
      <w:lvlText w:val="%1.%2.%3　"/>
      <w:lvlJc w:val="left"/>
      <w:pPr>
        <w:ind w:left="426" w:firstLine="0"/>
      </w:pPr>
      <w:rPr>
        <w:rFonts w:hint="eastAsia" w:ascii="黑体" w:hAnsi="Times New Roman" w:eastAsia="黑体"/>
        <w:b w:val="0"/>
        <w:i w:val="0"/>
        <w:sz w:val="21"/>
      </w:rPr>
    </w:lvl>
    <w:lvl w:ilvl="3" w:tentative="1">
      <w:start w:val="1"/>
      <w:numFmt w:val="decimal"/>
      <w:suff w:val="nothing"/>
      <w:lvlText w:val="%1.%2.%3.%4　"/>
      <w:lvlJc w:val="left"/>
      <w:pPr>
        <w:ind w:left="0" w:firstLine="0"/>
      </w:pPr>
      <w:rPr>
        <w:rFonts w:hint="eastAsia" w:ascii="黑体" w:hAnsi="Times New Roman" w:eastAsia="黑体"/>
        <w:b w:val="0"/>
        <w:i w:val="0"/>
        <w:sz w:val="21"/>
      </w:rPr>
    </w:lvl>
    <w:lvl w:ilvl="4" w:tentative="1">
      <w:start w:val="1"/>
      <w:numFmt w:val="decimal"/>
      <w:pStyle w:val="15"/>
      <w:suff w:val="nothing"/>
      <w:lvlText w:val="%1.%2.%3.%4.%5　"/>
      <w:lvlJc w:val="left"/>
      <w:pPr>
        <w:ind w:left="1134" w:firstLine="0"/>
      </w:pPr>
      <w:rPr>
        <w:rFonts w:hint="eastAsia" w:ascii="黑体" w:hAnsi="Times New Roman" w:eastAsia="黑体"/>
        <w:b w:val="0"/>
        <w:i w:val="0"/>
        <w:sz w:val="21"/>
      </w:rPr>
    </w:lvl>
    <w:lvl w:ilvl="5" w:tentative="1">
      <w:start w:val="1"/>
      <w:numFmt w:val="decimal"/>
      <w:pStyle w:val="16"/>
      <w:suff w:val="nothing"/>
      <w:lvlText w:val="%1.%2.%3.%4.%5.%6　"/>
      <w:lvlJc w:val="left"/>
      <w:pPr>
        <w:ind w:left="0" w:firstLine="0"/>
      </w:pPr>
      <w:rPr>
        <w:rFonts w:hint="eastAsia" w:ascii="黑体" w:hAnsi="Times New Roman" w:eastAsia="黑体"/>
        <w:b w:val="0"/>
        <w:i w:val="0"/>
        <w:sz w:val="21"/>
      </w:rPr>
    </w:lvl>
    <w:lvl w:ilvl="6" w:tentative="1">
      <w:start w:val="1"/>
      <w:numFmt w:val="decimal"/>
      <w:suff w:val="nothing"/>
      <w:lvlText w:val="%1%2.%3.%4.%5.%6.%7　"/>
      <w:lvlJc w:val="left"/>
      <w:pPr>
        <w:ind w:left="0" w:firstLine="0"/>
      </w:pPr>
      <w:rPr>
        <w:rFonts w:hint="eastAsia" w:ascii="黑体" w:hAnsi="Times New Roman" w:eastAsia="黑体"/>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1684168954">
    <w:nsid w:val="646260FA"/>
    <w:multiLevelType w:val="multilevel"/>
    <w:tmpl w:val="646260FA"/>
    <w:lvl w:ilvl="0" w:tentative="1">
      <w:start w:val="1"/>
      <w:numFmt w:val="decimal"/>
      <w:pStyle w:val="41"/>
      <w:suff w:val="nothing"/>
      <w:lvlText w:val="表%1　"/>
      <w:lvlJc w:val="left"/>
      <w:pPr>
        <w:ind w:left="0" w:firstLine="0"/>
      </w:pPr>
      <w:rPr>
        <w:rFonts w:hint="eastAsia" w:ascii="黑体" w:hAnsi="Times New Roman" w:eastAsia="黑体"/>
        <w:b w:val="0"/>
        <w:i w:val="0"/>
        <w:sz w:val="21"/>
      </w:rPr>
    </w:lvl>
    <w:lvl w:ilvl="1" w:tentative="1">
      <w:start w:val="1"/>
      <w:numFmt w:val="decimal"/>
      <w:lvlText w:val="%1.%2"/>
      <w:lvlJc w:val="left"/>
      <w:pPr>
        <w:tabs>
          <w:tab w:val="left" w:pos="992"/>
        </w:tabs>
        <w:ind w:left="992" w:hanging="567"/>
      </w:pPr>
      <w:rPr>
        <w:rFonts w:hint="eastAsia"/>
      </w:rPr>
    </w:lvl>
    <w:lvl w:ilvl="2" w:tentative="1">
      <w:start w:val="1"/>
      <w:numFmt w:val="decimal"/>
      <w:lvlText w:val="%1.%2.%3"/>
      <w:lvlJc w:val="left"/>
      <w:pPr>
        <w:tabs>
          <w:tab w:val="left" w:pos="1418"/>
        </w:tabs>
        <w:ind w:left="1418" w:hanging="567"/>
      </w:pPr>
      <w:rPr>
        <w:rFonts w:hint="eastAsia"/>
      </w:rPr>
    </w:lvl>
    <w:lvl w:ilvl="3" w:tentative="1">
      <w:start w:val="1"/>
      <w:numFmt w:val="decimal"/>
      <w:lvlText w:val="%1.%2.%3.%4"/>
      <w:lvlJc w:val="left"/>
      <w:pPr>
        <w:tabs>
          <w:tab w:val="left" w:pos="1984"/>
        </w:tabs>
        <w:ind w:left="1984" w:hanging="708"/>
      </w:pPr>
      <w:rPr>
        <w:rFonts w:hint="eastAsia"/>
      </w:rPr>
    </w:lvl>
    <w:lvl w:ilvl="4" w:tentative="1">
      <w:start w:val="1"/>
      <w:numFmt w:val="decimal"/>
      <w:lvlText w:val="%1.%2.%3.%4.%5"/>
      <w:lvlJc w:val="left"/>
      <w:pPr>
        <w:tabs>
          <w:tab w:val="left" w:pos="2551"/>
        </w:tabs>
        <w:ind w:left="2551" w:hanging="850"/>
      </w:pPr>
      <w:rPr>
        <w:rFonts w:hint="eastAsia"/>
      </w:rPr>
    </w:lvl>
    <w:lvl w:ilvl="5" w:tentative="1">
      <w:start w:val="1"/>
      <w:numFmt w:val="decimal"/>
      <w:lvlText w:val="%1.%2.%3.%4.%5.%6"/>
      <w:lvlJc w:val="left"/>
      <w:pPr>
        <w:tabs>
          <w:tab w:val="left" w:pos="3260"/>
        </w:tabs>
        <w:ind w:left="3260" w:hanging="1134"/>
      </w:pPr>
      <w:rPr>
        <w:rFonts w:hint="eastAsia"/>
      </w:rPr>
    </w:lvl>
    <w:lvl w:ilvl="6" w:tentative="1">
      <w:start w:val="1"/>
      <w:numFmt w:val="decimal"/>
      <w:lvlText w:val="%1.%2.%3.%4.%5.%6.%7"/>
      <w:lvlJc w:val="left"/>
      <w:pPr>
        <w:tabs>
          <w:tab w:val="left" w:pos="3827"/>
        </w:tabs>
        <w:ind w:left="3827" w:hanging="1276"/>
      </w:pPr>
      <w:rPr>
        <w:rFonts w:hint="eastAsia"/>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1702707132">
    <w:nsid w:val="657D3FBC"/>
    <w:multiLevelType w:val="multilevel"/>
    <w:tmpl w:val="657D3FBC"/>
    <w:lvl w:ilvl="0" w:tentative="1">
      <w:start w:val="1"/>
      <w:numFmt w:val="upperLetter"/>
      <w:pStyle w:val="25"/>
      <w:suff w:val="nothing"/>
      <w:lvlText w:val="附　录　%1"/>
      <w:lvlJc w:val="left"/>
      <w:pPr>
        <w:ind w:left="0" w:firstLine="0"/>
      </w:pPr>
      <w:rPr>
        <w:rFonts w:hint="eastAsia" w:ascii="黑体" w:hAnsi="Times New Roman" w:eastAsia="黑体"/>
        <w:b w:val="0"/>
        <w:i w:val="0"/>
        <w:spacing w:val="0"/>
        <w:w w:val="100"/>
        <w:sz w:val="21"/>
      </w:rPr>
    </w:lvl>
    <w:lvl w:ilvl="1" w:tentative="1">
      <w:start w:val="1"/>
      <w:numFmt w:val="decimal"/>
      <w:pStyle w:val="34"/>
      <w:suff w:val="nothing"/>
      <w:lvlText w:val="%1.%2　"/>
      <w:lvlJc w:val="left"/>
      <w:pPr>
        <w:ind w:left="0" w:firstLine="0"/>
      </w:pPr>
      <w:rPr>
        <w:rFonts w:hint="eastAsia" w:ascii="黑体" w:hAnsi="Times New Roman" w:eastAsia="黑体"/>
        <w:b w:val="0"/>
        <w:i w:val="0"/>
        <w:spacing w:val="0"/>
        <w:w w:val="100"/>
        <w:kern w:val="21"/>
        <w:sz w:val="21"/>
      </w:rPr>
    </w:lvl>
    <w:lvl w:ilvl="2" w:tentative="1">
      <w:start w:val="1"/>
      <w:numFmt w:val="decimal"/>
      <w:pStyle w:val="35"/>
      <w:suff w:val="nothing"/>
      <w:lvlText w:val="%1.%2.%3　"/>
      <w:lvlJc w:val="left"/>
      <w:pPr>
        <w:ind w:left="0" w:firstLine="0"/>
      </w:pPr>
      <w:rPr>
        <w:rFonts w:hint="eastAsia" w:ascii="黑体" w:hAnsi="Times New Roman" w:eastAsia="黑体"/>
        <w:b w:val="0"/>
        <w:i w:val="0"/>
        <w:sz w:val="21"/>
      </w:rPr>
    </w:lvl>
    <w:lvl w:ilvl="3" w:tentative="1">
      <w:start w:val="1"/>
      <w:numFmt w:val="decimal"/>
      <w:pStyle w:val="28"/>
      <w:suff w:val="nothing"/>
      <w:lvlText w:val="%1.%2.%3.%4　"/>
      <w:lvlJc w:val="left"/>
      <w:pPr>
        <w:ind w:left="0" w:firstLine="0"/>
      </w:pPr>
      <w:rPr>
        <w:rFonts w:hint="eastAsia" w:ascii="黑体" w:hAnsi="Times New Roman" w:eastAsia="黑体"/>
        <w:b w:val="0"/>
        <w:i w:val="0"/>
        <w:sz w:val="21"/>
      </w:rPr>
    </w:lvl>
    <w:lvl w:ilvl="4" w:tentative="1">
      <w:start w:val="1"/>
      <w:numFmt w:val="decimal"/>
      <w:pStyle w:val="29"/>
      <w:suff w:val="nothing"/>
      <w:lvlText w:val="%1.%2.%3.%4.%5　"/>
      <w:lvlJc w:val="left"/>
      <w:pPr>
        <w:ind w:left="0" w:firstLine="0"/>
      </w:pPr>
      <w:rPr>
        <w:rFonts w:hint="eastAsia" w:ascii="黑体" w:hAnsi="Times New Roman" w:eastAsia="黑体"/>
        <w:b w:val="0"/>
        <w:i w:val="0"/>
        <w:sz w:val="21"/>
      </w:rPr>
    </w:lvl>
    <w:lvl w:ilvl="5" w:tentative="1">
      <w:start w:val="1"/>
      <w:numFmt w:val="decimal"/>
      <w:pStyle w:val="30"/>
      <w:suff w:val="nothing"/>
      <w:lvlText w:val="%1.%2.%3.%4.%5.%6　"/>
      <w:lvlJc w:val="left"/>
      <w:pPr>
        <w:ind w:left="0" w:firstLine="0"/>
      </w:pPr>
      <w:rPr>
        <w:rFonts w:hint="eastAsia" w:ascii="黑体" w:hAnsi="Times New Roman" w:eastAsia="黑体"/>
        <w:b w:val="0"/>
        <w:i w:val="0"/>
        <w:sz w:val="21"/>
      </w:rPr>
    </w:lvl>
    <w:lvl w:ilvl="6" w:tentative="1">
      <w:start w:val="1"/>
      <w:numFmt w:val="decimal"/>
      <w:pStyle w:val="33"/>
      <w:suff w:val="nothing"/>
      <w:lvlText w:val="%1.%2.%3.%4.%5.%6.%7　"/>
      <w:lvlJc w:val="left"/>
      <w:pPr>
        <w:ind w:left="0" w:firstLine="0"/>
      </w:pPr>
      <w:rPr>
        <w:rFonts w:hint="eastAsia" w:ascii="黑体" w:hAnsi="Times New Roman" w:eastAsia="黑体"/>
        <w:b w:val="0"/>
        <w:i w:val="0"/>
        <w:sz w:val="21"/>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num w:numId="1">
    <w:abstractNumId w:val="533270883"/>
  </w:num>
  <w:num w:numId="2">
    <w:abstractNumId w:val="1702707132"/>
  </w:num>
  <w:num w:numId="3">
    <w:abstractNumId w:val="1622498754"/>
  </w:num>
  <w:num w:numId="4">
    <w:abstractNumId w:val="714043667"/>
  </w:num>
  <w:num w:numId="5">
    <w:abstractNumId w:val="16841689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4C0CCC"/>
    <w:rsid w:val="0001752E"/>
    <w:rsid w:val="00082E86"/>
    <w:rsid w:val="000A4422"/>
    <w:rsid w:val="000C0EDD"/>
    <w:rsid w:val="000C5AC3"/>
    <w:rsid w:val="00214CB5"/>
    <w:rsid w:val="00294233"/>
    <w:rsid w:val="002951EA"/>
    <w:rsid w:val="003F46E7"/>
    <w:rsid w:val="004654D6"/>
    <w:rsid w:val="00483221"/>
    <w:rsid w:val="004A600C"/>
    <w:rsid w:val="004C0CCC"/>
    <w:rsid w:val="004D21FE"/>
    <w:rsid w:val="00525A92"/>
    <w:rsid w:val="00626721"/>
    <w:rsid w:val="006520A6"/>
    <w:rsid w:val="007200EC"/>
    <w:rsid w:val="008C62B9"/>
    <w:rsid w:val="00A06594"/>
    <w:rsid w:val="00C46009"/>
    <w:rsid w:val="00E80490"/>
    <w:rsid w:val="02E16D6C"/>
    <w:rsid w:val="07887B38"/>
    <w:rsid w:val="0AB03C6B"/>
    <w:rsid w:val="14522C02"/>
    <w:rsid w:val="1B8F6422"/>
    <w:rsid w:val="22A44D2D"/>
    <w:rsid w:val="2393619B"/>
    <w:rsid w:val="2B6B0D99"/>
    <w:rsid w:val="32B21718"/>
    <w:rsid w:val="36517EAE"/>
    <w:rsid w:val="38216378"/>
    <w:rsid w:val="38FE2FD9"/>
    <w:rsid w:val="3EEE156E"/>
    <w:rsid w:val="3F297217"/>
    <w:rsid w:val="3FE561EE"/>
    <w:rsid w:val="448C6957"/>
    <w:rsid w:val="473E6B39"/>
    <w:rsid w:val="48F3633A"/>
    <w:rsid w:val="4EE4294B"/>
    <w:rsid w:val="50A81B6F"/>
    <w:rsid w:val="516E2F0C"/>
    <w:rsid w:val="53A4589A"/>
    <w:rsid w:val="53B641F1"/>
    <w:rsid w:val="586925D9"/>
    <w:rsid w:val="5A7241DD"/>
    <w:rsid w:val="5C031B57"/>
    <w:rsid w:val="5D3D05DA"/>
    <w:rsid w:val="60B41426"/>
    <w:rsid w:val="61497760"/>
    <w:rsid w:val="62645375"/>
    <w:rsid w:val="64417E73"/>
    <w:rsid w:val="68D378DC"/>
    <w:rsid w:val="6C060C13"/>
    <w:rsid w:val="6DFF25CE"/>
    <w:rsid w:val="75C15CD8"/>
    <w:rsid w:val="779F56CA"/>
    <w:rsid w:val="78BB3675"/>
    <w:rsid w:val="78FF6563"/>
    <w:rsid w:val="7C8E58DA"/>
    <w:rsid w:val="7CC46A13"/>
    <w:rsid w:val="7DC13D71"/>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黑体" w:hAnsi="黑体" w:eastAsia="黑体" w:cs="黑体"/>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黑体" w:hAnsi="宋体" w:eastAsia="黑体" w:cs="Times New Roman"/>
      <w:sz w:val="5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46"/>
    <w:uiPriority w:val="0"/>
    <w:pPr>
      <w:snapToGrid w:val="0"/>
      <w:ind w:right="210" w:rightChars="100"/>
      <w:jc w:val="right"/>
    </w:pPr>
    <w:rPr>
      <w:rFonts w:ascii="Times New Roman" w:hAnsi="Times New Roman" w:eastAsia="宋体"/>
      <w:kern w:val="2"/>
      <w:sz w:val="18"/>
      <w:szCs w:val="18"/>
    </w:rPr>
  </w:style>
  <w:style w:type="paragraph" w:styleId="3">
    <w:name w:val="header"/>
    <w:basedOn w:val="1"/>
    <w:link w:val="47"/>
    <w:uiPriority w:val="0"/>
    <w:pPr>
      <w:snapToGrid w:val="0"/>
      <w:jc w:val="left"/>
    </w:pPr>
    <w:rPr>
      <w:rFonts w:ascii="Times New Roman" w:hAnsi="Times New Roman" w:eastAsia="宋体"/>
      <w:kern w:val="2"/>
      <w:sz w:val="18"/>
      <w:szCs w:val="18"/>
    </w:rPr>
  </w:style>
  <w:style w:type="paragraph" w:customStyle="1" w:styleId="6">
    <w:name w:val="段"/>
    <w:link w:val="45"/>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7">
    <w:name w:val="一级条标题"/>
    <w:next w:val="6"/>
    <w:uiPriority w:val="0"/>
    <w:pPr>
      <w:numPr>
        <w:ilvl w:val="1"/>
        <w:numId w:val="1"/>
      </w:numPr>
      <w:spacing w:beforeLines="50" w:afterLines="50"/>
      <w:ind w:left="0"/>
      <w:outlineLvl w:val="2"/>
    </w:pPr>
    <w:rPr>
      <w:rFonts w:ascii="黑体" w:hAnsi="Times New Roman" w:eastAsia="黑体" w:cs="Times New Roman"/>
      <w:sz w:val="21"/>
      <w:szCs w:val="21"/>
      <w:lang w:val="en-US" w:eastAsia="zh-CN" w:bidi="ar-SA"/>
    </w:rPr>
  </w:style>
  <w:style w:type="paragraph" w:customStyle="1" w:styleId="8">
    <w:name w:val="标准书脚_奇数页"/>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9">
    <w:name w:val="标准书眉_奇数页"/>
    <w:next w:val="1"/>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0">
    <w:name w:val="章标题"/>
    <w:next w:val="6"/>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1">
    <w:name w:val="二级条标题"/>
    <w:basedOn w:val="7"/>
    <w:next w:val="6"/>
    <w:uiPriority w:val="0"/>
    <w:pPr>
      <w:numPr>
        <w:ilvl w:val="2"/>
        <w:numId w:val="1"/>
      </w:numPr>
      <w:spacing w:before="50" w:after="50"/>
      <w:outlineLvl w:val="3"/>
    </w:pPr>
  </w:style>
  <w:style w:type="paragraph" w:customStyle="1" w:styleId="12">
    <w:name w:val="封面标准号2"/>
    <w:uiPriority w:val="0"/>
    <w:pPr>
      <w:spacing w:before="357" w:line="280" w:lineRule="exact"/>
      <w:jc w:val="right"/>
    </w:pPr>
    <w:rPr>
      <w:rFonts w:ascii="黑体" w:hAnsi="Times New Roman" w:eastAsia="黑体" w:cs="Times New Roman"/>
      <w:sz w:val="28"/>
      <w:szCs w:val="28"/>
      <w:lang w:val="en-US" w:eastAsia="zh-CN" w:bidi="ar-SA"/>
    </w:rPr>
  </w:style>
  <w:style w:type="paragraph" w:customStyle="1" w:styleId="13">
    <w:name w:val="目次、标准名称标题"/>
    <w:basedOn w:val="1"/>
    <w:next w:val="6"/>
    <w:uiPriority w:val="0"/>
    <w:pPr>
      <w:keepNext/>
      <w:pageBreakBefore/>
      <w:widowControl/>
      <w:shd w:val="clear" w:color="FFFFFF" w:fill="FFFFFF"/>
      <w:spacing w:before="640" w:after="560" w:line="460" w:lineRule="exact"/>
      <w:jc w:val="center"/>
      <w:outlineLvl w:val="0"/>
    </w:pPr>
    <w:rPr>
      <w:rFonts w:hAnsi="Times New Roman"/>
      <w:sz w:val="32"/>
    </w:rPr>
  </w:style>
  <w:style w:type="paragraph" w:customStyle="1" w:styleId="14">
    <w:name w:val="三级条标题"/>
    <w:basedOn w:val="11"/>
    <w:next w:val="6"/>
    <w:uiPriority w:val="0"/>
    <w:pPr>
      <w:numPr>
        <w:ilvl w:val="2"/>
        <w:numId w:val="0"/>
      </w:numPr>
      <w:outlineLvl w:val="4"/>
    </w:pPr>
  </w:style>
  <w:style w:type="paragraph" w:customStyle="1" w:styleId="15">
    <w:name w:val="四级条标题"/>
    <w:basedOn w:val="14"/>
    <w:next w:val="6"/>
    <w:uiPriority w:val="0"/>
    <w:pPr>
      <w:numPr>
        <w:ilvl w:val="4"/>
        <w:numId w:val="1"/>
      </w:numPr>
      <w:outlineLvl w:val="5"/>
    </w:pPr>
  </w:style>
  <w:style w:type="paragraph" w:customStyle="1" w:styleId="16">
    <w:name w:val="五级条标题"/>
    <w:basedOn w:val="15"/>
    <w:next w:val="6"/>
    <w:uiPriority w:val="0"/>
    <w:pPr>
      <w:numPr>
        <w:ilvl w:val="5"/>
        <w:numId w:val="1"/>
      </w:numPr>
      <w:outlineLvl w:val="6"/>
    </w:pPr>
  </w:style>
  <w:style w:type="paragraph" w:customStyle="1" w:styleId="17">
    <w:name w:val="标准书脚_偶数页"/>
    <w:uiPriority w:val="0"/>
    <w:pPr>
      <w:spacing w:before="120"/>
      <w:ind w:left="221"/>
    </w:pPr>
    <w:rPr>
      <w:rFonts w:ascii="宋体" w:hAnsi="Times New Roman" w:eastAsia="宋体" w:cs="Times New Roman"/>
      <w:sz w:val="18"/>
      <w:szCs w:val="18"/>
      <w:lang w:val="en-US" w:eastAsia="zh-CN" w:bidi="ar-SA"/>
    </w:rPr>
  </w:style>
  <w:style w:type="paragraph" w:customStyle="1" w:styleId="18">
    <w:name w:val="标准书眉_偶数页"/>
    <w:basedOn w:val="9"/>
    <w:next w:val="1"/>
    <w:uiPriority w:val="0"/>
    <w:pPr>
      <w:jc w:val="left"/>
    </w:pPr>
  </w:style>
  <w:style w:type="paragraph" w:customStyle="1" w:styleId="19">
    <w:name w:val="封面标准代替信息"/>
    <w:uiPriority w:val="0"/>
    <w:pPr>
      <w:spacing w:before="57" w:line="280" w:lineRule="exact"/>
      <w:jc w:val="right"/>
    </w:pPr>
    <w:rPr>
      <w:rFonts w:ascii="宋体" w:hAnsi="Times New Roman" w:eastAsia="宋体" w:cs="Times New Roman"/>
      <w:sz w:val="21"/>
      <w:szCs w:val="21"/>
      <w:lang w:val="en-US" w:eastAsia="zh-CN" w:bidi="ar-SA"/>
    </w:rPr>
  </w:style>
  <w:style w:type="paragraph" w:customStyle="1" w:styleId="20">
    <w:name w:val="封面标准名称"/>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1">
    <w:name w:val="封面标准英文名称"/>
    <w:basedOn w:val="20"/>
    <w:uiPriority w:val="0"/>
    <w:pPr>
      <w:framePr w:wrap="around" w:vAnchor="margin" w:hAnchor="text" w:y="1"/>
      <w:spacing w:before="370" w:line="400" w:lineRule="exact"/>
    </w:pPr>
    <w:rPr>
      <w:rFonts w:ascii="Times New Roman"/>
      <w:sz w:val="28"/>
      <w:szCs w:val="28"/>
    </w:rPr>
  </w:style>
  <w:style w:type="paragraph" w:customStyle="1" w:styleId="22">
    <w:name w:val="封面一致性程度标识"/>
    <w:basedOn w:val="21"/>
    <w:uiPriority w:val="0"/>
    <w:pPr>
      <w:spacing w:before="440"/>
    </w:pPr>
    <w:rPr>
      <w:rFonts w:ascii="宋体" w:eastAsia="宋体"/>
    </w:rPr>
  </w:style>
  <w:style w:type="paragraph" w:customStyle="1" w:styleId="23">
    <w:name w:val="封面标准文稿类别"/>
    <w:basedOn w:val="22"/>
    <w:uiPriority w:val="0"/>
    <w:pPr>
      <w:spacing w:after="160" w:line="240" w:lineRule="auto"/>
    </w:pPr>
    <w:rPr>
      <w:sz w:val="24"/>
    </w:rPr>
  </w:style>
  <w:style w:type="paragraph" w:customStyle="1" w:styleId="24">
    <w:name w:val="封面标准文稿编辑信息"/>
    <w:basedOn w:val="23"/>
    <w:uiPriority w:val="0"/>
    <w:pPr>
      <w:spacing w:before="180" w:line="180" w:lineRule="exact"/>
    </w:pPr>
    <w:rPr>
      <w:sz w:val="21"/>
    </w:rPr>
  </w:style>
  <w:style w:type="paragraph" w:customStyle="1" w:styleId="25">
    <w:name w:val="附录标识"/>
    <w:basedOn w:val="1"/>
    <w:next w:val="6"/>
    <w:uiPriority w:val="0"/>
    <w:pPr>
      <w:keepNext/>
      <w:widowControl/>
      <w:numPr>
        <w:ilvl w:val="0"/>
        <w:numId w:val="2"/>
      </w:numPr>
      <w:shd w:val="clear" w:color="FFFFFF" w:fill="FFFFFF"/>
      <w:tabs>
        <w:tab w:val="left" w:pos="360"/>
        <w:tab w:val="left" w:pos="6405"/>
      </w:tabs>
      <w:spacing w:before="640" w:after="280"/>
      <w:jc w:val="center"/>
      <w:outlineLvl w:val="0"/>
    </w:pPr>
    <w:rPr>
      <w:rFonts w:hAnsi="Times New Roman"/>
      <w:sz w:val="21"/>
    </w:rPr>
  </w:style>
  <w:style w:type="paragraph" w:customStyle="1" w:styleId="26">
    <w:name w:val="附录表标号"/>
    <w:basedOn w:val="1"/>
    <w:next w:val="6"/>
    <w:uiPriority w:val="0"/>
    <w:pPr>
      <w:numPr>
        <w:ilvl w:val="0"/>
        <w:numId w:val="3"/>
      </w:numPr>
      <w:spacing w:line="14" w:lineRule="exact"/>
      <w:ind w:left="811" w:hanging="448"/>
      <w:jc w:val="center"/>
      <w:outlineLvl w:val="0"/>
    </w:pPr>
    <w:rPr>
      <w:rFonts w:ascii="Times New Roman" w:hAnsi="Times New Roman" w:eastAsia="宋体"/>
      <w:color w:val="FFFFFF"/>
      <w:kern w:val="2"/>
      <w:sz w:val="21"/>
      <w:szCs w:val="24"/>
    </w:rPr>
  </w:style>
  <w:style w:type="paragraph" w:customStyle="1" w:styleId="27">
    <w:name w:val="附录表标题"/>
    <w:basedOn w:val="1"/>
    <w:next w:val="6"/>
    <w:uiPriority w:val="0"/>
    <w:pPr>
      <w:numPr>
        <w:ilvl w:val="1"/>
        <w:numId w:val="3"/>
      </w:numPr>
      <w:tabs>
        <w:tab w:val="left" w:pos="0"/>
        <w:tab w:val="left" w:pos="180"/>
      </w:tabs>
      <w:spacing w:beforeLines="50" w:afterLines="50"/>
      <w:ind w:left="0" w:firstLine="0"/>
      <w:jc w:val="center"/>
    </w:pPr>
    <w:rPr>
      <w:rFonts w:hAnsi="Times New Roman"/>
      <w:kern w:val="2"/>
      <w:sz w:val="21"/>
      <w:szCs w:val="21"/>
    </w:rPr>
  </w:style>
  <w:style w:type="paragraph" w:customStyle="1" w:styleId="28">
    <w:name w:val="附录二级条标题"/>
    <w:basedOn w:val="1"/>
    <w:next w:val="6"/>
    <w:uiPriority w:val="0"/>
    <w:pPr>
      <w:widowControl/>
      <w:numPr>
        <w:ilvl w:val="3"/>
        <w:numId w:val="2"/>
      </w:numPr>
      <w:tabs>
        <w:tab w:val="left" w:pos="360"/>
      </w:tabs>
      <w:wordWrap w:val="0"/>
      <w:overflowPunct w:val="0"/>
      <w:autoSpaceDE w:val="0"/>
      <w:autoSpaceDN w:val="0"/>
      <w:spacing w:beforeLines="50" w:afterLines="50"/>
      <w:textAlignment w:val="baseline"/>
      <w:outlineLvl w:val="3"/>
    </w:pPr>
    <w:rPr>
      <w:rFonts w:hAnsi="Times New Roman"/>
      <w:kern w:val="21"/>
      <w:sz w:val="21"/>
    </w:rPr>
  </w:style>
  <w:style w:type="paragraph" w:customStyle="1" w:styleId="29">
    <w:name w:val="附录三级条标题"/>
    <w:basedOn w:val="28"/>
    <w:next w:val="6"/>
    <w:uiPriority w:val="0"/>
    <w:pPr>
      <w:numPr>
        <w:ilvl w:val="4"/>
        <w:numId w:val="2"/>
      </w:numPr>
      <w:outlineLvl w:val="4"/>
    </w:pPr>
  </w:style>
  <w:style w:type="paragraph" w:customStyle="1" w:styleId="30">
    <w:name w:val="附录四级条标题"/>
    <w:basedOn w:val="29"/>
    <w:next w:val="6"/>
    <w:uiPriority w:val="0"/>
    <w:pPr>
      <w:numPr>
        <w:ilvl w:val="5"/>
        <w:numId w:val="2"/>
      </w:numPr>
      <w:outlineLvl w:val="5"/>
    </w:pPr>
  </w:style>
  <w:style w:type="paragraph" w:customStyle="1" w:styleId="31">
    <w:name w:val="附录图标号"/>
    <w:basedOn w:val="1"/>
    <w:uiPriority w:val="0"/>
    <w:pPr>
      <w:keepNext/>
      <w:pageBreakBefore/>
      <w:widowControl/>
      <w:numPr>
        <w:ilvl w:val="0"/>
        <w:numId w:val="4"/>
      </w:numPr>
      <w:spacing w:line="14" w:lineRule="exact"/>
      <w:ind w:left="0" w:firstLine="363"/>
      <w:jc w:val="center"/>
      <w:outlineLvl w:val="0"/>
    </w:pPr>
    <w:rPr>
      <w:rFonts w:ascii="Times New Roman" w:hAnsi="Times New Roman" w:eastAsia="宋体"/>
      <w:color w:val="FFFFFF"/>
      <w:kern w:val="2"/>
      <w:sz w:val="21"/>
      <w:szCs w:val="24"/>
    </w:rPr>
  </w:style>
  <w:style w:type="paragraph" w:customStyle="1" w:styleId="32">
    <w:name w:val="附录图标题"/>
    <w:basedOn w:val="1"/>
    <w:next w:val="6"/>
    <w:uiPriority w:val="0"/>
    <w:pPr>
      <w:numPr>
        <w:ilvl w:val="1"/>
        <w:numId w:val="4"/>
      </w:numPr>
      <w:tabs>
        <w:tab w:val="left" w:pos="363"/>
      </w:tabs>
      <w:spacing w:beforeLines="50" w:afterLines="50"/>
      <w:ind w:left="0" w:firstLine="0"/>
      <w:jc w:val="center"/>
    </w:pPr>
    <w:rPr>
      <w:rFonts w:hAnsi="Times New Roman"/>
      <w:kern w:val="2"/>
      <w:sz w:val="21"/>
      <w:szCs w:val="21"/>
    </w:rPr>
  </w:style>
  <w:style w:type="paragraph" w:customStyle="1" w:styleId="33">
    <w:name w:val="附录五级条标题"/>
    <w:basedOn w:val="30"/>
    <w:next w:val="6"/>
    <w:uiPriority w:val="0"/>
    <w:pPr>
      <w:numPr>
        <w:ilvl w:val="6"/>
        <w:numId w:val="2"/>
      </w:numPr>
      <w:outlineLvl w:val="6"/>
    </w:pPr>
  </w:style>
  <w:style w:type="paragraph" w:customStyle="1" w:styleId="34">
    <w:name w:val="附录章标题"/>
    <w:next w:val="6"/>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35">
    <w:name w:val="附录一级条标题"/>
    <w:basedOn w:val="34"/>
    <w:next w:val="6"/>
    <w:uiPriority w:val="0"/>
    <w:pPr>
      <w:numPr>
        <w:ilvl w:val="2"/>
        <w:numId w:val="2"/>
      </w:numPr>
      <w:autoSpaceDN w:val="0"/>
      <w:spacing w:beforeLines="50" w:afterLines="50"/>
      <w:outlineLvl w:val="2"/>
    </w:pPr>
  </w:style>
  <w:style w:type="paragraph" w:customStyle="1" w:styleId="36">
    <w:name w:val="其他标准标志"/>
    <w:basedOn w:val="1"/>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eastAsia="宋体"/>
      <w:b/>
      <w:w w:val="130"/>
      <w:sz w:val="96"/>
      <w:szCs w:val="96"/>
    </w:rPr>
  </w:style>
  <w:style w:type="paragraph" w:customStyle="1" w:styleId="37">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38">
    <w:name w:val="其他发布部门"/>
    <w:basedOn w:val="1"/>
    <w:uiPriority w:val="0"/>
    <w:pPr>
      <w:framePr w:w="7938" w:h="1134" w:hRule="exact" w:hSpace="125" w:vSpace="181" w:wrap="around" w:vAnchor="page" w:hAnchor="page" w:x="2150" w:y="15310" w:anchorLock="1"/>
      <w:widowControl/>
      <w:spacing w:line="0" w:lineRule="atLeast"/>
      <w:jc w:val="center"/>
    </w:pPr>
    <w:rPr>
      <w:rFonts w:hAnsi="Times New Roman"/>
      <w:spacing w:val="20"/>
      <w:w w:val="135"/>
      <w:sz w:val="28"/>
    </w:rPr>
  </w:style>
  <w:style w:type="paragraph" w:customStyle="1" w:styleId="39">
    <w:name w:val="前言、引言标题"/>
    <w:next w:val="6"/>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0">
    <w:name w:val="文献分类号"/>
    <w:uiPriority w:val="0"/>
    <w:pPr>
      <w:widowControl w:val="0"/>
      <w:textAlignment w:val="center"/>
    </w:pPr>
    <w:rPr>
      <w:rFonts w:ascii="黑体" w:hAnsi="Times New Roman" w:eastAsia="黑体" w:cs="Times New Roman"/>
      <w:sz w:val="21"/>
      <w:szCs w:val="21"/>
      <w:lang w:val="en-US" w:eastAsia="zh-CN" w:bidi="ar-SA"/>
    </w:rPr>
  </w:style>
  <w:style w:type="paragraph" w:customStyle="1" w:styleId="41">
    <w:name w:val="正文表标题"/>
    <w:next w:val="6"/>
    <w:uiPriority w:val="0"/>
    <w:pPr>
      <w:numPr>
        <w:ilvl w:val="0"/>
        <w:numId w:val="5"/>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42">
    <w:name w:val="终结线"/>
    <w:basedOn w:val="1"/>
    <w:uiPriority w:val="0"/>
    <w:pPr>
      <w:framePr w:hSpace="181" w:vSpace="181" w:wrap="around" w:vAnchor="text" w:hAnchor="margin" w:xAlign="center" w:y="285"/>
    </w:pPr>
    <w:rPr>
      <w:rFonts w:ascii="Times New Roman" w:hAnsi="Times New Roman" w:eastAsia="宋体"/>
      <w:kern w:val="2"/>
      <w:sz w:val="21"/>
      <w:szCs w:val="24"/>
    </w:rPr>
  </w:style>
  <w:style w:type="paragraph" w:customStyle="1" w:styleId="43">
    <w:name w:val="其他发布日期"/>
    <w:basedOn w:val="1"/>
    <w:uiPriority w:val="0"/>
    <w:pPr>
      <w:framePr w:w="3997" w:h="471" w:hRule="exact" w:vSpace="181" w:wrap="around" w:vAnchor="page" w:hAnchor="page" w:x="1419" w:y="14097" w:anchorLock="1"/>
      <w:widowControl/>
      <w:jc w:val="left"/>
    </w:pPr>
    <w:rPr>
      <w:rFonts w:ascii="Times New Roman" w:hAnsi="Times New Roman"/>
      <w:sz w:val="28"/>
    </w:rPr>
  </w:style>
  <w:style w:type="paragraph" w:customStyle="1" w:styleId="44">
    <w:name w:val="其他实施日期"/>
    <w:basedOn w:val="1"/>
    <w:uiPriority w:val="0"/>
    <w:pPr>
      <w:framePr w:w="3997" w:h="471" w:hRule="exact" w:vSpace="181" w:wrap="around" w:vAnchor="page" w:hAnchor="page" w:x="7089" w:y="14097" w:anchorLock="1"/>
      <w:widowControl/>
      <w:jc w:val="right"/>
    </w:pPr>
    <w:rPr>
      <w:rFonts w:ascii="Times New Roman" w:hAnsi="Times New Roman"/>
      <w:sz w:val="28"/>
    </w:rPr>
  </w:style>
  <w:style w:type="character" w:customStyle="1" w:styleId="45">
    <w:name w:val="段 Char"/>
    <w:basedOn w:val="4"/>
    <w:link w:val="6"/>
    <w:uiPriority w:val="0"/>
    <w:rPr>
      <w:rFonts w:ascii="宋体" w:hAnsi="Times New Roman" w:eastAsia="宋体"/>
      <w:sz w:val="21"/>
    </w:rPr>
  </w:style>
  <w:style w:type="character" w:customStyle="1" w:styleId="46">
    <w:name w:val="页脚 Char"/>
    <w:basedOn w:val="4"/>
    <w:link w:val="2"/>
    <w:uiPriority w:val="0"/>
    <w:rPr>
      <w:rFonts w:ascii="Times New Roman" w:hAnsi="Times New Roman" w:eastAsia="宋体"/>
      <w:kern w:val="2"/>
      <w:sz w:val="18"/>
      <w:szCs w:val="18"/>
    </w:rPr>
  </w:style>
  <w:style w:type="character" w:customStyle="1" w:styleId="47">
    <w:name w:val="页眉 Char"/>
    <w:basedOn w:val="4"/>
    <w:link w:val="3"/>
    <w:uiPriority w:val="0"/>
    <w:rPr>
      <w:rFonts w:ascii="Times New Roman" w:hAnsi="Times New Roman" w:eastAsia="宋体"/>
      <w:kern w:val="2"/>
      <w:sz w:val="18"/>
      <w:szCs w:val="18"/>
    </w:rPr>
  </w:style>
  <w:style w:type="character" w:customStyle="1" w:styleId="48">
    <w:name w:val="发布"/>
    <w:basedOn w:val="4"/>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8</Pages>
  <Words>495</Words>
  <Characters>2822</Characters>
  <Lines>23</Lines>
  <Paragraphs>6</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2020-07-27T07:26:00Z</dcterms:created>
  <dc:creator>Administrator</dc:creator>
  <cp:lastModifiedBy>Administrator</cp:lastModifiedBy>
  <cp:lastPrinted>2020-07-27T07:50:00Z</cp:lastPrinted>
  <dcterms:modified xsi:type="dcterms:W3CDTF">2020-08-17T02:55:23Z</dcterms:modified>
  <dc:title>ICS 67.140.10</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