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Default ContentType="image/png" Extension="pn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0"/>
        <w:framePr w:wrap="around" w:vAnchor="margin" w:hAnchor="text" w:y="1"/>
      </w:pPr>
      <w:r>
        <w:rPr>
          <w:rFonts w:ascii="Times New Roman"/>
        </w:rPr>
        <w:t>ICS</w:t>
      </w:r>
      <w:r>
        <w:rPr>
          <w:rFonts w:hint="eastAsia" w:ascii="MS Mincho" w:hAnsi="MS Mincho" w:eastAsia="MS Mincho" w:cs="MS Mincho"/>
        </w:rPr>
        <w:t> </w:t>
      </w:r>
      <w:bookmarkStart w:id="0" w:name="ICS"/>
      <w:r>
        <w:fldChar w:fldCharType="begin">
          <w:ffData>
            <w:name w:val="ICS"/>
            <w:enabled/>
            <w:calcOnExit w:val="0"/>
            <w:helpText w:type="text" w:val="请输入正确的ICS号："/>
            <w:textInput>
              <w:default w:val="点击此处添加ICS号"/>
            </w:textInput>
          </w:ffData>
        </w:fldChar>
      </w:r>
      <w:r>
        <w:instrText xml:space="preserve"> FORMTEXT </w:instrText>
      </w:r>
      <w:r>
        <w:fldChar w:fldCharType="separate"/>
      </w:r>
      <w:r>
        <w:rPr>
          <w:rFonts w:hint="eastAsia"/>
        </w:rPr>
        <w:t>67.080.20</w:t>
      </w:r>
      <w:r>
        <w:fldChar w:fldCharType="end"/>
      </w:r>
      <w:bookmarkEnd w:id="0"/>
    </w:p>
    <w:p>
      <w:pPr>
        <w:pStyle w:val="40"/>
        <w:framePr w:wrap="around" w:vAnchor="margin" w:hAnchor="text" w:y="1"/>
      </w:pPr>
      <w:bookmarkStart w:id="1" w:name="WXFLH"/>
      <w:r>
        <w:fldChar w:fldCharType="begin">
          <w:ffData>
            <w:name w:val="WXFLH"/>
            <w:enabled/>
            <w:calcOnExit w:val="0"/>
            <w:helpText w:type="text" w:val="请输入中国标准文献分类号："/>
            <w:textInput>
              <w:default w:val="点击此处添加中国标准文献分类号"/>
            </w:textInput>
          </w:ffData>
        </w:fldChar>
      </w:r>
      <w:r>
        <w:instrText xml:space="preserve"> FORMTEXT </w:instrText>
      </w:r>
      <w:r>
        <w:fldChar w:fldCharType="separate"/>
      </w:r>
      <w:r>
        <w:rPr>
          <w:rFonts w:hint="eastAsia"/>
        </w:rPr>
        <w:t>B 31</w:t>
      </w:r>
      <w:r>
        <w:fldChar w:fldCharType="end"/>
      </w:r>
      <w:bookmarkEnd w:id="1"/>
    </w:p>
    <w:tbl>
      <w:tblPr>
        <w:tblStyle w:val="5"/>
        <w:tblW w:w="985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4" w:type="dxa"/>
            <w:tcBorders>
              <w:top w:val="nil"/>
              <w:left w:val="nil"/>
              <w:bottom w:val="nil"/>
              <w:right w:val="nil"/>
            </w:tcBorders>
            <w:vAlign w:val="top"/>
          </w:tcPr>
          <w:p>
            <w:pPr>
              <w:pStyle w:val="40"/>
              <w:framePr w:wrap="around" w:vAnchor="margin" w:hAnchor="text" w:y="1"/>
            </w:pPr>
            <w:r>
              <w:rPr>
                <w:rFonts w:ascii="黑体" w:hAnsi="Times New Roman" w:eastAsia="黑体" w:cs="Times New Roman"/>
                <w:sz w:val="21"/>
                <w:szCs w:val="21"/>
                <w:lang w:val="en-US" w:eastAsia="zh-CN" w:bidi="ar-SA"/>
              </w:rPr>
              <w:pict>
                <v:rect id="BAH" o:spid="_x0000_s1026" style="position:absolute;left:0;margin-left:-5.25pt;margin-top:0pt;height:15.6pt;width:68.25pt;rotation:0f;z-index:-251655168;" o:ole="f" fillcolor="#FFFFFF" filled="t" o:preferrelative="t" stroked="f" coordsize="21600,21600">
                  <v:imagedata gain="65536f" blacklevel="0f" gamma="0"/>
                  <o:lock v:ext="edit" position="f" selection="f" grouping="f" rotation="f" cropping="f" text="f" aspectratio="f"/>
                </v:rect>
              </w:pict>
            </w:r>
            <w:r>
              <w:fldChar w:fldCharType="begin">
                <w:ffData>
                  <w:name w:val="BAH"/>
                  <w:enabled/>
                  <w:calcOnExit w:val="0"/>
                  <w:textInput/>
                </w:ffData>
              </w:fldChar>
            </w:r>
            <w:bookmarkStart w:id="2" w:name="BAH"/>
            <w:r>
              <w:instrText xml:space="preserve"> FORMTEXT </w:instrText>
            </w:r>
            <w:r>
              <w:fldChar w:fldCharType="separate"/>
            </w:r>
            <w:r>
              <w:rPr>
                <w:rFonts w:hint="eastAsia"/>
              </w:rPr>
              <w:t>备案号：</w:t>
            </w:r>
            <w:r>
              <w:fldChar w:fldCharType="end"/>
            </w:r>
            <w:bookmarkEnd w:id="2"/>
          </w:p>
        </w:tc>
      </w:tr>
    </w:tbl>
    <w:p>
      <w:pPr>
        <w:pStyle w:val="36"/>
      </w:pPr>
      <w:r>
        <w:t>DB</w:t>
      </w:r>
      <w:r>
        <w:rPr>
          <w:rFonts w:hint="eastAsia"/>
        </w:rPr>
        <w:t>4414</w:t>
      </w:r>
    </w:p>
    <w:p>
      <w:pPr>
        <w:pStyle w:val="37"/>
      </w:pPr>
      <w:bookmarkStart w:id="3" w:name="c4"/>
      <w:r>
        <w:fldChar w:fldCharType="begin">
          <w:ffData>
            <w:name w:val="c4"/>
            <w:enabled/>
            <w:calcOnExit w:val="0"/>
            <w:textInput/>
          </w:ffData>
        </w:fldChar>
      </w:r>
      <w:r>
        <w:instrText xml:space="preserve"> FORMTEXT </w:instrText>
      </w:r>
      <w:r>
        <w:fldChar w:fldCharType="separate"/>
      </w:r>
      <w:r>
        <w:rPr>
          <w:rFonts w:hint="eastAsia"/>
        </w:rPr>
        <w:t>梅州市</w:t>
      </w:r>
      <w:r>
        <w:fldChar w:fldCharType="end"/>
      </w:r>
      <w:bookmarkEnd w:id="3"/>
      <w:r>
        <w:rPr>
          <w:rFonts w:hint="eastAsia"/>
        </w:rPr>
        <w:t>地方标准</w:t>
      </w:r>
    </w:p>
    <w:p/>
    <w:p/>
    <w:p/>
    <w:tbl>
      <w:tblPr>
        <w:tblStyle w:val="5"/>
        <w:tblW w:w="935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356" w:type="dxa"/>
            <w:tcBorders>
              <w:top w:val="nil"/>
              <w:left w:val="nil"/>
              <w:bottom w:val="nil"/>
              <w:right w:val="nil"/>
            </w:tcBorders>
            <w:vAlign w:val="top"/>
          </w:tcPr>
          <w:p>
            <w:pPr>
              <w:pStyle w:val="19"/>
              <w:framePr w:wrap="around" w:vAnchor="margin" w:hAnchor="text" w:y="1"/>
            </w:pPr>
            <w:bookmarkStart w:id="4" w:name="DT"/>
            <w:r>
              <w:fldChar w:fldCharType="begin">
                <w:ffData>
                  <w:name w:val="DT"/>
                  <w:enabled/>
                  <w:calcOnExit w:val="0"/>
                  <w:textInput/>
                </w:ffData>
              </w:fldChar>
            </w:r>
            <w:r>
              <w:instrText xml:space="preserve"> FORMTEXT </w:instrText>
            </w:r>
            <w:r>
              <w:fldChar w:fldCharType="separate"/>
            </w:r>
            <w:r>
              <w:t>     </w:t>
            </w:r>
            <w:r>
              <w:fldChar w:fldCharType="end"/>
            </w:r>
            <w:bookmarkEnd w:id="4"/>
          </w:p>
        </w:tc>
      </w:tr>
    </w:tbl>
    <w:p>
      <w:pPr>
        <w:pStyle w:val="12"/>
        <w:framePr w:wrap="around" w:vAnchor="margin" w:hAnchor="text" w:y="1"/>
      </w:pPr>
    </w:p>
    <w:p>
      <w:pPr>
        <w:pStyle w:val="12"/>
        <w:framePr w:wrap="around" w:vAnchor="margin" w:hAnchor="text" w:y="1"/>
      </w:pPr>
    </w:p>
    <w:p>
      <w:pPr>
        <w:pStyle w:val="20"/>
        <w:framePr w:wrap="around" w:vAnchor="margin" w:hAnchor="text" w:y="1"/>
      </w:pPr>
      <w:bookmarkStart w:id="5" w:name="StdName"/>
    </w:p>
    <w:p>
      <w:pPr>
        <w:pStyle w:val="20"/>
        <w:framePr w:wrap="around" w:vAnchor="margin" w:hAnchor="text" w:y="1"/>
        <w:rPr>
          <w:sz w:val="28"/>
          <w:szCs w:val="28"/>
        </w:rPr>
      </w:pPr>
      <w:r>
        <w:rPr>
          <w:rFonts w:hint="eastAsia"/>
        </w:rPr>
        <w:t xml:space="preserve">   </w:t>
      </w:r>
      <w:r>
        <w:rPr>
          <w:rFonts w:hint="eastAsia"/>
          <w:sz w:val="28"/>
          <w:szCs w:val="28"/>
        </w:rPr>
        <w:t xml:space="preserve">                                            DB4414 /T XXXX-XXX</w:t>
      </w:r>
    </w:p>
    <w:p>
      <w:pPr>
        <w:pStyle w:val="20"/>
        <w:framePr w:wrap="around" w:vAnchor="margin" w:hAnchor="text" w:y="1"/>
      </w:pPr>
    </w:p>
    <w:p>
      <w:pPr>
        <w:pStyle w:val="20"/>
        <w:framePr w:wrap="around" w:vAnchor="margin" w:hAnchor="text" w:y="1"/>
      </w:pPr>
    </w:p>
    <w:p>
      <w:pPr>
        <w:pStyle w:val="20"/>
        <w:framePr w:wrap="around" w:vAnchor="margin" w:hAnchor="text" w:y="1"/>
      </w:pPr>
    </w:p>
    <w:p>
      <w:pPr>
        <w:pStyle w:val="20"/>
        <w:framePr w:wrap="around" w:vAnchor="margin" w:hAnchor="text" w:y="1"/>
      </w:pPr>
      <w:r>
        <w:fldChar w:fldCharType="begin">
          <w:ffData>
            <w:name w:val="StdName"/>
            <w:enabled/>
            <w:calcOnExit w:val="0"/>
            <w:textInput>
              <w:default w:val="点击此处添加标准名称"/>
            </w:textInput>
          </w:ffData>
        </w:fldChar>
      </w:r>
      <w:r>
        <w:instrText xml:space="preserve"> FORMTEXT </w:instrText>
      </w:r>
      <w:r>
        <w:fldChar w:fldCharType="separate"/>
      </w:r>
      <w:r>
        <w:rPr>
          <w:rFonts w:hint="eastAsia"/>
        </w:rPr>
        <w:t>地理标志产品 蕉岭冬笋</w:t>
      </w:r>
      <w:r>
        <w:fldChar w:fldCharType="end"/>
      </w:r>
      <w:bookmarkEnd w:id="5"/>
    </w:p>
    <w:p>
      <w:pPr>
        <w:pStyle w:val="21"/>
      </w:pPr>
      <w:bookmarkStart w:id="6" w:name="StdEnglishName"/>
      <w:r>
        <w:fldChar w:fldCharType="begin">
          <w:ffData>
            <w:name w:val="StdEnglishName"/>
            <w:enabled/>
            <w:calcOnExit w:val="0"/>
            <w:textInput>
              <w:default w:val="点击此处添加标准英文译名"/>
            </w:textInput>
          </w:ffData>
        </w:fldChar>
      </w:r>
      <w:r>
        <w:instrText xml:space="preserve"> FORMTEXT </w:instrText>
      </w:r>
      <w:r>
        <w:fldChar w:fldCharType="separate"/>
      </w:r>
      <w:r>
        <w:t>Product of geographical indication</w:t>
      </w:r>
      <w:r>
        <w:rPr>
          <w:rFonts w:hint="eastAsia"/>
        </w:rPr>
        <w:t>—JiaoLing winter bamboo shoots</w:t>
      </w:r>
      <w:r>
        <w:fldChar w:fldCharType="end"/>
      </w:r>
      <w:bookmarkEnd w:id="6"/>
    </w:p>
    <w:p>
      <w:pPr>
        <w:pStyle w:val="22"/>
      </w:pPr>
      <w:bookmarkStart w:id="7" w:name="YZBS"/>
      <w:r>
        <w:fldChar w:fldCharType="begin">
          <w:ffData>
            <w:name w:val="YZBS"/>
            <w:enabled/>
            <w:calcOnExit w:val="0"/>
            <w:textInput>
              <w:default w:val="点击此处添加与国际标准一致性程度的标识"/>
            </w:textInput>
          </w:ffData>
        </w:fldChar>
      </w:r>
      <w:r>
        <w:instrText xml:space="preserve"> FORMTEXT </w:instrText>
      </w:r>
      <w:r>
        <w:fldChar w:fldCharType="separate"/>
      </w:r>
      <w:r>
        <w:t>     </w:t>
      </w:r>
      <w:r>
        <w:fldChar w:fldCharType="end"/>
      </w:r>
      <w:bookmarkEnd w:id="7"/>
    </w:p>
    <w:tbl>
      <w:tblPr>
        <w:tblStyle w:val="5"/>
        <w:tblW w:w="985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5" w:type="dxa"/>
            <w:tcBorders>
              <w:top w:val="nil"/>
              <w:left w:val="nil"/>
              <w:bottom w:val="nil"/>
              <w:right w:val="nil"/>
            </w:tcBorders>
            <w:vAlign w:val="top"/>
          </w:tcPr>
          <w:p>
            <w:pPr>
              <w:pStyle w:val="23"/>
            </w:pPr>
            <w:r>
              <w:rPr>
                <w:rFonts w:ascii="宋体" w:hAnsi="Times New Roman" w:eastAsia="宋体" w:cs="Times New Roman"/>
                <w:sz w:val="24"/>
                <w:szCs w:val="28"/>
                <w:lang w:val="en-US" w:eastAsia="zh-CN" w:bidi="ar-SA"/>
              </w:rPr>
              <w:pict>
                <v:rect id="RQ" o:spid="_x0000_s1027" style="position:absolute;left:0;margin-left:173.3pt;margin-top:337.15pt;height:20pt;width:150pt;rotation:0f;z-index:-251656192;" o:ole="f" fillcolor="#FFFFFF" filled="t" o:preferrelative="t" stroked="f" coordsize="21600,21600">
                  <v:imagedata gain="65536f" blacklevel="0f" gamma="0"/>
                  <o:lock v:ext="edit" position="f" selection="f" grouping="f" rotation="f" cropping="f" text="f" aspectratio="f"/>
                  <w10:anchorlock/>
                </v:rect>
              </w:pict>
            </w:r>
            <w:r>
              <w:rPr>
                <w:rFonts w:hint="eastAsia"/>
              </w:rPr>
              <w:t>（报批稿）</w:t>
            </w:r>
          </w:p>
        </w:tc>
        <w:bookmarkStart w:id="8" w:name="WCRQ"/>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5" w:type="dxa"/>
            <w:tcBorders>
              <w:top w:val="nil"/>
              <w:left w:val="nil"/>
              <w:bottom w:val="nil"/>
              <w:right w:val="nil"/>
            </w:tcBorders>
            <w:vAlign w:val="top"/>
          </w:tcPr>
          <w:p>
            <w:pPr>
              <w:pStyle w:val="24"/>
            </w:pPr>
            <w:r>
              <w:fldChar w:fldCharType="begin">
                <w:ffData>
                  <w:name w:val="WCRQ"/>
                  <w:enabled/>
                  <w:calcOnExit w:val="0"/>
                  <w:textInput/>
                </w:ffData>
              </w:fldChar>
            </w:r>
            <w:r>
              <w:instrText xml:space="preserve"> FORMTEXT </w:instrText>
            </w:r>
            <w:r>
              <w:fldChar w:fldCharType="separate"/>
            </w:r>
            <w:r>
              <w:t>     </w:t>
            </w:r>
            <w:r>
              <w:fldChar w:fldCharType="end"/>
            </w:r>
            <w:bookmarkEnd w:id="8"/>
          </w:p>
        </w:tc>
      </w:tr>
    </w:tbl>
    <w:p>
      <w:pPr>
        <w:pStyle w:val="42"/>
      </w:pPr>
      <w:r>
        <w:rPr>
          <w:rFonts w:ascii="黑体"/>
        </w:rPr>
        <w:fldChar w:fldCharType="begin">
          <w:ffData>
            <w:name w:val="S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r>
        <w:t xml:space="preserve"> </w:t>
      </w:r>
      <w:r>
        <w:rPr>
          <w:rFonts w:ascii="黑体"/>
        </w:rPr>
        <w:t>-</w:t>
      </w:r>
      <w:r>
        <w:t xml:space="preserve"> </w:t>
      </w: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bookmarkStart w:id="9" w:name="FD"/>
      <w:r>
        <w:rPr>
          <w:rFonts w:ascii="黑体"/>
        </w:rPr>
        <w:fldChar w:fldCharType="begin">
          <w:ffData>
            <w:name w:val="F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9"/>
      <w:r>
        <w:rPr>
          <w:rFonts w:hint="eastAsia"/>
        </w:rPr>
        <w:t>发布</w:t>
      </w:r>
      <w:r>
        <w:rPr>
          <w:rFonts w:ascii="Times New Roman" w:hAnsi="Times New Roman" w:eastAsia="黑体" w:cs="Times New Roman"/>
          <w:sz w:val="28"/>
          <w:lang w:val="en-US" w:eastAsia="zh-CN" w:bidi="ar-SA"/>
        </w:rPr>
        <w:pict>
          <v:line id="Line 2" o:spid="_x0000_s1028" style="position:absolute;left:0;margin-left:0pt;margin-top:728.5pt;height:0.05pt;width:481.85pt;mso-position-vertical-relative:page;rotation:0f;z-index:251662336;" o:ole="f" fillcolor="#FFFFFF" filled="f" o:preferrelative="t" stroked="t" coordsize="21600,21600">
            <v:fill on="f" color2="#FFFFFF" focus="0%"/>
            <v:stroke color="#000000" color2="#FFFFFF" miterlimit="2"/>
            <v:imagedata gain="65536f" blacklevel="0f" gamma="0"/>
            <o:lock v:ext="edit" position="f" selection="f" grouping="f" rotation="f" cropping="f" text="f" aspectratio="f"/>
            <w10:anchorlock/>
          </v:line>
        </w:pict>
      </w:r>
    </w:p>
    <w:p>
      <w:pPr>
        <w:pStyle w:val="43"/>
      </w:pPr>
      <w:bookmarkStart w:id="10" w:name="SY"/>
      <w:r>
        <w:rPr>
          <w:rFonts w:ascii="黑体"/>
        </w:rPr>
        <w:fldChar w:fldCharType="begin">
          <w:ffData>
            <w:name w:val="S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0"/>
      <w:r>
        <w:t xml:space="preserve"> </w:t>
      </w:r>
      <w:r>
        <w:rPr>
          <w:rFonts w:ascii="黑体"/>
        </w:rPr>
        <w:t>-</w:t>
      </w:r>
      <w:r>
        <w:t xml:space="preserve"> </w:t>
      </w:r>
      <w:bookmarkStart w:id="11" w:name="SM"/>
      <w:r>
        <w:rPr>
          <w:rFonts w:ascii="黑体"/>
        </w:rPr>
        <w:fldChar w:fldCharType="begin">
          <w:ffData>
            <w:name w:val="S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t xml:space="preserve"> </w:t>
      </w:r>
      <w:r>
        <w:rPr>
          <w:rFonts w:ascii="黑体"/>
        </w:rPr>
        <w:t>-</w:t>
      </w:r>
      <w:r>
        <w:t xml:space="preserve"> </w:t>
      </w:r>
      <w:bookmarkStart w:id="12" w:name="SD"/>
      <w:r>
        <w:rPr>
          <w:rFonts w:ascii="黑体"/>
        </w:rPr>
        <w:fldChar w:fldCharType="begin">
          <w:ffData>
            <w:name w:val="S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rPr>
          <w:rFonts w:hint="eastAsia"/>
        </w:rPr>
        <w:t>实施</w:t>
      </w:r>
    </w:p>
    <w:p>
      <w:pPr>
        <w:pStyle w:val="38"/>
      </w:pPr>
      <w:bookmarkStart w:id="13" w:name="fm"/>
      <w:r>
        <w:rPr>
          <w:rFonts w:ascii="黑体" w:hAnsi="Times New Roman" w:eastAsia="黑体" w:cs="Times New Roman"/>
          <w:spacing w:val="20"/>
          <w:w w:val="100"/>
          <w:sz w:val="28"/>
          <w:lang w:val="en-US" w:eastAsia="zh-CN" w:bidi="ar-SA"/>
        </w:rPr>
        <w:pict>
          <v:rect id="LB" o:spid="_x0000_s1029" style="position:absolute;left:0;margin-left:142.55pt;margin-top:-310.45pt;height:24.65pt;width:100pt;rotation:0f;z-index:-251657216;" o:ole="f" fillcolor="#FFFFFF" filled="t" o:preferrelative="t" stroked="f" coordsize="21600,21600">
            <v:imagedata gain="65536f" blacklevel="0f" gamma="0"/>
            <o:lock v:ext="edit" position="f" selection="f" grouping="f" rotation="f" cropping="f" text="f" aspectratio="f"/>
          </v:rect>
        </w:pict>
      </w:r>
      <w:r>
        <w:rPr>
          <w:rFonts w:ascii="黑体" w:hAnsi="Times New Roman" w:eastAsia="黑体" w:cs="Times New Roman"/>
          <w:spacing w:val="20"/>
          <w:w w:val="100"/>
          <w:sz w:val="28"/>
          <w:lang w:val="en-US" w:eastAsia="zh-CN" w:bidi="ar-SA"/>
        </w:rPr>
        <w:pict>
          <v:rect id="DT" o:spid="_x0000_s1030" style="position:absolute;left:0;margin-left:347.55pt;margin-top:-585.45pt;height:18.65pt;width:90pt;rotation:0f;z-index:-251658240;" o:ole="f" fillcolor="#FFFFFF" filled="t" o:preferrelative="t" stroked="f" coordsize="21600,21600">
            <v:imagedata gain="65536f" blacklevel="0f" gamma="0"/>
            <o:lock v:ext="edit" position="f" selection="f" grouping="f" rotation="f" cropping="f" text="f" aspectratio="f"/>
          </v:rect>
        </w:pict>
      </w:r>
      <w:r>
        <w:rPr>
          <w:rFonts w:ascii="黑体" w:hAnsi="Times New Roman" w:eastAsia="黑体" w:cs="Times New Roman"/>
          <w:spacing w:val="20"/>
          <w:w w:val="100"/>
          <w:sz w:val="28"/>
          <w:lang w:val="en-US" w:eastAsia="zh-CN" w:bidi="ar-SA"/>
        </w:rPr>
        <w:pict>
          <v:line id="Line 3" o:spid="_x0000_s1031" style="position:absolute;left:0;margin-left:-36.5pt;margin-top:-552.75pt;height:0.6pt;width:481.8pt;rotation:0f;z-index:251663360;" o:ole="f" fillcolor="#FFFFFF" filled="f" o:preferrelative="t" stroked="t" coordsize="21600,21600">
            <v:fill on="f" color2="#FFFFFF" focus="0%"/>
            <v:stroke color="#000000" color2="#FFFFFF" miterlimit="2"/>
            <v:imagedata gain="65536f" blacklevel="0f" gamma="0"/>
            <o:lock v:ext="edit" position="f" selection="f" grouping="f" rotation="f" cropping="f" text="f" aspectratio="f"/>
          </v:line>
        </w:pict>
      </w:r>
      <w:r>
        <w:fldChar w:fldCharType="begin">
          <w:ffData>
            <w:name w:val="fm"/>
            <w:enabled/>
            <w:calcOnExit w:val="0"/>
            <w:textInput/>
          </w:ffData>
        </w:fldChar>
      </w:r>
      <w:r>
        <w:instrText xml:space="preserve"> FORMTEXT </w:instrText>
      </w:r>
      <w:r>
        <w:fldChar w:fldCharType="separate"/>
      </w:r>
      <w:r>
        <w:rPr>
          <w:rFonts w:hint="eastAsia"/>
        </w:rPr>
        <w:t>梅州市市场监督管理局</w:t>
      </w:r>
      <w:r>
        <w:fldChar w:fldCharType="end"/>
      </w:r>
      <w:bookmarkEnd w:id="13"/>
      <w:r>
        <w:t>   </w:t>
      </w:r>
      <w:r>
        <w:rPr>
          <w:rStyle w:val="47"/>
          <w:rFonts w:hint="eastAsia"/>
        </w:rPr>
        <w:t>发布</w:t>
      </w:r>
    </w:p>
    <w:p>
      <w:pPr>
        <w:pStyle w:val="6"/>
        <w:sectPr>
          <w:footerReference r:id="rId6" w:type="first"/>
          <w:headerReference r:id="rId4" w:type="even"/>
          <w:footerReference r:id="rId5" w:type="even"/>
          <w:pgSz w:w="11906" w:h="16838"/>
          <w:pgMar w:top="567" w:right="1134" w:bottom="567" w:left="1134" w:header="851" w:footer="992" w:gutter="0"/>
          <w:cols w:space="720" w:num="1"/>
          <w:docGrid w:type="lines" w:linePitch="312" w:charSpace="0"/>
        </w:sectPr>
      </w:pPr>
    </w:p>
    <w:p>
      <w:pPr>
        <w:pStyle w:val="39"/>
        <w:rPr>
          <w:sz w:val="44"/>
          <w:szCs w:val="44"/>
        </w:rPr>
      </w:pPr>
      <w:r>
        <w:rPr>
          <w:rFonts w:hint="eastAsia"/>
          <w:sz w:val="44"/>
          <w:szCs w:val="44"/>
        </w:rPr>
        <w:t>前</w:t>
      </w:r>
      <w:bookmarkStart w:id="14" w:name="BKQY"/>
      <w:r>
        <w:rPr>
          <w:rFonts w:hint="eastAsia"/>
          <w:sz w:val="44"/>
          <w:szCs w:val="44"/>
        </w:rPr>
        <w:t>  言</w:t>
      </w:r>
      <w:bookmarkEnd w:id="14"/>
    </w:p>
    <w:p>
      <w:pPr>
        <w:pStyle w:val="6"/>
      </w:pPr>
      <w:r>
        <w:rPr>
          <w:rFonts w:hint="eastAsia"/>
        </w:rPr>
        <w:t>本标准按照GB/T 1.1《标准化工作导则 第1部分：标准的结构和编写》给出的规则编写。</w:t>
      </w:r>
    </w:p>
    <w:p>
      <w:pPr>
        <w:pStyle w:val="6"/>
      </w:pPr>
      <w:r>
        <w:rPr>
          <w:rFonts w:hint="eastAsia"/>
        </w:rPr>
        <w:t>本标准根据国家质量监督检验检疫总局颁布的《地理标志产品保护规定》和GB/T 17924《地理标志产品标准通用要求》而制定。</w:t>
      </w:r>
    </w:p>
    <w:p>
      <w:pPr>
        <w:pStyle w:val="6"/>
      </w:pPr>
      <w:r>
        <w:rPr>
          <w:rFonts w:hint="eastAsia"/>
        </w:rPr>
        <w:t>本标准由梅州市市场监督管理局提出并归口。</w:t>
      </w:r>
    </w:p>
    <w:p>
      <w:pPr>
        <w:pStyle w:val="6"/>
      </w:pPr>
      <w:r>
        <w:rPr>
          <w:rFonts w:hint="eastAsia"/>
        </w:rPr>
        <w:t>本标准起草单位：</w:t>
      </w:r>
      <w:r>
        <w:rPr>
          <w:rFonts w:hint="eastAsia"/>
          <w:szCs w:val="21"/>
        </w:rPr>
        <w:t>蕉岭县</w:t>
      </w:r>
      <w:r>
        <w:rPr>
          <w:rFonts w:hint="eastAsia" w:ascii="仿宋_GB2312"/>
          <w:szCs w:val="21"/>
        </w:rPr>
        <w:t>鸿宇生态农林专业合作社</w:t>
      </w:r>
      <w:r>
        <w:rPr>
          <w:rFonts w:hint="eastAsia"/>
        </w:rPr>
        <w:t>、蕉岭县市场监督管理局。</w:t>
      </w:r>
    </w:p>
    <w:p>
      <w:pPr>
        <w:pStyle w:val="6"/>
      </w:pPr>
      <w:r>
        <w:rPr>
          <w:rFonts w:hint="eastAsia"/>
        </w:rPr>
        <w:t>本标准主要起草人： 刘文龙、曾海明、黄文敏、刘达忠、赖莉霞。</w:t>
      </w:r>
    </w:p>
    <w:p>
      <w:pPr>
        <w:pStyle w:val="6"/>
        <w:sectPr>
          <w:headerReference r:id="rId7" w:type="default"/>
          <w:footerReference r:id="rId8" w:type="default"/>
          <w:pgSz w:w="11906" w:h="16838"/>
          <w:pgMar w:top="567" w:right="1134" w:bottom="1134" w:left="1417" w:header="1418" w:footer="1134" w:gutter="0"/>
          <w:pgNumType w:fmt="upperRoman" w:start="1"/>
          <w:cols w:space="720" w:num="1"/>
          <w:formProt w:val="0"/>
          <w:docGrid w:type="lines" w:linePitch="312" w:charSpace="0"/>
        </w:sectPr>
      </w:pPr>
      <w:r>
        <w:rPr>
          <w:rFonts w:hint="eastAsia"/>
        </w:rPr>
        <w:t>本标准为首次发布。</w:t>
      </w:r>
    </w:p>
    <w:p>
      <w:pPr>
        <w:pStyle w:val="13"/>
        <w:rPr>
          <w:sz w:val="44"/>
          <w:szCs w:val="44"/>
        </w:rPr>
      </w:pPr>
      <w:r>
        <w:rPr>
          <w:rFonts w:hint="eastAsia"/>
          <w:sz w:val="44"/>
          <w:szCs w:val="44"/>
        </w:rPr>
        <w:t>地理标志产品 蕉岭冬笋</w:t>
      </w:r>
    </w:p>
    <w:p>
      <w:pPr>
        <w:pStyle w:val="10"/>
        <w:spacing w:before="312" w:after="312"/>
      </w:pPr>
      <w:r>
        <w:rPr>
          <w:rFonts w:hint="eastAsia"/>
        </w:rPr>
        <w:t>范围</w:t>
      </w:r>
    </w:p>
    <w:p>
      <w:pPr>
        <w:pStyle w:val="6"/>
      </w:pPr>
      <w:r>
        <w:rPr>
          <w:rFonts w:hint="eastAsia"/>
        </w:rPr>
        <w:t>本标准规定了地理标志产品蕉岭冬笋的术语和定义、保护范围、自然环境、栽培管理、质量特色、试验方法及标志、标签、包装、运输和贮存。</w:t>
      </w:r>
    </w:p>
    <w:p>
      <w:pPr>
        <w:pStyle w:val="6"/>
      </w:pPr>
      <w:r>
        <w:rPr>
          <w:rFonts w:hint="eastAsia"/>
        </w:rPr>
        <w:t>本标准适用于国家质量监督检验检疫总局2018年第31号</w:t>
      </w:r>
      <w:r>
        <w:rPr>
          <w:rFonts w:hint="eastAsia" w:ascii="宋体" w:hAnsi="宋体" w:eastAsia="宋体"/>
          <w:szCs w:val="21"/>
        </w:rPr>
        <w:t>《质检总局关于批准对复州湾海盐等22个产品实施国家地理标志产品保护的公告》</w:t>
      </w:r>
      <w:r>
        <w:rPr>
          <w:rFonts w:hint="eastAsia"/>
        </w:rPr>
        <w:t>批准保护的蕉岭冬笋。</w:t>
      </w:r>
    </w:p>
    <w:p>
      <w:pPr>
        <w:pStyle w:val="10"/>
        <w:spacing w:before="312" w:after="312"/>
      </w:pPr>
      <w:r>
        <w:rPr>
          <w:rFonts w:hint="eastAsia"/>
        </w:rPr>
        <w:t>规范性引用文件</w:t>
      </w:r>
    </w:p>
    <w:p>
      <w:pPr>
        <w:pStyle w:val="6"/>
      </w:pPr>
      <w:r>
        <w:rPr>
          <w:rFonts w:hint="eastAsia"/>
        </w:rPr>
        <w:t>下列文件对于本文件的应用是必不可少的。凡是注日期的引用文件，仅所注日期的版本适用于本文件。凡是不注日期的引用文件，其最新版本（包括所有的修改单）适用于本文件。</w:t>
      </w:r>
    </w:p>
    <w:p>
      <w:pPr>
        <w:pStyle w:val="6"/>
      </w:pPr>
      <w:r>
        <w:rPr>
          <w:rFonts w:hint="eastAsia"/>
        </w:rPr>
        <w:t>GB/T 191 包装储运图示标志</w:t>
      </w:r>
    </w:p>
    <w:p>
      <w:pPr>
        <w:pStyle w:val="6"/>
      </w:pPr>
      <w:r>
        <w:rPr>
          <w:rFonts w:hint="eastAsia"/>
        </w:rPr>
        <w:t>GB 2762 食品安全国家标准 食品中污染物限量</w:t>
      </w:r>
    </w:p>
    <w:p>
      <w:pPr>
        <w:pStyle w:val="6"/>
      </w:pPr>
      <w:r>
        <w:rPr>
          <w:rFonts w:hint="eastAsia"/>
        </w:rPr>
        <w:t>GB 2763 食品安全国家标准 食品中农药最大残留限量</w:t>
      </w:r>
    </w:p>
    <w:p>
      <w:pPr>
        <w:pStyle w:val="6"/>
      </w:pPr>
      <w:r>
        <w:rPr>
          <w:rFonts w:hint="eastAsia"/>
        </w:rPr>
        <w:t>GB/T 5009.10 植物类食品中粗纤维的测定</w:t>
      </w:r>
    </w:p>
    <w:p>
      <w:pPr>
        <w:pStyle w:val="6"/>
      </w:pPr>
      <w:r>
        <w:rPr>
          <w:rFonts w:hint="eastAsia"/>
        </w:rPr>
        <w:t>GB 5009.124 食品安全国家标准 食品中氨基酸的测定</w:t>
      </w:r>
    </w:p>
    <w:p>
      <w:pPr>
        <w:pStyle w:val="6"/>
      </w:pPr>
      <w:r>
        <w:rPr>
          <w:rFonts w:hint="eastAsia"/>
        </w:rPr>
        <w:t>GB 7718 食品安全国家标准 预包装食品标签通则</w:t>
      </w:r>
    </w:p>
    <w:p>
      <w:pPr>
        <w:pStyle w:val="6"/>
      </w:pPr>
      <w:r>
        <w:rPr>
          <w:rFonts w:hint="eastAsia"/>
        </w:rPr>
        <w:t>GB/T 8321农药合理使用准则（所有部分）</w:t>
      </w:r>
    </w:p>
    <w:p>
      <w:pPr>
        <w:pStyle w:val="6"/>
      </w:pPr>
      <w:r>
        <w:rPr>
          <w:rFonts w:hint="eastAsia"/>
        </w:rPr>
        <w:t>GB 14881 食品安全国家标准 食品企业通用卫生规范</w:t>
      </w:r>
    </w:p>
    <w:p>
      <w:pPr>
        <w:pStyle w:val="6"/>
        <w:rPr>
          <w:rFonts w:hint="eastAsia"/>
        </w:rPr>
      </w:pPr>
      <w:r>
        <w:rPr>
          <w:rFonts w:hint="eastAsia"/>
        </w:rPr>
        <w:t>GB/T 17924 地理标志产品 标准通用要求</w:t>
      </w:r>
    </w:p>
    <w:p>
      <w:pPr>
        <w:pStyle w:val="6"/>
        <w:rPr>
          <w:rFonts w:hint="eastAsia" w:eastAsia="宋体"/>
          <w:lang w:val="en-US" w:eastAsia="zh-CN"/>
        </w:rPr>
      </w:pPr>
      <w:r>
        <w:rPr>
          <w:rFonts w:hint="eastAsia"/>
          <w:lang w:val="en-US" w:eastAsia="zh-CN"/>
        </w:rPr>
        <w:t>GB/T 30762 主要竹笋质量分级</w:t>
      </w:r>
    </w:p>
    <w:p>
      <w:pPr>
        <w:pStyle w:val="6"/>
      </w:pPr>
      <w:r>
        <w:rPr>
          <w:rFonts w:hint="eastAsia"/>
        </w:rPr>
        <w:t>NY/T 1278 蔬菜及其制品中可溶性糖的测定 铜还原碘量法</w:t>
      </w:r>
    </w:p>
    <w:p>
      <w:pPr>
        <w:pStyle w:val="6"/>
      </w:pPr>
      <w:r>
        <w:rPr>
          <w:rFonts w:hint="eastAsia"/>
        </w:rPr>
        <w:t>JJF 1070 定量包装商品净含量计量检验规则</w:t>
      </w:r>
    </w:p>
    <w:p>
      <w:pPr>
        <w:pStyle w:val="6"/>
      </w:pPr>
      <w:r>
        <w:rPr>
          <w:rFonts w:hint="eastAsia"/>
        </w:rPr>
        <w:t>国家质量监督检验检疫总局[2005]75号令 《定量包装商品计量监督管理办法》</w:t>
      </w:r>
    </w:p>
    <w:p>
      <w:pPr>
        <w:pStyle w:val="6"/>
      </w:pPr>
      <w:r>
        <w:rPr>
          <w:rFonts w:hint="eastAsia"/>
        </w:rPr>
        <w:t>国家质量监督检验检疫总局公告[2005]151号《中华人民共和国地理标志保护产品专用标志》</w:t>
      </w:r>
    </w:p>
    <w:p>
      <w:pPr>
        <w:pStyle w:val="10"/>
        <w:spacing w:before="312" w:after="312"/>
      </w:pPr>
      <w:r>
        <w:rPr>
          <w:rFonts w:hint="eastAsia"/>
        </w:rPr>
        <w:t>术语和定义</w:t>
      </w:r>
    </w:p>
    <w:p>
      <w:pPr>
        <w:pStyle w:val="6"/>
      </w:pPr>
      <w:r>
        <w:rPr>
          <w:rFonts w:hint="eastAsia"/>
        </w:rPr>
        <w:t>GB/T 17924界定的以下术语和定义适用于本文件。</w:t>
      </w:r>
    </w:p>
    <w:p>
      <w:pPr>
        <w:pStyle w:val="7"/>
        <w:spacing w:before="156" w:after="156"/>
        <w:rPr>
          <w:rFonts w:ascii="宋体" w:hAnsi="宋体"/>
        </w:rPr>
      </w:pPr>
      <w:r>
        <w:rPr>
          <w:rFonts w:hint="eastAsia"/>
        </w:rPr>
        <w:t>蕉岭冬笋JiaoLing winter bamboo shoots</w:t>
      </w:r>
    </w:p>
    <w:p>
      <w:pPr>
        <w:pStyle w:val="7"/>
        <w:numPr>
          <w:ilvl w:val="1"/>
          <w:numId w:val="0"/>
        </w:numPr>
        <w:spacing w:before="156" w:after="156"/>
        <w:ind w:right="-62" w:firstLine="420" w:firstLineChars="200"/>
      </w:pPr>
      <w:r>
        <w:rPr>
          <w:rFonts w:hint="eastAsia" w:ascii="宋体" w:hAnsi="宋体" w:eastAsia="宋体"/>
        </w:rPr>
        <w:t>在地理标志产品产地范围内，以当地独特气候、土壤、水资源的环境条件，生产出成笋体饱满、外形呈马蹄状，有沉实感</w:t>
      </w:r>
      <w:r>
        <w:rPr>
          <w:rFonts w:hint="eastAsia" w:ascii="宋体" w:hAnsi="宋体" w:eastAsia="宋体" w:cs="Arial"/>
          <w:color w:val="333333"/>
          <w:shd w:val="clear" w:color="auto" w:fill="FFFFFF"/>
        </w:rPr>
        <w:t>，壳薄肉厚，笋壳呈淡黄色，笋肉白色或乳白色，笋香味浓郁，笋肉口感细腻爽脆，清甜鲜美的冬笋。</w:t>
      </w:r>
    </w:p>
    <w:p>
      <w:pPr>
        <w:pStyle w:val="6"/>
        <w:ind w:firstLine="0" w:firstLineChars="0"/>
        <w:rPr>
          <w:rFonts w:ascii="黑体" w:eastAsia="黑体"/>
        </w:rPr>
      </w:pPr>
      <w:r>
        <w:rPr>
          <w:rFonts w:hint="eastAsia" w:ascii="黑体" w:eastAsia="黑体"/>
        </w:rPr>
        <w:t>4  保护范围</w:t>
      </w:r>
    </w:p>
    <w:p>
      <w:pPr>
        <w:pStyle w:val="6"/>
      </w:pPr>
      <w:r>
        <w:rPr>
          <w:rFonts w:hint="eastAsia"/>
        </w:rPr>
        <w:t>地理标志产品蕉岭冬笋的保护范围限于国家质量监督检验检疫总局根据《地理标志产品保护规定》批准的范围，即为广东省梅州市蕉岭县现辖行政区域（</w:t>
      </w:r>
      <w:r>
        <w:rPr>
          <w:rFonts w:hint="eastAsia" w:hAnsi="宋体"/>
          <w:szCs w:val="21"/>
        </w:rPr>
        <w:t>地理坐标：东经116°01′</w:t>
      </w:r>
      <w:r>
        <w:rPr>
          <w:rFonts w:hint="eastAsia" w:hAnsi="宋体"/>
        </w:rPr>
        <w:t>～</w:t>
      </w:r>
      <w:r>
        <w:rPr>
          <w:rFonts w:hint="eastAsia" w:hAnsi="宋体"/>
          <w:szCs w:val="21"/>
        </w:rPr>
        <w:t>116°22′，北纬24°25′</w:t>
      </w:r>
      <w:r>
        <w:rPr>
          <w:rFonts w:hint="eastAsia" w:hAnsi="宋体"/>
        </w:rPr>
        <w:t>～</w:t>
      </w:r>
      <w:r>
        <w:rPr>
          <w:rFonts w:hint="eastAsia" w:hAnsi="宋体"/>
          <w:szCs w:val="21"/>
        </w:rPr>
        <w:t>24°53′之间</w:t>
      </w:r>
      <w:r>
        <w:rPr>
          <w:rFonts w:hint="eastAsia"/>
        </w:rPr>
        <w:t>），见附录A。</w:t>
      </w:r>
    </w:p>
    <w:p>
      <w:pPr>
        <w:pStyle w:val="10"/>
        <w:numPr>
          <w:ilvl w:val="0"/>
          <w:numId w:val="0"/>
        </w:numPr>
        <w:spacing w:before="312" w:after="312"/>
      </w:pPr>
      <w:r>
        <w:rPr>
          <w:rFonts w:hint="eastAsia"/>
        </w:rPr>
        <w:t>5  自然环境</w:t>
      </w:r>
    </w:p>
    <w:p>
      <w:pPr>
        <w:pStyle w:val="6"/>
        <w:ind w:firstLine="0" w:firstLineChars="0"/>
        <w:rPr>
          <w:rFonts w:ascii="黑体" w:eastAsia="黑体"/>
        </w:rPr>
      </w:pPr>
      <w:r>
        <w:rPr>
          <w:rFonts w:hint="eastAsia" w:ascii="黑体" w:eastAsia="黑体"/>
        </w:rPr>
        <w:t>5.1 气候</w:t>
      </w:r>
    </w:p>
    <w:p>
      <w:pPr>
        <w:pStyle w:val="6"/>
      </w:pPr>
      <w:r>
        <w:rPr>
          <w:rFonts w:hint="eastAsia"/>
        </w:rPr>
        <w:t>蕉岭县属亚热带地区海洋性季风气候，夏长冬短，气候温和，雨季长，光照充足，雨量充沛。境内山峦起伏，林木葱郁，空气清新，水资源丰富，水质清澈甘甜。位置在海拔千米以上的有金山笔、皇佑笔、铁山嶂、大峰嶂、小峰笔、樟坑岌。全年平均气温21.7℃，年平均降雨量1304mm左右。</w:t>
      </w:r>
    </w:p>
    <w:p>
      <w:pPr>
        <w:pStyle w:val="7"/>
        <w:numPr>
          <w:ilvl w:val="1"/>
          <w:numId w:val="0"/>
        </w:numPr>
        <w:spacing w:before="156" w:after="156"/>
      </w:pPr>
      <w:r>
        <w:rPr>
          <w:rFonts w:hint="eastAsia"/>
        </w:rPr>
        <w:t>5.2立地条件</w:t>
      </w:r>
    </w:p>
    <w:p>
      <w:pPr>
        <w:pStyle w:val="10"/>
        <w:numPr>
          <w:ilvl w:val="0"/>
          <w:numId w:val="0"/>
        </w:numPr>
        <w:spacing w:before="312" w:after="312"/>
        <w:ind w:firstLine="315" w:firstLineChars="150"/>
        <w:rPr>
          <w:rFonts w:ascii="宋体" w:hAnsi="宋体" w:eastAsia="宋体"/>
        </w:rPr>
      </w:pPr>
      <w:r>
        <w:rPr>
          <w:rFonts w:hint="eastAsia" w:ascii="宋体" w:hAnsi="宋体" w:eastAsia="宋体"/>
        </w:rPr>
        <w:t>选择海拔500至750米，坡度15至25度，疏松透气湿润，排水性佳，交通方便，靠近水源，光照充足的山谷、缓坡地。土壤pH值5.4至6.7，有机质含量≥23.1g/kg，土层深度≥50cm的红、黄壤土。</w:t>
      </w:r>
    </w:p>
    <w:p>
      <w:pPr>
        <w:pStyle w:val="7"/>
        <w:numPr>
          <w:ilvl w:val="1"/>
          <w:numId w:val="0"/>
        </w:numPr>
        <w:spacing w:before="156" w:after="156"/>
      </w:pPr>
      <w:r>
        <w:rPr>
          <w:rFonts w:hint="eastAsia"/>
        </w:rPr>
        <w:t>6  栽培管理</w:t>
      </w:r>
    </w:p>
    <w:p>
      <w:pPr>
        <w:pStyle w:val="11"/>
        <w:numPr>
          <w:ilvl w:val="2"/>
          <w:numId w:val="0"/>
        </w:numPr>
        <w:spacing w:before="156" w:after="156"/>
        <w:rPr>
          <w:rFonts w:ascii="仿宋_GB2312" w:eastAsia="仿宋_GB2312"/>
          <w:sz w:val="28"/>
          <w:szCs w:val="28"/>
        </w:rPr>
      </w:pPr>
      <w:r>
        <w:rPr>
          <w:rFonts w:hint="eastAsia"/>
        </w:rPr>
        <w:t>6.1种源</w:t>
      </w:r>
    </w:p>
    <w:p>
      <w:pPr>
        <w:pStyle w:val="11"/>
        <w:numPr>
          <w:ilvl w:val="2"/>
          <w:numId w:val="0"/>
        </w:numPr>
        <w:spacing w:before="156" w:after="156"/>
        <w:ind w:firstLine="315" w:firstLineChars="150"/>
        <w:rPr>
          <w:rFonts w:ascii="宋体" w:hAnsi="宋体" w:eastAsia="宋体"/>
        </w:rPr>
      </w:pPr>
      <w:r>
        <w:rPr>
          <w:rFonts w:hint="eastAsia" w:ascii="宋体" w:hAnsi="宋体" w:eastAsia="宋体"/>
        </w:rPr>
        <w:t>选择生长健壮，分枝较低，枝叶繁茂，竹节正常，无病虫害，1年至3年生，胸径3cm至6cm的毛竹为母竹。</w:t>
      </w:r>
    </w:p>
    <w:p>
      <w:pPr>
        <w:pStyle w:val="6"/>
        <w:ind w:firstLine="0" w:firstLineChars="0"/>
        <w:rPr>
          <w:rFonts w:ascii="黑体" w:eastAsia="黑体"/>
        </w:rPr>
      </w:pPr>
      <w:r>
        <w:rPr>
          <w:rFonts w:hint="eastAsia" w:ascii="黑体" w:eastAsia="黑体"/>
        </w:rPr>
        <w:t>6.2 竹林建设</w:t>
      </w:r>
    </w:p>
    <w:p>
      <w:pPr>
        <w:pStyle w:val="11"/>
        <w:numPr>
          <w:ilvl w:val="2"/>
          <w:numId w:val="0"/>
        </w:numPr>
        <w:spacing w:before="156" w:after="156"/>
      </w:pPr>
      <w:r>
        <w:rPr>
          <w:rFonts w:hint="eastAsia"/>
        </w:rPr>
        <w:t>6.2.1种植</w:t>
      </w:r>
    </w:p>
    <w:p>
      <w:pPr>
        <w:pStyle w:val="11"/>
        <w:numPr>
          <w:ilvl w:val="2"/>
          <w:numId w:val="0"/>
        </w:numPr>
        <w:spacing w:before="156" w:after="156"/>
        <w:ind w:firstLine="420" w:firstLineChars="200"/>
        <w:rPr>
          <w:rFonts w:ascii="宋体" w:hAnsi="宋体" w:eastAsia="宋体"/>
        </w:rPr>
      </w:pPr>
      <w:r>
        <w:rPr>
          <w:rFonts w:hint="eastAsia" w:ascii="宋体" w:hAnsi="宋体" w:eastAsia="宋体"/>
        </w:rPr>
        <w:t>将母竹放入穴中，竹蔸上部略低于土面，鞭土密接，下紧上松，填土时防止损伤鞭根和笋芽，浇水保湿，打桩固定。</w:t>
      </w:r>
    </w:p>
    <w:p>
      <w:pPr>
        <w:pStyle w:val="11"/>
        <w:numPr>
          <w:ilvl w:val="2"/>
          <w:numId w:val="0"/>
        </w:numPr>
        <w:spacing w:before="156" w:after="156"/>
        <w:rPr>
          <w:rFonts w:ascii="宋体" w:hAnsi="宋体" w:eastAsia="宋体"/>
        </w:rPr>
      </w:pPr>
      <w:r>
        <w:rPr>
          <w:rFonts w:hint="eastAsia" w:hAnsi="宋体"/>
        </w:rPr>
        <w:t>6.2.2 种植时间：</w:t>
      </w:r>
      <w:r>
        <w:rPr>
          <w:rFonts w:hint="eastAsia" w:ascii="宋体" w:hAnsi="宋体" w:eastAsia="宋体"/>
        </w:rPr>
        <w:t>每年2月下旬至4月上旬种植为宜。</w:t>
      </w:r>
    </w:p>
    <w:p>
      <w:pPr>
        <w:pStyle w:val="11"/>
        <w:numPr>
          <w:ilvl w:val="2"/>
          <w:numId w:val="0"/>
        </w:numPr>
        <w:spacing w:before="156" w:after="156"/>
        <w:rPr>
          <w:rFonts w:ascii="宋体" w:hAnsi="宋体" w:eastAsia="宋体"/>
        </w:rPr>
      </w:pPr>
      <w:r>
        <w:rPr>
          <w:rFonts w:hint="eastAsia" w:hAnsi="宋体"/>
        </w:rPr>
        <w:t>6.2.3栽植密度：</w:t>
      </w:r>
      <w:r>
        <w:rPr>
          <w:rFonts w:hint="eastAsia" w:ascii="宋体" w:hAnsi="宋体" w:eastAsia="宋体"/>
        </w:rPr>
        <w:t>625株（丛）／公顷～833株（丛）／公顷。</w:t>
      </w:r>
    </w:p>
    <w:p>
      <w:pPr>
        <w:pStyle w:val="11"/>
        <w:numPr>
          <w:ilvl w:val="2"/>
          <w:numId w:val="0"/>
        </w:numPr>
        <w:spacing w:before="156" w:after="156"/>
        <w:rPr>
          <w:rFonts w:ascii="宋体" w:hAnsi="宋体" w:eastAsia="宋体"/>
        </w:rPr>
      </w:pPr>
      <w:r>
        <w:rPr>
          <w:rFonts w:hint="eastAsia" w:hAnsi="宋体"/>
        </w:rPr>
        <w:t>6.2.4施肥：</w:t>
      </w:r>
      <w:r>
        <w:rPr>
          <w:rFonts w:hint="eastAsia" w:ascii="宋体" w:hAnsi="宋体" w:eastAsia="宋体"/>
        </w:rPr>
        <w:t>第一年施肥二次，5月至6月每株根施复合肥0.25kg或液施尿素0.15kg至0.25kg；第二年5月至6月每公顷根施复合肥375kg，11月至12月每公顷施有机肥20t；第三年5月至6月每公顷施复合肥450kg，11月至12月每公顷施有机肥30t。</w:t>
      </w:r>
    </w:p>
    <w:p>
      <w:pPr>
        <w:pStyle w:val="14"/>
        <w:spacing w:beforeLines="0" w:afterLines="0"/>
      </w:pPr>
      <w:r>
        <w:rPr>
          <w:rFonts w:hint="eastAsia"/>
        </w:rPr>
        <w:t>6.2.5  农药使用</w:t>
      </w:r>
    </w:p>
    <w:p>
      <w:pPr>
        <w:pStyle w:val="6"/>
      </w:pPr>
      <w:r>
        <w:rPr>
          <w:rFonts w:hint="eastAsia"/>
        </w:rPr>
        <w:t>使用农药应严格遵循GB/T 8321的规定，不得使用国家明令禁止的农药，不得污染环境。</w:t>
      </w:r>
    </w:p>
    <w:p>
      <w:pPr>
        <w:pStyle w:val="7"/>
        <w:numPr>
          <w:ilvl w:val="1"/>
          <w:numId w:val="0"/>
        </w:numPr>
        <w:spacing w:before="156" w:after="156"/>
      </w:pPr>
      <w:r>
        <w:rPr>
          <w:rFonts w:hint="eastAsia"/>
        </w:rPr>
        <w:t>6.3 竹笋采收</w:t>
      </w:r>
    </w:p>
    <w:p>
      <w:pPr>
        <w:pStyle w:val="11"/>
        <w:numPr>
          <w:ilvl w:val="2"/>
          <w:numId w:val="0"/>
        </w:numPr>
        <w:spacing w:before="156" w:after="156"/>
        <w:rPr>
          <w:rFonts w:ascii="宋体" w:hAnsi="宋体" w:eastAsia="宋体"/>
        </w:rPr>
      </w:pPr>
      <w:r>
        <w:rPr>
          <w:rFonts w:hint="eastAsia" w:hAnsi="宋体"/>
        </w:rPr>
        <w:t>6.3.1采收时间</w:t>
      </w:r>
      <w:r>
        <w:rPr>
          <w:rFonts w:hint="eastAsia" w:ascii="宋体" w:hAnsi="宋体" w:eastAsia="宋体"/>
        </w:rPr>
        <w:t>：11月下旬至第二年的2月底为宜。</w:t>
      </w:r>
    </w:p>
    <w:p>
      <w:pPr>
        <w:pStyle w:val="11"/>
        <w:numPr>
          <w:ilvl w:val="2"/>
          <w:numId w:val="0"/>
        </w:numPr>
        <w:spacing w:before="156" w:after="156"/>
        <w:rPr>
          <w:rFonts w:ascii="宋体" w:hAnsi="宋体" w:eastAsia="宋体"/>
        </w:rPr>
      </w:pPr>
      <w:r>
        <w:rPr>
          <w:rFonts w:hint="eastAsia"/>
        </w:rPr>
        <w:t>6.3.2采收标准：</w:t>
      </w:r>
      <w:r>
        <w:rPr>
          <w:rFonts w:hint="eastAsia" w:ascii="宋体" w:hAnsi="宋体" w:eastAsia="宋体"/>
        </w:rPr>
        <w:t>笋尖即刚露出土面1cm至2cm时采收为宜。</w:t>
      </w:r>
    </w:p>
    <w:p>
      <w:pPr>
        <w:pStyle w:val="15"/>
        <w:numPr>
          <w:ilvl w:val="4"/>
          <w:numId w:val="0"/>
        </w:numPr>
        <w:spacing w:before="156" w:after="156"/>
        <w:rPr>
          <w:rFonts w:ascii="宋体" w:hAnsi="宋体" w:eastAsia="宋体"/>
        </w:rPr>
      </w:pPr>
      <w:r>
        <w:rPr>
          <w:rFonts w:hint="eastAsia"/>
        </w:rPr>
        <w:t>6.3.3  采收要求：</w:t>
      </w:r>
      <w:r>
        <w:rPr>
          <w:rFonts w:hint="eastAsia" w:ascii="宋体" w:hAnsi="宋体" w:eastAsia="宋体"/>
        </w:rPr>
        <w:t>先扒开笋周围土壤，露出笋体，在笋体膨大弯曲部位，用采笋刀从内向外切下，保留余蔸2个以上饱满的笋目，切口平滑，与笋节平行。割笋后及时把表土复回原处。</w:t>
      </w:r>
    </w:p>
    <w:p>
      <w:pPr>
        <w:pStyle w:val="7"/>
        <w:numPr>
          <w:ilvl w:val="1"/>
          <w:numId w:val="0"/>
        </w:numPr>
        <w:spacing w:before="156" w:after="156"/>
      </w:pPr>
      <w:r>
        <w:rPr>
          <w:rFonts w:hint="eastAsia"/>
        </w:rPr>
        <w:t>7 质量特色</w:t>
      </w:r>
    </w:p>
    <w:p>
      <w:pPr>
        <w:pStyle w:val="6"/>
        <w:ind w:firstLine="0" w:firstLineChars="0"/>
        <w:rPr>
          <w:rFonts w:hAnsi="宋体"/>
          <w:szCs w:val="21"/>
        </w:rPr>
      </w:pPr>
      <w:r>
        <w:rPr>
          <w:rFonts w:hint="eastAsia" w:ascii="黑体" w:eastAsia="黑体"/>
        </w:rPr>
        <w:t xml:space="preserve">7.1 </w:t>
      </w:r>
      <w:r>
        <w:rPr>
          <w:rFonts w:hint="eastAsia"/>
        </w:rPr>
        <w:t>感官特色：</w:t>
      </w:r>
      <w:r>
        <w:rPr>
          <w:rFonts w:hint="eastAsia" w:hAnsi="宋体"/>
          <w:szCs w:val="21"/>
        </w:rPr>
        <w:t>鲜冬笋感官要求见表1。</w:t>
      </w:r>
    </w:p>
    <w:p>
      <w:pPr>
        <w:widowControl/>
        <w:autoSpaceDE w:val="0"/>
        <w:autoSpaceDN w:val="0"/>
        <w:spacing w:afterLines="50" w:line="594" w:lineRule="exact"/>
        <w:ind w:firstLine="660"/>
        <w:jc w:val="center"/>
        <w:rPr>
          <w:sz w:val="21"/>
          <w:szCs w:val="21"/>
        </w:rPr>
      </w:pPr>
    </w:p>
    <w:p>
      <w:pPr>
        <w:widowControl/>
        <w:autoSpaceDE w:val="0"/>
        <w:autoSpaceDN w:val="0"/>
        <w:spacing w:afterLines="50" w:line="594" w:lineRule="exact"/>
        <w:ind w:firstLine="660"/>
        <w:jc w:val="center"/>
        <w:rPr>
          <w:sz w:val="21"/>
          <w:szCs w:val="21"/>
        </w:rPr>
      </w:pPr>
      <w:r>
        <w:rPr>
          <w:rFonts w:hint="eastAsia"/>
          <w:sz w:val="21"/>
          <w:szCs w:val="21"/>
        </w:rPr>
        <w:t>表1  鲜冬笋感官要求</w:t>
      </w:r>
    </w:p>
    <w:tbl>
      <w:tblPr>
        <w:tblStyle w:val="5"/>
        <w:tblW w:w="8522" w:type="dxa"/>
        <w:tblInd w:w="28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86"/>
        <w:gridCol w:w="68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686" w:type="dxa"/>
            <w:tcBorders>
              <w:top w:val="single" w:color="auto" w:sz="4" w:space="0"/>
              <w:left w:val="single" w:color="auto" w:sz="4" w:space="0"/>
              <w:bottom w:val="single" w:color="auto" w:sz="4" w:space="0"/>
              <w:right w:val="single" w:color="auto" w:sz="4" w:space="0"/>
            </w:tcBorders>
            <w:vAlign w:val="top"/>
          </w:tcPr>
          <w:p>
            <w:pPr>
              <w:widowControl/>
              <w:autoSpaceDE w:val="0"/>
              <w:autoSpaceDN w:val="0"/>
              <w:spacing w:afterLines="50" w:line="500" w:lineRule="exact"/>
              <w:rPr>
                <w:rFonts w:ascii="宋体" w:eastAsia="宋体" w:cs="宋体"/>
                <w:sz w:val="18"/>
                <w:szCs w:val="18"/>
              </w:rPr>
            </w:pPr>
            <w:r>
              <w:rPr>
                <w:rFonts w:hint="eastAsia" w:ascii="宋体" w:eastAsia="宋体" w:cs="宋体"/>
                <w:sz w:val="18"/>
                <w:szCs w:val="18"/>
              </w:rPr>
              <w:t xml:space="preserve">   项目</w:t>
            </w:r>
          </w:p>
        </w:tc>
        <w:tc>
          <w:tcPr>
            <w:tcW w:w="6836" w:type="dxa"/>
            <w:tcBorders>
              <w:top w:val="single" w:color="auto" w:sz="4" w:space="0"/>
              <w:left w:val="nil"/>
              <w:bottom w:val="single" w:color="auto" w:sz="4" w:space="0"/>
              <w:right w:val="single" w:color="auto" w:sz="4" w:space="0"/>
            </w:tcBorders>
            <w:vAlign w:val="top"/>
          </w:tcPr>
          <w:p>
            <w:pPr>
              <w:widowControl/>
              <w:autoSpaceDE w:val="0"/>
              <w:autoSpaceDN w:val="0"/>
              <w:spacing w:afterLines="50" w:line="500" w:lineRule="exact"/>
              <w:rPr>
                <w:rFonts w:ascii="宋体" w:eastAsia="宋体" w:cs="宋体"/>
                <w:sz w:val="18"/>
                <w:szCs w:val="18"/>
              </w:rPr>
            </w:pPr>
            <w:r>
              <w:rPr>
                <w:rFonts w:hint="eastAsia" w:ascii="宋体" w:eastAsia="宋体" w:cs="宋体"/>
                <w:sz w:val="18"/>
                <w:szCs w:val="18"/>
              </w:rPr>
              <w:t xml:space="preserve">                      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686" w:type="dxa"/>
            <w:tcBorders>
              <w:top w:val="single" w:color="auto" w:sz="4" w:space="0"/>
              <w:left w:val="single" w:color="auto" w:sz="4" w:space="0"/>
              <w:bottom w:val="single" w:color="auto" w:sz="4" w:space="0"/>
              <w:right w:val="single" w:color="auto" w:sz="4" w:space="0"/>
            </w:tcBorders>
            <w:vAlign w:val="top"/>
          </w:tcPr>
          <w:p>
            <w:pPr>
              <w:widowControl/>
              <w:autoSpaceDE w:val="0"/>
              <w:autoSpaceDN w:val="0"/>
              <w:spacing w:afterLines="50" w:line="500" w:lineRule="exact"/>
              <w:jc w:val="center"/>
              <w:rPr>
                <w:rFonts w:ascii="宋体" w:eastAsia="宋体" w:cs="宋体"/>
                <w:sz w:val="18"/>
                <w:szCs w:val="18"/>
              </w:rPr>
            </w:pPr>
            <w:r>
              <w:rPr>
                <w:rFonts w:hint="eastAsia" w:ascii="宋体" w:eastAsia="宋体" w:cs="宋体"/>
                <w:sz w:val="18"/>
                <w:szCs w:val="18"/>
              </w:rPr>
              <w:t>色泽、形态</w:t>
            </w:r>
          </w:p>
        </w:tc>
        <w:tc>
          <w:tcPr>
            <w:tcW w:w="6836" w:type="dxa"/>
            <w:tcBorders>
              <w:top w:val="single" w:color="auto" w:sz="4" w:space="0"/>
              <w:left w:val="nil"/>
              <w:bottom w:val="single" w:color="auto" w:sz="4" w:space="0"/>
              <w:right w:val="single" w:color="auto" w:sz="4" w:space="0"/>
            </w:tcBorders>
            <w:vAlign w:val="top"/>
          </w:tcPr>
          <w:p>
            <w:pPr>
              <w:widowControl/>
              <w:autoSpaceDE w:val="0"/>
              <w:autoSpaceDN w:val="0"/>
              <w:spacing w:afterLines="50" w:line="500" w:lineRule="exact"/>
              <w:jc w:val="left"/>
              <w:rPr>
                <w:rFonts w:ascii="宋体" w:eastAsia="宋体" w:cs="宋体"/>
                <w:sz w:val="18"/>
                <w:szCs w:val="18"/>
              </w:rPr>
            </w:pPr>
            <w:r>
              <w:rPr>
                <w:rFonts w:hint="eastAsia" w:ascii="宋体" w:eastAsia="宋体" w:cs="宋体"/>
                <w:sz w:val="18"/>
                <w:szCs w:val="18"/>
              </w:rPr>
              <w:t>笋壳呈淡黄色，笋肉白色或乳白色，笋体饱满，壳薄肉厚，外形呈马蹄状，有沉实感。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686" w:type="dxa"/>
            <w:tcBorders>
              <w:top w:val="single" w:color="auto" w:sz="4" w:space="0"/>
              <w:left w:val="single" w:color="auto" w:sz="4" w:space="0"/>
              <w:bottom w:val="single" w:color="auto" w:sz="4" w:space="0"/>
              <w:right w:val="single" w:color="auto" w:sz="4" w:space="0"/>
            </w:tcBorders>
            <w:vAlign w:val="top"/>
          </w:tcPr>
          <w:p>
            <w:pPr>
              <w:widowControl/>
              <w:autoSpaceDE w:val="0"/>
              <w:autoSpaceDN w:val="0"/>
              <w:spacing w:afterLines="50" w:line="500" w:lineRule="exact"/>
              <w:jc w:val="center"/>
              <w:rPr>
                <w:rFonts w:ascii="宋体" w:eastAsia="宋体" w:cs="宋体"/>
                <w:sz w:val="18"/>
                <w:szCs w:val="18"/>
              </w:rPr>
            </w:pPr>
            <w:r>
              <w:rPr>
                <w:rFonts w:hint="eastAsia" w:ascii="宋体" w:eastAsia="宋体" w:cs="宋体"/>
                <w:sz w:val="18"/>
                <w:szCs w:val="18"/>
              </w:rPr>
              <w:t>滋味、气味</w:t>
            </w:r>
          </w:p>
        </w:tc>
        <w:tc>
          <w:tcPr>
            <w:tcW w:w="6836" w:type="dxa"/>
            <w:tcBorders>
              <w:top w:val="single" w:color="auto" w:sz="4" w:space="0"/>
              <w:left w:val="nil"/>
              <w:bottom w:val="single" w:color="auto" w:sz="4" w:space="0"/>
              <w:right w:val="single" w:color="auto" w:sz="4" w:space="0"/>
            </w:tcBorders>
            <w:vAlign w:val="top"/>
          </w:tcPr>
          <w:p>
            <w:pPr>
              <w:widowControl/>
              <w:autoSpaceDE w:val="0"/>
              <w:autoSpaceDN w:val="0"/>
              <w:spacing w:afterLines="50" w:line="500" w:lineRule="exact"/>
              <w:jc w:val="center"/>
              <w:rPr>
                <w:rFonts w:ascii="宋体" w:eastAsia="宋体" w:cs="宋体"/>
                <w:sz w:val="18"/>
                <w:szCs w:val="18"/>
              </w:rPr>
            </w:pPr>
            <w:r>
              <w:rPr>
                <w:rFonts w:hint="eastAsia" w:ascii="宋体" w:eastAsia="宋体" w:cs="宋体"/>
                <w:sz w:val="18"/>
                <w:szCs w:val="18"/>
              </w:rPr>
              <w:t>笋香味浓郁，笋肉口感细腻爽脆，清甜鲜美</w:t>
            </w:r>
          </w:p>
        </w:tc>
      </w:tr>
    </w:tbl>
    <w:p>
      <w:pPr>
        <w:pStyle w:val="6"/>
      </w:pPr>
    </w:p>
    <w:p>
      <w:pPr>
        <w:pStyle w:val="6"/>
        <w:ind w:firstLine="0" w:firstLineChars="0"/>
      </w:pPr>
      <w:r>
        <w:rPr>
          <w:rFonts w:hint="eastAsia" w:ascii="黑体" w:eastAsia="黑体"/>
        </w:rPr>
        <w:t xml:space="preserve">7.2 </w:t>
      </w:r>
      <w:r>
        <w:rPr>
          <w:rFonts w:hint="eastAsia"/>
        </w:rPr>
        <w:t>理化指标应符合表2的规定。</w:t>
      </w:r>
    </w:p>
    <w:p>
      <w:pPr>
        <w:pStyle w:val="6"/>
      </w:pPr>
    </w:p>
    <w:p>
      <w:pPr>
        <w:widowControl/>
        <w:autoSpaceDE w:val="0"/>
        <w:autoSpaceDN w:val="0"/>
        <w:spacing w:afterLines="50" w:line="594" w:lineRule="exact"/>
        <w:ind w:firstLine="420" w:firstLineChars="200"/>
        <w:jc w:val="center"/>
        <w:rPr>
          <w:szCs w:val="21"/>
        </w:rPr>
      </w:pPr>
      <w:r>
        <w:rPr>
          <w:rFonts w:hint="eastAsia" w:hAnsi="黑体" w:cs="黑体"/>
          <w:sz w:val="21"/>
          <w:szCs w:val="21"/>
        </w:rPr>
        <w:t>表2  鲜冬笋理化指标</w:t>
      </w:r>
    </w:p>
    <w:tbl>
      <w:tblPr>
        <w:tblStyle w:val="5"/>
        <w:tblW w:w="8467" w:type="dxa"/>
        <w:jc w:val="center"/>
        <w:tblInd w:w="4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819"/>
        <w:gridCol w:w="3620"/>
        <w:gridCol w:w="2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4" w:hRule="atLeast"/>
          <w:jc w:val="center"/>
        </w:trPr>
        <w:tc>
          <w:tcPr>
            <w:tcW w:w="4819" w:type="dxa"/>
            <w:tcBorders>
              <w:top w:val="single" w:color="auto" w:sz="4" w:space="0"/>
              <w:left w:val="single" w:color="auto" w:sz="4" w:space="0"/>
              <w:bottom w:val="single" w:color="auto" w:sz="4" w:space="0"/>
              <w:right w:val="single" w:color="auto" w:sz="4" w:space="0"/>
            </w:tcBorders>
            <w:vAlign w:val="top"/>
          </w:tcPr>
          <w:p>
            <w:pPr>
              <w:widowControl/>
              <w:autoSpaceDE w:val="0"/>
              <w:autoSpaceDN w:val="0"/>
              <w:spacing w:afterLines="50" w:line="500" w:lineRule="exact"/>
              <w:ind w:firstLine="360" w:firstLineChars="200"/>
              <w:jc w:val="center"/>
              <w:rPr>
                <w:rFonts w:ascii="宋体"/>
                <w:sz w:val="18"/>
                <w:szCs w:val="18"/>
              </w:rPr>
            </w:pPr>
            <w:r>
              <w:rPr>
                <w:rFonts w:hint="eastAsia" w:ascii="宋体"/>
                <w:sz w:val="18"/>
                <w:szCs w:val="18"/>
              </w:rPr>
              <w:t>项   目</w:t>
            </w:r>
          </w:p>
        </w:tc>
        <w:tc>
          <w:tcPr>
            <w:tcW w:w="3648" w:type="dxa"/>
            <w:gridSpan w:val="2"/>
            <w:tcBorders>
              <w:top w:val="single" w:color="auto" w:sz="4" w:space="0"/>
              <w:left w:val="nil"/>
              <w:bottom w:val="single" w:color="auto" w:sz="4" w:space="0"/>
              <w:right w:val="single" w:color="auto" w:sz="4" w:space="0"/>
            </w:tcBorders>
            <w:vAlign w:val="top"/>
          </w:tcPr>
          <w:p>
            <w:pPr>
              <w:widowControl/>
              <w:autoSpaceDE w:val="0"/>
              <w:autoSpaceDN w:val="0"/>
              <w:spacing w:afterLines="50" w:line="500" w:lineRule="exact"/>
              <w:ind w:firstLine="360" w:firstLineChars="200"/>
              <w:jc w:val="center"/>
              <w:rPr>
                <w:rFonts w:ascii="宋体"/>
                <w:sz w:val="18"/>
                <w:szCs w:val="18"/>
              </w:rPr>
            </w:pPr>
            <w:r>
              <w:rPr>
                <w:rFonts w:hint="eastAsia" w:ascii="宋体"/>
                <w:sz w:val="18"/>
                <w:szCs w:val="18"/>
              </w:rPr>
              <w:t>指    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2" w:hRule="atLeast"/>
          <w:jc w:val="center"/>
        </w:trPr>
        <w:tc>
          <w:tcPr>
            <w:tcW w:w="4819"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pacing w:afterLines="50" w:line="500" w:lineRule="exact"/>
              <w:rPr>
                <w:rFonts w:ascii="宋体" w:eastAsia="宋体" w:cs="宋体"/>
                <w:sz w:val="18"/>
                <w:szCs w:val="18"/>
              </w:rPr>
            </w:pPr>
            <w:r>
              <w:rPr>
                <w:rFonts w:hint="eastAsia" w:ascii="宋体" w:eastAsia="宋体" w:cs="宋体"/>
                <w:sz w:val="18"/>
                <w:szCs w:val="18"/>
              </w:rPr>
              <w:t xml:space="preserve">单笋重/（g）                 </w:t>
            </w:r>
          </w:p>
        </w:tc>
        <w:tc>
          <w:tcPr>
            <w:tcW w:w="3648" w:type="dxa"/>
            <w:gridSpan w:val="2"/>
            <w:tcBorders>
              <w:top w:val="single" w:color="auto" w:sz="4" w:space="0"/>
              <w:left w:val="nil"/>
              <w:bottom w:val="single" w:color="auto" w:sz="4" w:space="0"/>
              <w:right w:val="single" w:color="auto" w:sz="4" w:space="0"/>
            </w:tcBorders>
            <w:vAlign w:val="top"/>
          </w:tcPr>
          <w:p>
            <w:pPr>
              <w:widowControl/>
              <w:autoSpaceDE w:val="0"/>
              <w:autoSpaceDN w:val="0"/>
              <w:spacing w:afterLines="50" w:line="500" w:lineRule="exact"/>
              <w:ind w:firstLine="360" w:firstLineChars="200"/>
              <w:jc w:val="center"/>
              <w:rPr>
                <w:rFonts w:ascii="宋体" w:eastAsia="宋体" w:cs="宋体"/>
                <w:sz w:val="18"/>
                <w:szCs w:val="18"/>
              </w:rPr>
            </w:pPr>
            <w:r>
              <w:rPr>
                <w:rFonts w:hint="eastAsia" w:ascii="宋体" w:eastAsia="宋体" w:cs="宋体"/>
                <w:sz w:val="18"/>
                <w:szCs w:val="18"/>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2" w:hRule="atLeast"/>
          <w:jc w:val="center"/>
        </w:trPr>
        <w:tc>
          <w:tcPr>
            <w:tcW w:w="4819"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pacing w:afterLines="50" w:line="500" w:lineRule="exact"/>
              <w:rPr>
                <w:rFonts w:ascii="宋体" w:eastAsia="宋体" w:cs="宋体"/>
                <w:sz w:val="18"/>
                <w:szCs w:val="18"/>
              </w:rPr>
            </w:pPr>
            <w:r>
              <w:rPr>
                <w:rFonts w:hint="eastAsia" w:ascii="宋体" w:eastAsia="宋体" w:cs="宋体"/>
                <w:sz w:val="18"/>
                <w:szCs w:val="18"/>
              </w:rPr>
              <w:t xml:space="preserve">氨基酸总含量*/(g/100g)   </w:t>
            </w:r>
          </w:p>
        </w:tc>
        <w:tc>
          <w:tcPr>
            <w:tcW w:w="3648" w:type="dxa"/>
            <w:gridSpan w:val="2"/>
            <w:tcBorders>
              <w:top w:val="single" w:color="auto" w:sz="4" w:space="0"/>
              <w:left w:val="nil"/>
              <w:bottom w:val="single" w:color="auto" w:sz="4" w:space="0"/>
              <w:right w:val="single" w:color="auto" w:sz="4" w:space="0"/>
            </w:tcBorders>
            <w:vAlign w:val="top"/>
          </w:tcPr>
          <w:p>
            <w:pPr>
              <w:widowControl/>
              <w:autoSpaceDE w:val="0"/>
              <w:autoSpaceDN w:val="0"/>
              <w:spacing w:afterLines="50" w:line="500" w:lineRule="exact"/>
              <w:ind w:firstLine="360" w:firstLineChars="200"/>
              <w:jc w:val="center"/>
              <w:rPr>
                <w:rFonts w:ascii="宋体" w:eastAsia="宋体" w:cs="宋体"/>
                <w:sz w:val="18"/>
                <w:szCs w:val="18"/>
              </w:rPr>
            </w:pPr>
            <w:r>
              <w:rPr>
                <w:rFonts w:hint="eastAsia" w:ascii="宋体" w:eastAsia="宋体" w:cs="宋体"/>
                <w:sz w:val="18"/>
                <w:szCs w:val="18"/>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8" w:type="dxa"/>
          <w:trHeight w:val="552" w:hRule="atLeast"/>
          <w:jc w:val="center"/>
        </w:trPr>
        <w:tc>
          <w:tcPr>
            <w:tcW w:w="4819"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pacing w:afterLines="50" w:line="500" w:lineRule="exact"/>
              <w:rPr>
                <w:rFonts w:ascii="宋体" w:eastAsia="宋体" w:cs="宋体"/>
                <w:sz w:val="18"/>
                <w:szCs w:val="18"/>
              </w:rPr>
            </w:pPr>
            <w:r>
              <w:rPr>
                <w:rFonts w:hint="eastAsia" w:ascii="宋体" w:eastAsia="宋体" w:cs="宋体"/>
                <w:sz w:val="18"/>
                <w:szCs w:val="18"/>
              </w:rPr>
              <w:t xml:space="preserve">谷氨酸*/(g/100g)         </w:t>
            </w:r>
          </w:p>
        </w:tc>
        <w:tc>
          <w:tcPr>
            <w:tcW w:w="3620" w:type="dxa"/>
            <w:tcBorders>
              <w:top w:val="single" w:color="auto" w:sz="4" w:space="0"/>
              <w:left w:val="nil"/>
              <w:bottom w:val="single" w:color="auto" w:sz="4" w:space="0"/>
              <w:right w:val="single" w:color="auto" w:sz="4" w:space="0"/>
            </w:tcBorders>
            <w:vAlign w:val="top"/>
          </w:tcPr>
          <w:p>
            <w:pPr>
              <w:widowControl/>
              <w:autoSpaceDE w:val="0"/>
              <w:autoSpaceDN w:val="0"/>
              <w:spacing w:afterLines="50" w:line="500" w:lineRule="exact"/>
              <w:ind w:firstLine="360" w:firstLineChars="200"/>
              <w:jc w:val="center"/>
              <w:rPr>
                <w:rFonts w:ascii="宋体" w:eastAsia="宋体" w:cs="宋体"/>
                <w:sz w:val="18"/>
                <w:szCs w:val="18"/>
              </w:rPr>
            </w:pPr>
            <w:r>
              <w:rPr>
                <w:rFonts w:hint="eastAsia" w:ascii="宋体" w:eastAsia="宋体" w:cs="宋体"/>
                <w:sz w:val="18"/>
                <w:szCs w:val="18"/>
              </w:rPr>
              <w:t>≥0.28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8" w:type="dxa"/>
          <w:trHeight w:val="552" w:hRule="atLeast"/>
          <w:jc w:val="center"/>
        </w:trPr>
        <w:tc>
          <w:tcPr>
            <w:tcW w:w="4819"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pacing w:afterLines="50" w:line="500" w:lineRule="exact"/>
              <w:rPr>
                <w:rFonts w:ascii="宋体" w:eastAsia="宋体" w:cs="宋体"/>
                <w:sz w:val="18"/>
                <w:szCs w:val="18"/>
              </w:rPr>
            </w:pPr>
            <w:r>
              <w:rPr>
                <w:rFonts w:hint="eastAsia" w:ascii="宋体" w:eastAsia="宋体" w:cs="宋体"/>
                <w:sz w:val="18"/>
                <w:szCs w:val="18"/>
              </w:rPr>
              <w:t xml:space="preserve">总糖（以葡萄糖计）*( /%)      </w:t>
            </w:r>
          </w:p>
        </w:tc>
        <w:tc>
          <w:tcPr>
            <w:tcW w:w="3620" w:type="dxa"/>
            <w:tcBorders>
              <w:top w:val="single" w:color="auto" w:sz="4" w:space="0"/>
              <w:left w:val="nil"/>
              <w:bottom w:val="single" w:color="auto" w:sz="4" w:space="0"/>
              <w:right w:val="single" w:color="auto" w:sz="4" w:space="0"/>
            </w:tcBorders>
            <w:vAlign w:val="top"/>
          </w:tcPr>
          <w:p>
            <w:pPr>
              <w:widowControl/>
              <w:autoSpaceDE w:val="0"/>
              <w:autoSpaceDN w:val="0"/>
              <w:spacing w:afterLines="50" w:line="500" w:lineRule="exact"/>
              <w:ind w:firstLine="360" w:firstLineChars="200"/>
              <w:jc w:val="center"/>
              <w:rPr>
                <w:rFonts w:ascii="宋体" w:eastAsia="宋体" w:cs="宋体"/>
                <w:sz w:val="18"/>
                <w:szCs w:val="18"/>
              </w:rPr>
            </w:pPr>
            <w:r>
              <w:rPr>
                <w:rFonts w:hint="eastAsia" w:ascii="宋体" w:eastAsia="宋体" w:cs="宋体"/>
                <w:sz w:val="18"/>
                <w:szCs w:val="18"/>
              </w:rPr>
              <w:t>≥1.6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8" w:type="dxa"/>
          <w:trHeight w:val="552" w:hRule="atLeast"/>
          <w:jc w:val="center"/>
        </w:trPr>
        <w:tc>
          <w:tcPr>
            <w:tcW w:w="4819"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pacing w:afterLines="50" w:line="500" w:lineRule="exact"/>
              <w:rPr>
                <w:rFonts w:ascii="宋体" w:eastAsia="宋体" w:cs="宋体"/>
                <w:sz w:val="18"/>
                <w:szCs w:val="18"/>
              </w:rPr>
            </w:pPr>
            <w:r>
              <w:rPr>
                <w:rFonts w:hint="eastAsia" w:ascii="宋体" w:eastAsia="宋体" w:cs="宋体"/>
                <w:sz w:val="18"/>
                <w:szCs w:val="18"/>
              </w:rPr>
              <w:t xml:space="preserve">粗纤维*(/%)               </w:t>
            </w:r>
          </w:p>
        </w:tc>
        <w:tc>
          <w:tcPr>
            <w:tcW w:w="3620" w:type="dxa"/>
            <w:tcBorders>
              <w:top w:val="single" w:color="auto" w:sz="4" w:space="0"/>
              <w:left w:val="nil"/>
              <w:bottom w:val="single" w:color="auto" w:sz="4" w:space="0"/>
              <w:right w:val="single" w:color="auto" w:sz="4" w:space="0"/>
            </w:tcBorders>
            <w:vAlign w:val="top"/>
          </w:tcPr>
          <w:p>
            <w:pPr>
              <w:widowControl/>
              <w:autoSpaceDE w:val="0"/>
              <w:autoSpaceDN w:val="0"/>
              <w:spacing w:afterLines="50" w:line="500" w:lineRule="exact"/>
              <w:ind w:firstLine="360" w:firstLineChars="200"/>
              <w:jc w:val="center"/>
              <w:rPr>
                <w:rFonts w:ascii="宋体" w:eastAsia="宋体" w:cs="宋体"/>
                <w:sz w:val="18"/>
                <w:szCs w:val="18"/>
              </w:rPr>
            </w:pPr>
            <w:r>
              <w:rPr>
                <w:rFonts w:hint="eastAsia" w:ascii="宋体" w:eastAsia="宋体" w:cs="宋体"/>
                <w:sz w:val="18"/>
                <w:szCs w:val="18"/>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8" w:type="dxa"/>
          <w:trHeight w:val="574" w:hRule="atLeast"/>
          <w:jc w:val="center"/>
        </w:trPr>
        <w:tc>
          <w:tcPr>
            <w:tcW w:w="8439" w:type="dxa"/>
            <w:gridSpan w:val="2"/>
            <w:tcBorders>
              <w:top w:val="single" w:color="auto" w:sz="4" w:space="0"/>
              <w:left w:val="single" w:color="auto" w:sz="4" w:space="0"/>
              <w:bottom w:val="single" w:color="auto" w:sz="4" w:space="0"/>
              <w:right w:val="single" w:color="auto" w:sz="4" w:space="0"/>
            </w:tcBorders>
            <w:vAlign w:val="top"/>
          </w:tcPr>
          <w:p>
            <w:pPr>
              <w:widowControl/>
              <w:autoSpaceDE w:val="0"/>
              <w:autoSpaceDN w:val="0"/>
              <w:spacing w:afterLines="50" w:line="500" w:lineRule="exact"/>
              <w:rPr>
                <w:rFonts w:ascii="宋体" w:eastAsia="宋体" w:cs="宋体"/>
                <w:sz w:val="18"/>
                <w:szCs w:val="18"/>
              </w:rPr>
            </w:pPr>
            <w:r>
              <w:rPr>
                <w:rFonts w:hint="eastAsia" w:ascii="宋体" w:eastAsia="宋体" w:cs="宋体"/>
                <w:sz w:val="18"/>
                <w:szCs w:val="18"/>
              </w:rPr>
              <w:t xml:space="preserve">注：带*号的项目为可食笋体营养含量                   </w:t>
            </w:r>
          </w:p>
        </w:tc>
      </w:tr>
    </w:tbl>
    <w:p>
      <w:pPr>
        <w:pStyle w:val="7"/>
        <w:numPr>
          <w:ilvl w:val="1"/>
          <w:numId w:val="0"/>
        </w:numPr>
        <w:spacing w:before="156" w:after="156"/>
        <w:rPr>
          <w:rFonts w:hint="eastAsia" w:ascii="宋体" w:hAnsi="宋体" w:eastAsia="宋体" w:cs="宋体"/>
          <w:b w:val="0"/>
          <w:bCs w:val="0"/>
          <w:sz w:val="21"/>
          <w:szCs w:val="21"/>
        </w:rPr>
      </w:pPr>
      <w:r>
        <w:rPr>
          <w:rFonts w:hint="eastAsia"/>
        </w:rPr>
        <w:t>7.3 质量分级</w:t>
      </w:r>
      <w:r>
        <w:rPr>
          <w:rFonts w:hint="eastAsia"/>
          <w:lang w:eastAsia="zh-CN"/>
        </w:rPr>
        <w:t>：</w:t>
      </w:r>
      <w:r>
        <w:rPr>
          <w:rFonts w:hint="eastAsia" w:ascii="宋体" w:hAnsi="宋体" w:eastAsia="宋体" w:cs="宋体"/>
          <w:b w:val="0"/>
          <w:bCs w:val="0"/>
          <w:lang w:eastAsia="zh-CN"/>
        </w:rPr>
        <w:t>按</w:t>
      </w:r>
      <w:r>
        <w:rPr>
          <w:rFonts w:hint="eastAsia" w:ascii="宋体" w:hAnsi="宋体" w:eastAsia="宋体" w:cs="宋体"/>
          <w:b w:val="0"/>
          <w:bCs w:val="0"/>
          <w:lang w:val="en-US" w:eastAsia="zh-CN"/>
        </w:rPr>
        <w:t xml:space="preserve">GB/T 30762 </w:t>
      </w:r>
      <w:r>
        <w:rPr>
          <w:rFonts w:hint="eastAsia" w:ascii="宋体" w:hAnsi="宋体" w:eastAsia="宋体" w:cs="宋体"/>
          <w:b w:val="0"/>
          <w:bCs w:val="0"/>
          <w:sz w:val="21"/>
          <w:szCs w:val="21"/>
          <w:lang w:val="en-US" w:eastAsia="zh-CN"/>
        </w:rPr>
        <w:t>主要竹笋质量分级的规定。</w:t>
      </w:r>
    </w:p>
    <w:p>
      <w:pPr>
        <w:pStyle w:val="7"/>
        <w:numPr>
          <w:ilvl w:val="1"/>
          <w:numId w:val="0"/>
        </w:numPr>
        <w:spacing w:before="156" w:after="156"/>
        <w:rPr>
          <w:rFonts w:hAnsi="黑体" w:cs="黑体"/>
        </w:rPr>
      </w:pPr>
      <w:r>
        <w:rPr>
          <w:rFonts w:hint="eastAsia" w:hAnsi="黑体" w:cs="黑体"/>
        </w:rPr>
        <w:t>7.4质量安全指标</w:t>
      </w:r>
    </w:p>
    <w:p>
      <w:pPr>
        <w:pStyle w:val="11"/>
        <w:numPr>
          <w:ilvl w:val="2"/>
          <w:numId w:val="0"/>
        </w:numPr>
        <w:spacing w:before="156" w:after="156"/>
        <w:rPr>
          <w:rFonts w:ascii="宋体" w:hAnsi="宋体" w:eastAsia="宋体" w:cs="宋体"/>
        </w:rPr>
      </w:pPr>
      <w:r>
        <w:rPr>
          <w:rFonts w:hint="eastAsia" w:ascii="宋体" w:hAnsi="宋体" w:eastAsia="宋体" w:cs="宋体"/>
        </w:rPr>
        <w:t>7.4.1污染物限量指标应符合GB 2762的规定。</w:t>
      </w:r>
    </w:p>
    <w:p>
      <w:pPr>
        <w:pStyle w:val="11"/>
        <w:numPr>
          <w:ilvl w:val="2"/>
          <w:numId w:val="0"/>
        </w:numPr>
        <w:autoSpaceDN w:val="0"/>
        <w:spacing w:before="156" w:after="156"/>
        <w:rPr>
          <w:rFonts w:ascii="宋体" w:hAnsi="宋体" w:eastAsia="宋体"/>
        </w:rPr>
      </w:pPr>
      <w:r>
        <w:rPr>
          <w:rFonts w:hint="eastAsia" w:ascii="宋体" w:hAnsi="宋体" w:eastAsia="宋体" w:cs="宋体"/>
        </w:rPr>
        <w:t>7.4.2 农药最大残留限量指标应符合GB 2763的规定</w:t>
      </w:r>
      <w:r>
        <w:rPr>
          <w:rFonts w:hint="eastAsia" w:ascii="宋体" w:hAnsi="宋体" w:eastAsia="宋体"/>
        </w:rPr>
        <w:t>。</w:t>
      </w:r>
    </w:p>
    <w:p>
      <w:pPr>
        <w:pStyle w:val="7"/>
        <w:numPr>
          <w:ilvl w:val="1"/>
          <w:numId w:val="0"/>
        </w:numPr>
        <w:spacing w:before="156" w:after="156"/>
      </w:pPr>
      <w:r>
        <w:rPr>
          <w:rFonts w:hint="eastAsia"/>
          <w:lang w:val="en-US" w:eastAsia="zh-CN"/>
        </w:rPr>
        <w:t xml:space="preserve">7.5  </w:t>
      </w:r>
      <w:r>
        <w:rPr>
          <w:rFonts w:hint="eastAsia"/>
        </w:rPr>
        <w:t>净含量偏差</w:t>
      </w:r>
    </w:p>
    <w:p>
      <w:pPr>
        <w:pStyle w:val="6"/>
      </w:pPr>
      <w:r>
        <w:rPr>
          <w:rFonts w:hint="eastAsia"/>
        </w:rPr>
        <w:t>预包装商品净含量负偏差应符合《定量包装商品计量监督管理办法》的规定。</w:t>
      </w:r>
    </w:p>
    <w:p>
      <w:pPr>
        <w:pStyle w:val="7"/>
        <w:numPr>
          <w:ilvl w:val="1"/>
          <w:numId w:val="0"/>
        </w:numPr>
        <w:spacing w:before="156" w:after="156"/>
      </w:pPr>
      <w:r>
        <w:rPr>
          <w:rFonts w:hint="eastAsia"/>
          <w:lang w:val="en-US" w:eastAsia="zh-CN"/>
        </w:rPr>
        <w:t xml:space="preserve">7.6 </w:t>
      </w:r>
      <w:r>
        <w:rPr>
          <w:rFonts w:hint="eastAsia"/>
        </w:rPr>
        <w:t>生产加工过程卫生要求</w:t>
      </w:r>
    </w:p>
    <w:p>
      <w:pPr>
        <w:pStyle w:val="10"/>
        <w:numPr>
          <w:ilvl w:val="0"/>
          <w:numId w:val="0"/>
        </w:numPr>
        <w:autoSpaceDN w:val="0"/>
        <w:spacing w:before="312" w:after="312"/>
        <w:ind w:firstLine="315" w:firstLineChars="150"/>
        <w:rPr>
          <w:rFonts w:ascii="宋体" w:hAnsi="宋体" w:eastAsia="宋体"/>
        </w:rPr>
      </w:pPr>
      <w:r>
        <w:rPr>
          <w:rFonts w:hint="eastAsia" w:ascii="宋体" w:hAnsi="宋体" w:eastAsia="宋体"/>
        </w:rPr>
        <w:t>应符合GB 14881的规定。</w:t>
      </w:r>
    </w:p>
    <w:p>
      <w:pPr>
        <w:pStyle w:val="10"/>
        <w:numPr>
          <w:ilvl w:val="0"/>
          <w:numId w:val="0"/>
        </w:numPr>
        <w:spacing w:before="312" w:after="312"/>
      </w:pPr>
      <w:r>
        <w:rPr>
          <w:rFonts w:hint="eastAsia"/>
          <w:lang w:val="en-US" w:eastAsia="zh-CN"/>
        </w:rPr>
        <w:t xml:space="preserve">8 </w:t>
      </w:r>
      <w:r>
        <w:rPr>
          <w:rFonts w:hint="eastAsia"/>
        </w:rPr>
        <w:t>试验方法</w:t>
      </w:r>
    </w:p>
    <w:p>
      <w:pPr>
        <w:pStyle w:val="7"/>
        <w:numPr>
          <w:ilvl w:val="1"/>
          <w:numId w:val="0"/>
        </w:numPr>
        <w:spacing w:before="156" w:after="156"/>
        <w:rPr>
          <w:rFonts w:hAnsi="宋体"/>
        </w:rPr>
      </w:pPr>
      <w:r>
        <w:rPr>
          <w:rFonts w:hint="eastAsia" w:hAnsi="宋体"/>
          <w:lang w:val="en-US" w:eastAsia="zh-CN"/>
        </w:rPr>
        <w:t>8</w:t>
      </w:r>
      <w:r>
        <w:rPr>
          <w:rFonts w:hint="eastAsia" w:hAnsi="宋体"/>
        </w:rPr>
        <w:t>.1感官品质</w:t>
      </w:r>
    </w:p>
    <w:p>
      <w:pPr>
        <w:pStyle w:val="7"/>
        <w:numPr>
          <w:ilvl w:val="1"/>
          <w:numId w:val="0"/>
        </w:numPr>
        <w:autoSpaceDN w:val="0"/>
        <w:spacing w:before="156" w:after="156"/>
        <w:ind w:firstLine="315" w:firstLineChars="150"/>
        <w:rPr>
          <w:rFonts w:ascii="宋体" w:hAnsi="宋体" w:eastAsia="宋体"/>
        </w:rPr>
      </w:pPr>
      <w:r>
        <w:rPr>
          <w:rFonts w:hint="eastAsia" w:ascii="宋体" w:hAnsi="宋体" w:eastAsia="宋体"/>
        </w:rPr>
        <w:t>用感官品评法进行品评</w:t>
      </w:r>
      <w:bookmarkStart w:id="15" w:name="_GoBack"/>
      <w:bookmarkEnd w:id="15"/>
      <w:r>
        <w:rPr>
          <w:rFonts w:hint="eastAsia" w:ascii="宋体" w:hAnsi="宋体" w:eastAsia="宋体"/>
        </w:rPr>
        <w:t>。</w:t>
      </w:r>
    </w:p>
    <w:p>
      <w:pPr>
        <w:pStyle w:val="7"/>
        <w:numPr>
          <w:ilvl w:val="1"/>
          <w:numId w:val="0"/>
        </w:numPr>
        <w:spacing w:before="156" w:after="156"/>
        <w:rPr>
          <w:rFonts w:hAnsi="宋体" w:cs="黑体"/>
          <w:color w:val="000000"/>
        </w:rPr>
      </w:pPr>
      <w:r>
        <w:rPr>
          <w:rFonts w:hint="eastAsia" w:hAnsi="宋体" w:cs="黑体"/>
          <w:color w:val="000000"/>
          <w:lang w:val="en-US" w:eastAsia="zh-CN"/>
        </w:rPr>
        <w:t>8</w:t>
      </w:r>
      <w:r>
        <w:rPr>
          <w:rFonts w:hint="eastAsia" w:hAnsi="宋体" w:cs="黑体"/>
          <w:color w:val="000000"/>
        </w:rPr>
        <w:t>.</w:t>
      </w:r>
      <w:r>
        <w:rPr>
          <w:rFonts w:hint="eastAsia" w:hAnsi="宋体" w:cs="黑体"/>
          <w:color w:val="000000"/>
          <w:lang w:val="en-US" w:eastAsia="zh-CN"/>
        </w:rPr>
        <w:t>2</w:t>
      </w:r>
      <w:r>
        <w:rPr>
          <w:rFonts w:hint="eastAsia" w:hAnsi="宋体" w:cs="黑体"/>
          <w:color w:val="000000"/>
        </w:rPr>
        <w:t>单笋重</w:t>
      </w:r>
    </w:p>
    <w:p>
      <w:pPr>
        <w:pStyle w:val="7"/>
        <w:numPr>
          <w:ilvl w:val="1"/>
          <w:numId w:val="0"/>
        </w:numPr>
        <w:autoSpaceDN w:val="0"/>
        <w:spacing w:before="156" w:after="156"/>
        <w:ind w:firstLine="420" w:firstLineChars="200"/>
        <w:rPr>
          <w:rFonts w:ascii="宋体" w:hAnsi="宋体" w:eastAsia="宋体"/>
        </w:rPr>
      </w:pPr>
      <w:r>
        <w:rPr>
          <w:rFonts w:hint="eastAsia" w:ascii="宋体" w:hAnsi="宋体" w:eastAsia="宋体"/>
        </w:rPr>
        <w:t>用精度1g的电子秤测定。将单个笋放在电子秤上测定质量，精确到1g。</w:t>
      </w:r>
    </w:p>
    <w:p>
      <w:pPr>
        <w:pStyle w:val="7"/>
        <w:numPr>
          <w:ilvl w:val="1"/>
          <w:numId w:val="0"/>
        </w:numPr>
        <w:spacing w:before="156" w:after="156"/>
        <w:rPr>
          <w:rFonts w:hAnsi="宋体" w:cs="黑体"/>
          <w:color w:val="000000"/>
        </w:rPr>
      </w:pPr>
      <w:r>
        <w:rPr>
          <w:rFonts w:hint="eastAsia" w:hAnsi="宋体" w:cs="黑体"/>
          <w:color w:val="000000"/>
          <w:lang w:val="en-US" w:eastAsia="zh-CN"/>
        </w:rPr>
        <w:t>8</w:t>
      </w:r>
      <w:r>
        <w:rPr>
          <w:rFonts w:hint="eastAsia" w:hAnsi="宋体" w:cs="黑体"/>
          <w:color w:val="000000"/>
        </w:rPr>
        <w:t>.</w:t>
      </w:r>
      <w:r>
        <w:rPr>
          <w:rFonts w:hint="eastAsia" w:hAnsi="宋体" w:cs="黑体"/>
          <w:color w:val="000000"/>
          <w:lang w:val="en-US" w:eastAsia="zh-CN"/>
        </w:rPr>
        <w:t>3</w:t>
      </w:r>
      <w:r>
        <w:rPr>
          <w:rFonts w:hint="eastAsia" w:hAnsi="宋体" w:cs="黑体"/>
          <w:color w:val="000000"/>
        </w:rPr>
        <w:t>氨基酸总含量</w:t>
      </w:r>
    </w:p>
    <w:p>
      <w:pPr>
        <w:pStyle w:val="7"/>
        <w:numPr>
          <w:ilvl w:val="1"/>
          <w:numId w:val="0"/>
        </w:numPr>
        <w:autoSpaceDN w:val="0"/>
        <w:spacing w:before="156" w:after="156"/>
        <w:ind w:firstLine="315" w:firstLineChars="150"/>
        <w:rPr>
          <w:rFonts w:ascii="宋体" w:hAnsi="宋体" w:eastAsia="宋体"/>
        </w:rPr>
      </w:pPr>
      <w:r>
        <w:rPr>
          <w:rFonts w:hint="eastAsia" w:ascii="宋体" w:hAnsi="宋体" w:eastAsia="宋体"/>
        </w:rPr>
        <w:t>按 GB 5009.124的规定执行。</w:t>
      </w:r>
    </w:p>
    <w:p>
      <w:pPr>
        <w:pStyle w:val="7"/>
        <w:numPr>
          <w:ilvl w:val="1"/>
          <w:numId w:val="0"/>
        </w:numPr>
        <w:spacing w:before="156" w:after="156"/>
        <w:rPr>
          <w:rFonts w:hAnsi="宋体" w:cs="黑体"/>
          <w:color w:val="000000"/>
        </w:rPr>
      </w:pPr>
      <w:r>
        <w:rPr>
          <w:rFonts w:hint="eastAsia" w:hAnsi="宋体" w:cs="黑体"/>
          <w:color w:val="000000"/>
          <w:lang w:val="en-US" w:eastAsia="zh-CN"/>
        </w:rPr>
        <w:t>8</w:t>
      </w:r>
      <w:r>
        <w:rPr>
          <w:rFonts w:hint="eastAsia" w:hAnsi="宋体" w:cs="黑体"/>
          <w:color w:val="000000"/>
        </w:rPr>
        <w:t>.</w:t>
      </w:r>
      <w:r>
        <w:rPr>
          <w:rFonts w:hint="eastAsia" w:hAnsi="宋体" w:cs="黑体"/>
          <w:color w:val="000000"/>
          <w:lang w:val="en-US" w:eastAsia="zh-CN"/>
        </w:rPr>
        <w:t>4</w:t>
      </w:r>
      <w:r>
        <w:rPr>
          <w:rFonts w:hint="eastAsia" w:hAnsi="宋体" w:cs="黑体"/>
          <w:color w:val="000000"/>
        </w:rPr>
        <w:t>谷安酸</w:t>
      </w:r>
    </w:p>
    <w:p>
      <w:pPr>
        <w:pStyle w:val="7"/>
        <w:numPr>
          <w:ilvl w:val="1"/>
          <w:numId w:val="0"/>
        </w:numPr>
        <w:autoSpaceDN w:val="0"/>
        <w:spacing w:before="156" w:after="156"/>
        <w:ind w:firstLine="315" w:firstLineChars="150"/>
        <w:rPr>
          <w:rFonts w:ascii="宋体" w:hAnsi="宋体" w:eastAsia="宋体"/>
        </w:rPr>
      </w:pPr>
      <w:r>
        <w:rPr>
          <w:rFonts w:hint="eastAsia" w:ascii="宋体" w:hAnsi="宋体" w:eastAsia="宋体"/>
        </w:rPr>
        <w:t>按 GB 5009.124的规定执行。</w:t>
      </w:r>
    </w:p>
    <w:p>
      <w:pPr>
        <w:pStyle w:val="7"/>
        <w:numPr>
          <w:ilvl w:val="1"/>
          <w:numId w:val="0"/>
        </w:numPr>
        <w:spacing w:before="156" w:after="156"/>
      </w:pPr>
      <w:r>
        <w:rPr>
          <w:rFonts w:hint="eastAsia"/>
          <w:lang w:val="en-US" w:eastAsia="zh-CN"/>
        </w:rPr>
        <w:t>8</w:t>
      </w:r>
      <w:r>
        <w:rPr>
          <w:rFonts w:hint="eastAsia"/>
        </w:rPr>
        <w:t>.</w:t>
      </w:r>
      <w:r>
        <w:rPr>
          <w:rFonts w:hint="eastAsia"/>
          <w:lang w:val="en-US" w:eastAsia="zh-CN"/>
        </w:rPr>
        <w:t>5</w:t>
      </w:r>
      <w:r>
        <w:rPr>
          <w:rFonts w:hint="eastAsia"/>
        </w:rPr>
        <w:t>总糖</w:t>
      </w:r>
    </w:p>
    <w:p>
      <w:pPr>
        <w:pStyle w:val="6"/>
        <w:ind w:firstLine="0" w:firstLineChars="0"/>
        <w:rPr>
          <w:rFonts w:hAnsi="宋体"/>
        </w:rPr>
      </w:pPr>
      <w:r>
        <w:rPr>
          <w:rFonts w:hint="eastAsia" w:ascii="黑体" w:eastAsia="黑体"/>
        </w:rPr>
        <w:t xml:space="preserve">  </w:t>
      </w:r>
      <w:r>
        <w:rPr>
          <w:rFonts w:hint="eastAsia" w:hAnsi="宋体"/>
        </w:rPr>
        <w:t xml:space="preserve"> 按NY/T1278的规定执行。</w:t>
      </w:r>
    </w:p>
    <w:p>
      <w:pPr>
        <w:pStyle w:val="7"/>
        <w:numPr>
          <w:ilvl w:val="1"/>
          <w:numId w:val="0"/>
        </w:numPr>
        <w:spacing w:before="156" w:after="156"/>
      </w:pPr>
      <w:r>
        <w:rPr>
          <w:rFonts w:hint="eastAsia"/>
          <w:lang w:val="en-US" w:eastAsia="zh-CN"/>
        </w:rPr>
        <w:t>8</w:t>
      </w:r>
      <w:r>
        <w:rPr>
          <w:rFonts w:hint="eastAsia"/>
        </w:rPr>
        <w:t>.</w:t>
      </w:r>
      <w:r>
        <w:rPr>
          <w:rFonts w:hint="eastAsia"/>
          <w:lang w:val="en-US" w:eastAsia="zh-CN"/>
        </w:rPr>
        <w:t>6</w:t>
      </w:r>
      <w:r>
        <w:rPr>
          <w:rFonts w:hint="eastAsia"/>
        </w:rPr>
        <w:t>粗纤维</w:t>
      </w:r>
    </w:p>
    <w:p>
      <w:pPr>
        <w:pStyle w:val="6"/>
        <w:ind w:firstLine="0" w:firstLineChars="0"/>
        <w:rPr>
          <w:rFonts w:hAnsi="宋体"/>
        </w:rPr>
      </w:pPr>
      <w:r>
        <w:rPr>
          <w:rFonts w:hint="eastAsia" w:ascii="黑体" w:eastAsia="黑体"/>
        </w:rPr>
        <w:t xml:space="preserve">  </w:t>
      </w:r>
      <w:r>
        <w:rPr>
          <w:rFonts w:hint="eastAsia" w:hAnsi="宋体"/>
        </w:rPr>
        <w:t xml:space="preserve"> 按GB/T 5009.10的规定执行。</w:t>
      </w:r>
    </w:p>
    <w:p>
      <w:pPr>
        <w:pStyle w:val="7"/>
        <w:numPr>
          <w:ilvl w:val="1"/>
          <w:numId w:val="0"/>
        </w:numPr>
        <w:spacing w:before="156" w:after="156"/>
      </w:pPr>
      <w:r>
        <w:rPr>
          <w:rFonts w:hint="eastAsia"/>
          <w:lang w:val="en-US" w:eastAsia="zh-CN"/>
        </w:rPr>
        <w:t>8</w:t>
      </w:r>
      <w:r>
        <w:rPr>
          <w:rFonts w:hint="eastAsia"/>
        </w:rPr>
        <w:t>.</w:t>
      </w:r>
      <w:r>
        <w:rPr>
          <w:rFonts w:hint="eastAsia"/>
          <w:lang w:val="en-US" w:eastAsia="zh-CN"/>
        </w:rPr>
        <w:t>7</w:t>
      </w:r>
      <w:r>
        <w:rPr>
          <w:rFonts w:hint="eastAsia"/>
        </w:rPr>
        <w:t>净含量</w:t>
      </w:r>
    </w:p>
    <w:p>
      <w:pPr>
        <w:pStyle w:val="7"/>
        <w:numPr>
          <w:ilvl w:val="1"/>
          <w:numId w:val="0"/>
        </w:numPr>
        <w:autoSpaceDN w:val="0"/>
        <w:spacing w:before="156" w:after="156"/>
        <w:ind w:firstLine="315" w:firstLineChars="150"/>
        <w:rPr>
          <w:rFonts w:ascii="宋体" w:hAnsi="宋体" w:eastAsia="宋体"/>
        </w:rPr>
      </w:pPr>
      <w:r>
        <w:rPr>
          <w:rFonts w:hint="eastAsia" w:ascii="宋体" w:hAnsi="宋体" w:eastAsia="宋体"/>
        </w:rPr>
        <w:t>按JJF 1070的规定执行。</w:t>
      </w:r>
    </w:p>
    <w:p>
      <w:pPr>
        <w:pStyle w:val="10"/>
        <w:numPr>
          <w:ilvl w:val="0"/>
          <w:numId w:val="0"/>
        </w:numPr>
        <w:spacing w:before="312" w:after="312"/>
      </w:pPr>
      <w:r>
        <w:rPr>
          <w:rFonts w:hint="eastAsia"/>
          <w:lang w:val="en-US" w:eastAsia="zh-CN"/>
        </w:rPr>
        <w:t>9</w:t>
      </w:r>
      <w:r>
        <w:rPr>
          <w:rFonts w:hint="eastAsia"/>
        </w:rPr>
        <w:t xml:space="preserve"> 标志、标签、包装、运输和贮存</w:t>
      </w:r>
    </w:p>
    <w:p>
      <w:pPr>
        <w:pStyle w:val="7"/>
        <w:numPr>
          <w:ilvl w:val="1"/>
          <w:numId w:val="0"/>
        </w:numPr>
        <w:spacing w:before="156" w:after="156"/>
      </w:pPr>
      <w:r>
        <w:rPr>
          <w:rFonts w:hint="eastAsia"/>
          <w:lang w:val="en-US" w:eastAsia="zh-CN"/>
        </w:rPr>
        <w:t>9</w:t>
      </w:r>
      <w:r>
        <w:rPr>
          <w:rFonts w:hint="eastAsia"/>
        </w:rPr>
        <w:t>.1标志</w:t>
      </w:r>
    </w:p>
    <w:p>
      <w:pPr>
        <w:pStyle w:val="11"/>
        <w:numPr>
          <w:ilvl w:val="2"/>
          <w:numId w:val="0"/>
        </w:numPr>
        <w:spacing w:before="156" w:after="156"/>
        <w:rPr>
          <w:rFonts w:ascii="宋体" w:hAnsi="宋体" w:eastAsia="宋体"/>
        </w:rPr>
      </w:pPr>
      <w:r>
        <w:rPr>
          <w:rFonts w:hint="eastAsia" w:hAnsi="宋体"/>
          <w:lang w:val="en-US" w:eastAsia="zh-CN"/>
        </w:rPr>
        <w:t>9</w:t>
      </w:r>
      <w:r>
        <w:rPr>
          <w:rFonts w:hint="eastAsia" w:hAnsi="宋体"/>
        </w:rPr>
        <w:t>.1.1</w:t>
      </w:r>
      <w:r>
        <w:rPr>
          <w:rFonts w:hint="eastAsia" w:ascii="宋体" w:hAnsi="宋体" w:eastAsia="宋体"/>
        </w:rPr>
        <w:t>获得批准的企业，可在其产品包装上使用地理标志产品专用标志。标志应符合国家质量技术监督检验检疫总局公告[2005]151号的要求。</w:t>
      </w:r>
    </w:p>
    <w:p>
      <w:pPr>
        <w:pStyle w:val="11"/>
        <w:numPr>
          <w:ilvl w:val="2"/>
          <w:numId w:val="0"/>
        </w:numPr>
        <w:autoSpaceDN w:val="0"/>
        <w:spacing w:before="156" w:after="156"/>
        <w:rPr>
          <w:rFonts w:ascii="宋体" w:hAnsi="宋体" w:eastAsia="宋体"/>
        </w:rPr>
      </w:pPr>
      <w:r>
        <w:rPr>
          <w:rFonts w:hint="eastAsia" w:hAnsi="宋体"/>
          <w:lang w:val="en-US" w:eastAsia="zh-CN"/>
        </w:rPr>
        <w:t>9</w:t>
      </w:r>
      <w:r>
        <w:rPr>
          <w:rFonts w:hint="eastAsia" w:hAnsi="宋体"/>
        </w:rPr>
        <w:t xml:space="preserve">.1.2 </w:t>
      </w:r>
      <w:r>
        <w:rPr>
          <w:rFonts w:hint="eastAsia" w:ascii="宋体" w:hAnsi="宋体" w:eastAsia="宋体"/>
        </w:rPr>
        <w:t>包装储运图示标志应符合 GB/T 191的规定</w:t>
      </w:r>
    </w:p>
    <w:p>
      <w:pPr>
        <w:pStyle w:val="7"/>
        <w:numPr>
          <w:ilvl w:val="1"/>
          <w:numId w:val="0"/>
        </w:numPr>
        <w:spacing w:before="156" w:after="156"/>
      </w:pPr>
      <w:r>
        <w:rPr>
          <w:rFonts w:hint="eastAsia"/>
          <w:lang w:val="en-US" w:eastAsia="zh-CN"/>
        </w:rPr>
        <w:t>9</w:t>
      </w:r>
      <w:r>
        <w:rPr>
          <w:rFonts w:hint="eastAsia"/>
        </w:rPr>
        <w:t>.2标签</w:t>
      </w:r>
    </w:p>
    <w:p>
      <w:pPr>
        <w:pStyle w:val="6"/>
      </w:pPr>
      <w:r>
        <w:rPr>
          <w:rFonts w:hint="eastAsia"/>
        </w:rPr>
        <w:t>产品标签</w:t>
      </w:r>
      <w:r>
        <w:rPr>
          <w:rFonts w:hint="eastAsia" w:hAnsi="宋体"/>
        </w:rPr>
        <w:t>除应符合GB 7718规定外，还应标注地理标志产品名称、品种和产地。</w:t>
      </w:r>
    </w:p>
    <w:p>
      <w:pPr>
        <w:pStyle w:val="7"/>
        <w:numPr>
          <w:ilvl w:val="1"/>
          <w:numId w:val="0"/>
        </w:numPr>
        <w:spacing w:before="156" w:after="156"/>
      </w:pPr>
      <w:r>
        <w:rPr>
          <w:rFonts w:hint="eastAsia"/>
          <w:lang w:val="en-US" w:eastAsia="zh-CN"/>
        </w:rPr>
        <w:t>9</w:t>
      </w:r>
      <w:r>
        <w:rPr>
          <w:rFonts w:hint="eastAsia"/>
        </w:rPr>
        <w:t>.3包装</w:t>
      </w:r>
    </w:p>
    <w:p>
      <w:pPr>
        <w:pStyle w:val="6"/>
      </w:pPr>
      <w:r>
        <w:rPr>
          <w:rFonts w:hint="eastAsia"/>
        </w:rPr>
        <w:t>包装材料质量安全应符合相应的标准要求。</w:t>
      </w:r>
    </w:p>
    <w:p>
      <w:pPr>
        <w:pStyle w:val="7"/>
        <w:numPr>
          <w:ilvl w:val="1"/>
          <w:numId w:val="0"/>
        </w:numPr>
        <w:spacing w:before="156" w:after="156"/>
      </w:pPr>
      <w:r>
        <w:rPr>
          <w:rFonts w:hint="eastAsia"/>
          <w:lang w:val="en-US" w:eastAsia="zh-CN"/>
        </w:rPr>
        <w:t>9</w:t>
      </w:r>
      <w:r>
        <w:rPr>
          <w:rFonts w:hint="eastAsia"/>
        </w:rPr>
        <w:t>.4运输</w:t>
      </w:r>
    </w:p>
    <w:p>
      <w:pPr>
        <w:pStyle w:val="7"/>
        <w:numPr>
          <w:ilvl w:val="1"/>
          <w:numId w:val="0"/>
        </w:numPr>
        <w:spacing w:before="156" w:after="156"/>
        <w:rPr>
          <w:rFonts w:hAnsi="宋体"/>
        </w:rPr>
      </w:pPr>
      <w:r>
        <w:rPr>
          <w:rFonts w:hint="eastAsia" w:ascii="宋体" w:hAnsi="宋体" w:eastAsia="宋体"/>
        </w:rPr>
        <w:t xml:space="preserve">    冬笋当天采收当天运输。装运时做到轻装、轻卸，防止挤压。运输过程中，防止日晒、雨淋，冷藏运输注意防冻和通风散热。</w:t>
      </w:r>
    </w:p>
    <w:p>
      <w:pPr>
        <w:pStyle w:val="7"/>
        <w:numPr>
          <w:ilvl w:val="1"/>
          <w:numId w:val="0"/>
        </w:numPr>
        <w:spacing w:before="156" w:after="156"/>
      </w:pPr>
      <w:r>
        <w:rPr>
          <w:rFonts w:hint="eastAsia"/>
          <w:lang w:val="en-US" w:eastAsia="zh-CN"/>
        </w:rPr>
        <w:t>9</w:t>
      </w:r>
      <w:r>
        <w:rPr>
          <w:rFonts w:hint="eastAsia"/>
        </w:rPr>
        <w:t>.5贮存</w:t>
      </w:r>
    </w:p>
    <w:p>
      <w:pPr>
        <w:pStyle w:val="6"/>
        <w:rPr>
          <w:rFonts w:hAnsi="宋体"/>
          <w:szCs w:val="21"/>
        </w:rPr>
      </w:pPr>
      <w:r>
        <w:rPr>
          <w:rFonts w:hint="eastAsia"/>
        </w:rPr>
        <w:t>产品应贮存于阴凉、干燥、清洁、通风的库房中，不得与有毒、有害、有异味、易挥发、易腐蚀、潮湿的物品同库贮存。产品应与墙面、地面保持适当距离，中间留出通道，防止挤压，仓库无异味污染。</w:t>
      </w:r>
    </w:p>
    <w:p>
      <w:pPr>
        <w:pStyle w:val="6"/>
      </w:pPr>
      <w:r>
        <w:rPr>
          <w:rFonts w:hint="eastAsia"/>
        </w:rPr>
        <w:t xml:space="preserve">                         </w:t>
      </w:r>
      <w:r>
        <w:rPr>
          <w:rFonts w:hint="eastAsia"/>
          <w:u w:val="single"/>
        </w:rPr>
        <w:t xml:space="preserve">                           </w:t>
      </w:r>
      <w:r>
        <w:rPr>
          <w:rFonts w:hint="eastAsia"/>
        </w:rPr>
        <w:t xml:space="preserve">  </w:t>
      </w:r>
    </w:p>
    <w:p>
      <w:pPr>
        <w:pStyle w:val="31"/>
      </w:pPr>
    </w:p>
    <w:p>
      <w:pPr>
        <w:pStyle w:val="26"/>
        <w:tabs>
          <w:tab w:val="clear" w:pos="0"/>
        </w:tabs>
      </w:pPr>
    </w:p>
    <w:p>
      <w:pPr>
        <w:pStyle w:val="25"/>
      </w:pPr>
      <w:r>
        <w:br/>
      </w:r>
      <w:r>
        <w:rPr>
          <w:rFonts w:hint="eastAsia"/>
        </w:rPr>
        <w:t>（规范性附录）</w:t>
      </w:r>
      <w:r>
        <w:br/>
      </w:r>
      <w:r>
        <w:rPr>
          <w:rFonts w:hint="eastAsia"/>
        </w:rPr>
        <w:t>蕉岭冬笋地理标志产品保护范围</w:t>
      </w:r>
    </w:p>
    <w:p>
      <w:pPr>
        <w:pStyle w:val="6"/>
      </w:pPr>
    </w:p>
    <w:p>
      <w:pPr>
        <w:pStyle w:val="6"/>
        <w:jc w:val="center"/>
      </w:pPr>
      <w:r>
        <w:rPr>
          <w:rFonts w:ascii="宋体" w:hAnsi="Times New Roman" w:eastAsia="宋体" w:cs="Times New Roman"/>
          <w:sz w:val="21"/>
          <w:lang w:val="en-US" w:eastAsia="zh-CN" w:bidi="ar-SA"/>
        </w:rPr>
        <w:pict>
          <v:shape id="Picture 1" o:spid="_x0000_s1032" type="#_x0000_t75" style="height:504pt;width:406.5pt;rotation:0f;" o:ole="f" fillcolor="#FFFFFF" filled="f" o:preferrelative="t" stroked="f" coordorigin="0,0" coordsize="21600,21600">
            <v:fill on="f" color2="#FFFFFF" focus="0%"/>
            <v:imagedata gain="65536f" blacklevel="0f" gamma="0" o:title="图片1" r:id="rId10"/>
            <o:lock v:ext="edit" position="f" selection="f" grouping="f" rotation="f" cropping="f" text="f" aspectratio="t"/>
            <w10:wrap type="none"/>
            <w10:anchorlock/>
          </v:shape>
        </w:pict>
      </w:r>
    </w:p>
    <w:p>
      <w:pPr>
        <w:pStyle w:val="41"/>
        <w:framePr w:w="3543" w:vAnchor="text" w:hAnchor="page" w:x="3135" w:y="284"/>
        <w:rPr>
          <w:u w:val="single"/>
        </w:rPr>
      </w:pPr>
    </w:p>
    <w:p/>
    <w:sectPr>
      <w:pgSz w:w="11906" w:h="16838"/>
      <w:pgMar w:top="567" w:right="1134" w:bottom="1134" w:left="1417" w:header="1418" w:footer="1134" w:gutter="0"/>
      <w:pgNumType w:start="1"/>
      <w:cols w:space="72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MS Mincho">
    <w:panose1 w:val="02020609040205080304"/>
    <w:charset w:val="80"/>
    <w:family w:val="auto"/>
    <w:pitch w:val="default"/>
    <w:sig w:usb0="A00002BF" w:usb1="68C7FCFB" w:usb2="00000010" w:usb3="00000000" w:csb0="4002009F" w:csb1="DFD7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7"/>
    </w:pPr>
    <w:r>
      <w:fldChar w:fldCharType="begin"/>
    </w:r>
    <w:r>
      <w:instrText xml:space="preserve"> PAGE  \* MERGEFORMAT </w:instrText>
    </w:r>
    <w:r>
      <w:fldChar w:fldCharType="separate"/>
    </w:r>
    <w:r>
      <w:t>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ind w:right="5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pPr>
    <w:r>
      <w:fldChar w:fldCharType="begin"/>
    </w:r>
    <w:r>
      <w:instrText xml:space="preserve"> PAGE  \* MERGEFORMAT </w:instrText>
    </w:r>
    <w:r>
      <w:fldChar w:fldCharType="separate"/>
    </w:r>
    <w: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8"/>
    </w:pPr>
    <w:r>
      <w:t>DB44/T 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9"/>
    </w:pPr>
    <w:r>
      <w:t>DB44</w:t>
    </w:r>
    <w:r>
      <w:rPr>
        <w:rFonts w:hint="eastAsia"/>
      </w:rPr>
      <w:t>14</w:t>
    </w:r>
    <w:r>
      <w:t>/</w:t>
    </w:r>
    <w:r>
      <w:rPr>
        <w:rFonts w:hint="eastAsia"/>
      </w:rPr>
      <w:t>T  XXXX</w:t>
    </w:r>
    <w:r>
      <w:t>—</w:t>
    </w:r>
    <w:r>
      <w:rPr>
        <w:rFonts w:hint="eastAsia"/>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702707132">
    <w:nsid w:val="657D3FBC"/>
    <w:multiLevelType w:val="multilevel"/>
    <w:tmpl w:val="657D3FBC"/>
    <w:lvl w:ilvl="0" w:tentative="1">
      <w:start w:val="1"/>
      <w:numFmt w:val="upperLetter"/>
      <w:pStyle w:val="25"/>
      <w:suff w:val="nothing"/>
      <w:lvlText w:val="附　录　%1"/>
      <w:lvlJc w:val="left"/>
      <w:pPr>
        <w:ind w:left="0" w:firstLine="0"/>
      </w:pPr>
      <w:rPr>
        <w:rFonts w:hint="eastAsia" w:ascii="黑体" w:hAnsi="Times New Roman" w:eastAsia="黑体"/>
        <w:b w:val="0"/>
        <w:i w:val="0"/>
        <w:spacing w:val="0"/>
        <w:w w:val="100"/>
        <w:sz w:val="21"/>
      </w:rPr>
    </w:lvl>
    <w:lvl w:ilvl="1" w:tentative="1">
      <w:start w:val="1"/>
      <w:numFmt w:val="decimal"/>
      <w:pStyle w:val="34"/>
      <w:suff w:val="nothing"/>
      <w:lvlText w:val="%1.%2　"/>
      <w:lvlJc w:val="left"/>
      <w:pPr>
        <w:ind w:left="0" w:firstLine="0"/>
      </w:pPr>
      <w:rPr>
        <w:rFonts w:hint="eastAsia" w:ascii="黑体" w:hAnsi="Times New Roman" w:eastAsia="黑体"/>
        <w:b w:val="0"/>
        <w:i w:val="0"/>
        <w:spacing w:val="0"/>
        <w:w w:val="100"/>
        <w:kern w:val="21"/>
        <w:sz w:val="21"/>
      </w:rPr>
    </w:lvl>
    <w:lvl w:ilvl="2" w:tentative="1">
      <w:start w:val="1"/>
      <w:numFmt w:val="decimal"/>
      <w:pStyle w:val="35"/>
      <w:suff w:val="nothing"/>
      <w:lvlText w:val="%1.%2.%3　"/>
      <w:lvlJc w:val="left"/>
      <w:pPr>
        <w:ind w:left="0" w:firstLine="0"/>
      </w:pPr>
      <w:rPr>
        <w:rFonts w:hint="eastAsia" w:ascii="黑体" w:hAnsi="Times New Roman" w:eastAsia="黑体"/>
        <w:b w:val="0"/>
        <w:i w:val="0"/>
        <w:sz w:val="21"/>
      </w:rPr>
    </w:lvl>
    <w:lvl w:ilvl="3" w:tentative="1">
      <w:start w:val="1"/>
      <w:numFmt w:val="decimal"/>
      <w:pStyle w:val="28"/>
      <w:suff w:val="nothing"/>
      <w:lvlText w:val="%1.%2.%3.%4　"/>
      <w:lvlJc w:val="left"/>
      <w:pPr>
        <w:ind w:left="0" w:firstLine="0"/>
      </w:pPr>
      <w:rPr>
        <w:rFonts w:hint="eastAsia" w:ascii="黑体" w:hAnsi="Times New Roman" w:eastAsia="黑体"/>
        <w:b w:val="0"/>
        <w:i w:val="0"/>
        <w:sz w:val="21"/>
      </w:rPr>
    </w:lvl>
    <w:lvl w:ilvl="4" w:tentative="1">
      <w:start w:val="1"/>
      <w:numFmt w:val="decimal"/>
      <w:pStyle w:val="29"/>
      <w:suff w:val="nothing"/>
      <w:lvlText w:val="%1.%2.%3.%4.%5　"/>
      <w:lvlJc w:val="left"/>
      <w:pPr>
        <w:ind w:left="0" w:firstLine="0"/>
      </w:pPr>
      <w:rPr>
        <w:rFonts w:hint="eastAsia" w:ascii="黑体" w:hAnsi="Times New Roman" w:eastAsia="黑体"/>
        <w:b w:val="0"/>
        <w:i w:val="0"/>
        <w:sz w:val="21"/>
      </w:rPr>
    </w:lvl>
    <w:lvl w:ilvl="5" w:tentative="1">
      <w:start w:val="1"/>
      <w:numFmt w:val="decimal"/>
      <w:pStyle w:val="30"/>
      <w:suff w:val="nothing"/>
      <w:lvlText w:val="%1.%2.%3.%4.%5.%6　"/>
      <w:lvlJc w:val="left"/>
      <w:pPr>
        <w:ind w:left="0" w:firstLine="0"/>
      </w:pPr>
      <w:rPr>
        <w:rFonts w:hint="eastAsia" w:ascii="黑体" w:hAnsi="Times New Roman" w:eastAsia="黑体"/>
        <w:b w:val="0"/>
        <w:i w:val="0"/>
        <w:sz w:val="21"/>
      </w:rPr>
    </w:lvl>
    <w:lvl w:ilvl="6" w:tentative="1">
      <w:start w:val="1"/>
      <w:numFmt w:val="decimal"/>
      <w:pStyle w:val="33"/>
      <w:suff w:val="nothing"/>
      <w:lvlText w:val="%1.%2.%3.%4.%5.%6.%7　"/>
      <w:lvlJc w:val="left"/>
      <w:pPr>
        <w:ind w:left="0" w:firstLine="0"/>
      </w:pPr>
      <w:rPr>
        <w:rFonts w:hint="eastAsia" w:ascii="黑体" w:hAnsi="Times New Roman" w:eastAsia="黑体"/>
        <w:b w:val="0"/>
        <w:i w:val="0"/>
        <w:sz w:val="21"/>
      </w:rPr>
    </w:lvl>
    <w:lvl w:ilvl="7" w:tentative="1">
      <w:start w:val="1"/>
      <w:numFmt w:val="decimal"/>
      <w:lvlText w:val="%1.%2.%3.%4.%5.%6.%7.%8"/>
      <w:lvlJc w:val="left"/>
      <w:pPr>
        <w:tabs>
          <w:tab w:val="left" w:pos="4394"/>
        </w:tabs>
        <w:ind w:left="4394" w:hanging="1418"/>
      </w:pPr>
      <w:rPr>
        <w:rFonts w:hint="eastAsia"/>
      </w:rPr>
    </w:lvl>
    <w:lvl w:ilvl="8" w:tentative="1">
      <w:start w:val="1"/>
      <w:numFmt w:val="decimal"/>
      <w:lvlText w:val="%1.%2.%3.%4.%5.%6.%7.%8.%9"/>
      <w:lvlJc w:val="left"/>
      <w:pPr>
        <w:tabs>
          <w:tab w:val="left" w:pos="5102"/>
        </w:tabs>
        <w:ind w:left="5102" w:hanging="1700"/>
      </w:pPr>
      <w:rPr>
        <w:rFonts w:hint="eastAsia"/>
      </w:rPr>
    </w:lvl>
  </w:abstractNum>
  <w:abstractNum w:abstractNumId="1622498754">
    <w:nsid w:val="60B55DC2"/>
    <w:multiLevelType w:val="multilevel"/>
    <w:tmpl w:val="60B55DC2"/>
    <w:lvl w:ilvl="0" w:tentative="1">
      <w:start w:val="1"/>
      <w:numFmt w:val="upperLetter"/>
      <w:pStyle w:val="26"/>
      <w:lvlText w:val="%1"/>
      <w:lvlJc w:val="left"/>
      <w:pPr>
        <w:tabs>
          <w:tab w:val="left" w:pos="0"/>
        </w:tabs>
        <w:ind w:left="0" w:hanging="425"/>
      </w:pPr>
      <w:rPr>
        <w:rFonts w:hint="eastAsia"/>
      </w:rPr>
    </w:lvl>
    <w:lvl w:ilvl="1" w:tentative="1">
      <w:start w:val="1"/>
      <w:numFmt w:val="decimal"/>
      <w:pStyle w:val="27"/>
      <w:suff w:val="nothing"/>
      <w:lvlText w:val="表%1.%2　"/>
      <w:lvlJc w:val="left"/>
      <w:pPr>
        <w:ind w:left="567" w:hanging="567"/>
      </w:pPr>
      <w:rPr>
        <w:rFonts w:hint="eastAsia"/>
      </w:rPr>
    </w:lvl>
    <w:lvl w:ilvl="2" w:tentative="1">
      <w:start w:val="1"/>
      <w:numFmt w:val="decimal"/>
      <w:lvlText w:val="%1.%2.%3"/>
      <w:lvlJc w:val="left"/>
      <w:pPr>
        <w:tabs>
          <w:tab w:val="left" w:pos="993"/>
        </w:tabs>
        <w:ind w:left="993" w:hanging="567"/>
      </w:pPr>
      <w:rPr>
        <w:rFonts w:hint="eastAsia"/>
      </w:rPr>
    </w:lvl>
    <w:lvl w:ilvl="3" w:tentative="1">
      <w:start w:val="1"/>
      <w:numFmt w:val="decimal"/>
      <w:lvlText w:val="%1.%2.%3.%4"/>
      <w:lvlJc w:val="left"/>
      <w:pPr>
        <w:tabs>
          <w:tab w:val="left" w:pos="2291"/>
        </w:tabs>
        <w:ind w:left="1559" w:hanging="708"/>
      </w:pPr>
      <w:rPr>
        <w:rFonts w:hint="eastAsia"/>
      </w:rPr>
    </w:lvl>
    <w:lvl w:ilvl="4" w:tentative="1">
      <w:start w:val="1"/>
      <w:numFmt w:val="decimal"/>
      <w:lvlText w:val="%1.%2.%3.%4.%5"/>
      <w:lvlJc w:val="left"/>
      <w:pPr>
        <w:tabs>
          <w:tab w:val="left" w:pos="3076"/>
        </w:tabs>
        <w:ind w:left="2126" w:hanging="850"/>
      </w:pPr>
      <w:rPr>
        <w:rFonts w:hint="eastAsia"/>
      </w:rPr>
    </w:lvl>
    <w:lvl w:ilvl="5" w:tentative="1">
      <w:start w:val="1"/>
      <w:numFmt w:val="decimal"/>
      <w:lvlText w:val="%1.%2.%3.%4.%5.%6"/>
      <w:lvlJc w:val="left"/>
      <w:pPr>
        <w:tabs>
          <w:tab w:val="left" w:pos="3861"/>
        </w:tabs>
        <w:ind w:left="2835" w:hanging="1134"/>
      </w:pPr>
      <w:rPr>
        <w:rFonts w:hint="eastAsia"/>
      </w:rPr>
    </w:lvl>
    <w:lvl w:ilvl="6" w:tentative="1">
      <w:start w:val="1"/>
      <w:numFmt w:val="decimal"/>
      <w:lvlText w:val="%1.%2.%3.%4.%5.%6.%7"/>
      <w:lvlJc w:val="left"/>
      <w:pPr>
        <w:tabs>
          <w:tab w:val="left" w:pos="4646"/>
        </w:tabs>
        <w:ind w:left="3402" w:hanging="1276"/>
      </w:pPr>
      <w:rPr>
        <w:rFonts w:hint="eastAsia"/>
      </w:rPr>
    </w:lvl>
    <w:lvl w:ilvl="7" w:tentative="1">
      <w:start w:val="1"/>
      <w:numFmt w:val="decimal"/>
      <w:lvlText w:val="%1.%2.%3.%4.%5.%6.%7.%8"/>
      <w:lvlJc w:val="left"/>
      <w:pPr>
        <w:tabs>
          <w:tab w:val="left" w:pos="5431"/>
        </w:tabs>
        <w:ind w:left="3969" w:hanging="1418"/>
      </w:pPr>
      <w:rPr>
        <w:rFonts w:hint="eastAsia"/>
      </w:rPr>
    </w:lvl>
    <w:lvl w:ilvl="8" w:tentative="1">
      <w:start w:val="1"/>
      <w:numFmt w:val="decimal"/>
      <w:lvlText w:val="%1.%2.%3.%4.%5.%6.%7.%8.%9"/>
      <w:lvlJc w:val="left"/>
      <w:pPr>
        <w:tabs>
          <w:tab w:val="left" w:pos="6217"/>
        </w:tabs>
        <w:ind w:left="4677" w:hanging="1700"/>
      </w:pPr>
      <w:rPr>
        <w:rFonts w:hint="eastAsia"/>
      </w:rPr>
    </w:lvl>
  </w:abstractNum>
  <w:abstractNum w:abstractNumId="714043667">
    <w:nsid w:val="2A8F7113"/>
    <w:multiLevelType w:val="multilevel"/>
    <w:tmpl w:val="2A8F7113"/>
    <w:lvl w:ilvl="0" w:tentative="1">
      <w:start w:val="1"/>
      <w:numFmt w:val="upperLetter"/>
      <w:pStyle w:val="31"/>
      <w:suff w:val="space"/>
      <w:lvlText w:val="%1"/>
      <w:lvlJc w:val="left"/>
      <w:pPr>
        <w:ind w:left="623" w:hanging="425"/>
      </w:pPr>
      <w:rPr>
        <w:rFonts w:hint="eastAsia"/>
      </w:rPr>
    </w:lvl>
    <w:lvl w:ilvl="1" w:tentative="1">
      <w:start w:val="1"/>
      <w:numFmt w:val="decimal"/>
      <w:pStyle w:val="32"/>
      <w:suff w:val="nothing"/>
      <w:lvlText w:val="图%1.%2　"/>
      <w:lvlJc w:val="left"/>
      <w:pPr>
        <w:ind w:left="1190" w:hanging="567"/>
      </w:pPr>
      <w:rPr>
        <w:rFonts w:hint="eastAsia"/>
      </w:rPr>
    </w:lvl>
    <w:lvl w:ilvl="2" w:tentative="1">
      <w:start w:val="1"/>
      <w:numFmt w:val="decimal"/>
      <w:lvlText w:val="%1.%2.%3"/>
      <w:lvlJc w:val="left"/>
      <w:pPr>
        <w:tabs>
          <w:tab w:val="left" w:pos="1616"/>
        </w:tabs>
        <w:ind w:left="1616" w:hanging="567"/>
      </w:pPr>
      <w:rPr>
        <w:rFonts w:hint="eastAsia"/>
      </w:rPr>
    </w:lvl>
    <w:lvl w:ilvl="3" w:tentative="1">
      <w:start w:val="1"/>
      <w:numFmt w:val="decimal"/>
      <w:lvlText w:val="%1.%2.%3.%4"/>
      <w:lvlJc w:val="left"/>
      <w:pPr>
        <w:tabs>
          <w:tab w:val="left" w:pos="2914"/>
        </w:tabs>
        <w:ind w:left="2182" w:hanging="708"/>
      </w:pPr>
      <w:rPr>
        <w:rFonts w:hint="eastAsia"/>
      </w:rPr>
    </w:lvl>
    <w:lvl w:ilvl="4" w:tentative="1">
      <w:start w:val="1"/>
      <w:numFmt w:val="decimal"/>
      <w:lvlText w:val="%1.%2.%3.%4.%5"/>
      <w:lvlJc w:val="left"/>
      <w:pPr>
        <w:tabs>
          <w:tab w:val="left" w:pos="3699"/>
        </w:tabs>
        <w:ind w:left="2749" w:hanging="850"/>
      </w:pPr>
      <w:rPr>
        <w:rFonts w:hint="eastAsia"/>
      </w:rPr>
    </w:lvl>
    <w:lvl w:ilvl="5" w:tentative="1">
      <w:start w:val="1"/>
      <w:numFmt w:val="decimal"/>
      <w:lvlText w:val="%1.%2.%3.%4.%5.%6"/>
      <w:lvlJc w:val="left"/>
      <w:pPr>
        <w:tabs>
          <w:tab w:val="left" w:pos="4484"/>
        </w:tabs>
        <w:ind w:left="3458" w:hanging="1134"/>
      </w:pPr>
      <w:rPr>
        <w:rFonts w:hint="eastAsia"/>
      </w:rPr>
    </w:lvl>
    <w:lvl w:ilvl="6" w:tentative="1">
      <w:start w:val="1"/>
      <w:numFmt w:val="decimal"/>
      <w:lvlText w:val="%1.%2.%3.%4.%5.%6.%7"/>
      <w:lvlJc w:val="left"/>
      <w:pPr>
        <w:tabs>
          <w:tab w:val="left" w:pos="5269"/>
        </w:tabs>
        <w:ind w:left="4025" w:hanging="1276"/>
      </w:pPr>
      <w:rPr>
        <w:rFonts w:hint="eastAsia"/>
      </w:rPr>
    </w:lvl>
    <w:lvl w:ilvl="7" w:tentative="1">
      <w:start w:val="1"/>
      <w:numFmt w:val="decimal"/>
      <w:lvlText w:val="%1.%2.%3.%4.%5.%6.%7.%8"/>
      <w:lvlJc w:val="left"/>
      <w:pPr>
        <w:tabs>
          <w:tab w:val="left" w:pos="6054"/>
        </w:tabs>
        <w:ind w:left="4592" w:hanging="1418"/>
      </w:pPr>
      <w:rPr>
        <w:rFonts w:hint="eastAsia"/>
      </w:rPr>
    </w:lvl>
    <w:lvl w:ilvl="8" w:tentative="1">
      <w:start w:val="1"/>
      <w:numFmt w:val="decimal"/>
      <w:lvlText w:val="%1.%2.%3.%4.%5.%6.%7.%8.%9"/>
      <w:lvlJc w:val="left"/>
      <w:pPr>
        <w:tabs>
          <w:tab w:val="left" w:pos="6840"/>
        </w:tabs>
        <w:ind w:left="5300" w:hanging="1700"/>
      </w:pPr>
      <w:rPr>
        <w:rFonts w:hint="eastAsia"/>
      </w:rPr>
    </w:lvl>
  </w:abstractNum>
  <w:abstractNum w:abstractNumId="533270883">
    <w:nsid w:val="1FC91163"/>
    <w:multiLevelType w:val="multilevel"/>
    <w:tmpl w:val="1FC91163"/>
    <w:lvl w:ilvl="0" w:tentative="1">
      <w:start w:val="1"/>
      <w:numFmt w:val="decimal"/>
      <w:pStyle w:val="10"/>
      <w:suff w:val="nothing"/>
      <w:lvlText w:val="%1　"/>
      <w:lvlJc w:val="left"/>
      <w:pPr>
        <w:ind w:left="142" w:firstLine="0"/>
      </w:pPr>
      <w:rPr>
        <w:rFonts w:hint="eastAsia" w:ascii="黑体" w:hAnsi="Times New Roman" w:eastAsia="黑体"/>
        <w:b w:val="0"/>
        <w:i w:val="0"/>
        <w:sz w:val="21"/>
        <w:szCs w:val="21"/>
      </w:rPr>
    </w:lvl>
    <w:lvl w:ilvl="1" w:tentative="1">
      <w:start w:val="1"/>
      <w:numFmt w:val="decimal"/>
      <w:pStyle w:val="7"/>
      <w:suff w:val="nothing"/>
      <w:lvlText w:val="%1.%2　"/>
      <w:lvlJc w:val="left"/>
      <w:pPr>
        <w:ind w:left="284" w:firstLine="0"/>
      </w:pPr>
      <w:rPr>
        <w:rFonts w:hint="eastAsia" w:ascii="黑体" w:hAnsi="Times New Roman" w:eastAsia="黑体" w:cs="Times New Roman"/>
        <w:b w:val="0"/>
        <w:bCs w:val="0"/>
        <w:i w:val="0"/>
        <w:iCs w:val="0"/>
        <w:caps w:val="0"/>
        <w:strike w:val="0"/>
        <w:dstrike w:val="0"/>
        <w:outline w:val="0"/>
        <w:shadow w:val="0"/>
        <w:spacing w:val="0"/>
        <w:kern w:val="0"/>
        <w:position w:val="0"/>
        <w:sz w:val="21"/>
        <w:szCs w:val="21"/>
        <w:u w:val="none"/>
      </w:rPr>
    </w:lvl>
    <w:lvl w:ilvl="2" w:tentative="1">
      <w:start w:val="1"/>
      <w:numFmt w:val="decimal"/>
      <w:pStyle w:val="11"/>
      <w:suff w:val="nothing"/>
      <w:lvlText w:val="%1.%2.%3　"/>
      <w:lvlJc w:val="left"/>
      <w:pPr>
        <w:ind w:left="426" w:firstLine="0"/>
      </w:pPr>
      <w:rPr>
        <w:rFonts w:hint="eastAsia" w:ascii="黑体" w:hAnsi="Times New Roman" w:eastAsia="黑体"/>
        <w:b w:val="0"/>
        <w:i w:val="0"/>
        <w:sz w:val="21"/>
      </w:rPr>
    </w:lvl>
    <w:lvl w:ilvl="3" w:tentative="1">
      <w:start w:val="1"/>
      <w:numFmt w:val="decimal"/>
      <w:suff w:val="nothing"/>
      <w:lvlText w:val="%1.%2.%3.%4　"/>
      <w:lvlJc w:val="left"/>
      <w:pPr>
        <w:ind w:left="0" w:firstLine="0"/>
      </w:pPr>
      <w:rPr>
        <w:rFonts w:hint="eastAsia" w:ascii="黑体" w:hAnsi="Times New Roman" w:eastAsia="黑体"/>
        <w:b w:val="0"/>
        <w:i w:val="0"/>
        <w:sz w:val="21"/>
      </w:rPr>
    </w:lvl>
    <w:lvl w:ilvl="4" w:tentative="1">
      <w:start w:val="1"/>
      <w:numFmt w:val="decimal"/>
      <w:pStyle w:val="15"/>
      <w:suff w:val="nothing"/>
      <w:lvlText w:val="%1.%2.%3.%4.%5　"/>
      <w:lvlJc w:val="left"/>
      <w:pPr>
        <w:ind w:left="1134" w:firstLine="0"/>
      </w:pPr>
      <w:rPr>
        <w:rFonts w:hint="eastAsia" w:ascii="黑体" w:hAnsi="Times New Roman" w:eastAsia="黑体"/>
        <w:b w:val="0"/>
        <w:i w:val="0"/>
        <w:sz w:val="21"/>
      </w:rPr>
    </w:lvl>
    <w:lvl w:ilvl="5" w:tentative="1">
      <w:start w:val="1"/>
      <w:numFmt w:val="decimal"/>
      <w:pStyle w:val="16"/>
      <w:suff w:val="nothing"/>
      <w:lvlText w:val="%1.%2.%3.%4.%5.%6　"/>
      <w:lvlJc w:val="left"/>
      <w:pPr>
        <w:ind w:left="0" w:firstLine="0"/>
      </w:pPr>
      <w:rPr>
        <w:rFonts w:hint="eastAsia" w:ascii="黑体" w:hAnsi="Times New Roman" w:eastAsia="黑体"/>
        <w:b w:val="0"/>
        <w:i w:val="0"/>
        <w:sz w:val="21"/>
      </w:rPr>
    </w:lvl>
    <w:lvl w:ilvl="6" w:tentative="1">
      <w:start w:val="1"/>
      <w:numFmt w:val="decimal"/>
      <w:suff w:val="nothing"/>
      <w:lvlText w:val="%1%2.%3.%4.%5.%6.%7　"/>
      <w:lvlJc w:val="left"/>
      <w:pPr>
        <w:ind w:left="0" w:firstLine="0"/>
      </w:pPr>
      <w:rPr>
        <w:rFonts w:hint="eastAsia" w:ascii="黑体" w:hAnsi="Times New Roman" w:eastAsia="黑体"/>
        <w:b w:val="0"/>
        <w:i w:val="0"/>
        <w:sz w:val="21"/>
      </w:rPr>
    </w:lvl>
    <w:lvl w:ilvl="7" w:tentative="1">
      <w:start w:val="1"/>
      <w:numFmt w:val="decimal"/>
      <w:lvlText w:val="%1.%2.%3.%4.%5.%6.%7.%8"/>
      <w:lvlJc w:val="left"/>
      <w:pPr>
        <w:tabs>
          <w:tab w:val="left" w:pos="4351"/>
        </w:tabs>
        <w:ind w:left="3969" w:hanging="1418"/>
      </w:pPr>
      <w:rPr>
        <w:rFonts w:hint="eastAsia"/>
      </w:rPr>
    </w:lvl>
    <w:lvl w:ilvl="8" w:tentative="1">
      <w:start w:val="1"/>
      <w:numFmt w:val="decimal"/>
      <w:lvlText w:val="%1.%2.%3.%4.%5.%6.%7.%8.%9"/>
      <w:lvlJc w:val="left"/>
      <w:pPr>
        <w:tabs>
          <w:tab w:val="left" w:pos="4777"/>
        </w:tabs>
        <w:ind w:left="4677" w:hanging="1700"/>
      </w:pPr>
      <w:rPr>
        <w:rFonts w:hint="eastAsia"/>
      </w:rPr>
    </w:lvl>
  </w:abstractNum>
  <w:num w:numId="1">
    <w:abstractNumId w:val="533270883"/>
  </w:num>
  <w:num w:numId="2">
    <w:abstractNumId w:val="1702707132"/>
  </w:num>
  <w:num w:numId="3">
    <w:abstractNumId w:val="1622498754"/>
  </w:num>
  <w:num w:numId="4">
    <w:abstractNumId w:val="71404366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BA5C06"/>
    <w:rsid w:val="0001752E"/>
    <w:rsid w:val="0005091B"/>
    <w:rsid w:val="00240DEF"/>
    <w:rsid w:val="005E7724"/>
    <w:rsid w:val="007E45B7"/>
    <w:rsid w:val="008C62B9"/>
    <w:rsid w:val="00AC0FC1"/>
    <w:rsid w:val="00BA5C06"/>
    <w:rsid w:val="00DF4D33"/>
    <w:rsid w:val="02B0324B"/>
    <w:rsid w:val="03F34466"/>
    <w:rsid w:val="0C3A4531"/>
    <w:rsid w:val="0EB2767E"/>
    <w:rsid w:val="0EE30FD8"/>
    <w:rsid w:val="0F0F034D"/>
    <w:rsid w:val="11744C83"/>
    <w:rsid w:val="12C40A3B"/>
    <w:rsid w:val="167E31EA"/>
    <w:rsid w:val="1B2E396E"/>
    <w:rsid w:val="1DFF2DA8"/>
    <w:rsid w:val="203F3B01"/>
    <w:rsid w:val="26A1799C"/>
    <w:rsid w:val="2853222F"/>
    <w:rsid w:val="295F1FBE"/>
    <w:rsid w:val="308F6A82"/>
    <w:rsid w:val="313B6B9B"/>
    <w:rsid w:val="332470D5"/>
    <w:rsid w:val="36ED17FE"/>
    <w:rsid w:val="384D56BA"/>
    <w:rsid w:val="3D234C63"/>
    <w:rsid w:val="477B4BE6"/>
    <w:rsid w:val="4A340FDB"/>
    <w:rsid w:val="4A580919"/>
    <w:rsid w:val="510E1BEE"/>
    <w:rsid w:val="527610AB"/>
    <w:rsid w:val="53F23E79"/>
    <w:rsid w:val="594D517F"/>
    <w:rsid w:val="5A7B247E"/>
    <w:rsid w:val="5ABF1B51"/>
    <w:rsid w:val="66E21519"/>
    <w:rsid w:val="671C3DDC"/>
    <w:rsid w:val="68617A17"/>
    <w:rsid w:val="6D490BFA"/>
    <w:rsid w:val="72761035"/>
    <w:rsid w:val="728D245B"/>
    <w:rsid w:val="730B6494"/>
    <w:rsid w:val="73E11D16"/>
    <w:rsid w:val="77821EEC"/>
    <w:rsid w:val="77EF73A2"/>
    <w:rsid w:val="78BB6EE7"/>
    <w:rsid w:val="7E9D6D90"/>
    <w:rsid w:val="7F4E0B4C"/>
    <w:rsid w:val="7F9E2037"/>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黑体" w:hAnsi="宋体" w:eastAsia="黑体" w:cs="Times New Roman"/>
      <w:sz w:val="5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Style w:val="5"/>
      <w:tblLayout w:type="fixed"/>
      <w:tblCellMar>
        <w:top w:w="0" w:type="dxa"/>
        <w:left w:w="108" w:type="dxa"/>
        <w:bottom w:w="0" w:type="dxa"/>
        <w:right w:w="108" w:type="dxa"/>
      </w:tblCellMar>
    </w:tblPr>
    <w:tcPr>
      <w:textDirection w:val="lrTb"/>
    </w:tcPr>
  </w:style>
  <w:style w:type="paragraph" w:styleId="2">
    <w:name w:val="footer"/>
    <w:basedOn w:val="1"/>
    <w:link w:val="45"/>
    <w:uiPriority w:val="0"/>
    <w:pPr>
      <w:snapToGrid w:val="0"/>
      <w:ind w:right="210" w:rightChars="100"/>
      <w:jc w:val="right"/>
    </w:pPr>
    <w:rPr>
      <w:rFonts w:ascii="Times New Roman" w:hAnsi="Times New Roman" w:eastAsia="宋体"/>
      <w:kern w:val="2"/>
      <w:sz w:val="18"/>
      <w:szCs w:val="18"/>
    </w:rPr>
  </w:style>
  <w:style w:type="paragraph" w:styleId="3">
    <w:name w:val="header"/>
    <w:basedOn w:val="1"/>
    <w:link w:val="46"/>
    <w:uiPriority w:val="0"/>
    <w:pPr>
      <w:snapToGrid w:val="0"/>
      <w:jc w:val="left"/>
    </w:pPr>
    <w:rPr>
      <w:rFonts w:ascii="Times New Roman" w:hAnsi="Times New Roman" w:eastAsia="宋体"/>
      <w:kern w:val="2"/>
      <w:sz w:val="18"/>
      <w:szCs w:val="18"/>
    </w:rPr>
  </w:style>
  <w:style w:type="paragraph" w:customStyle="1" w:styleId="6">
    <w:name w:val="段"/>
    <w:link w:val="44"/>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7">
    <w:name w:val="一级条标题"/>
    <w:next w:val="6"/>
    <w:uiPriority w:val="0"/>
    <w:pPr>
      <w:numPr>
        <w:ilvl w:val="1"/>
        <w:numId w:val="1"/>
      </w:numPr>
      <w:spacing w:beforeLines="50" w:afterLines="50"/>
      <w:ind w:left="0"/>
      <w:outlineLvl w:val="2"/>
    </w:pPr>
    <w:rPr>
      <w:rFonts w:ascii="黑体" w:hAnsi="Times New Roman" w:eastAsia="黑体" w:cs="Times New Roman"/>
      <w:sz w:val="21"/>
      <w:szCs w:val="21"/>
      <w:lang w:val="en-US" w:eastAsia="zh-CN" w:bidi="ar-SA"/>
    </w:rPr>
  </w:style>
  <w:style w:type="paragraph" w:customStyle="1" w:styleId="8">
    <w:name w:val="标准书脚_奇数页"/>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9">
    <w:name w:val="标准书眉_奇数页"/>
    <w:next w:val="1"/>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10">
    <w:name w:val="章标题"/>
    <w:next w:val="6"/>
    <w:uiPriority w:val="0"/>
    <w:pPr>
      <w:numPr>
        <w:ilvl w:val="0"/>
        <w:numId w:val="1"/>
      </w:numPr>
      <w:spacing w:beforeLines="100" w:afterLines="100"/>
      <w:ind w:left="0"/>
      <w:jc w:val="both"/>
      <w:outlineLvl w:val="1"/>
    </w:pPr>
    <w:rPr>
      <w:rFonts w:ascii="黑体" w:hAnsi="Times New Roman" w:eastAsia="黑体" w:cs="Times New Roman"/>
      <w:sz w:val="21"/>
      <w:lang w:val="en-US" w:eastAsia="zh-CN" w:bidi="ar-SA"/>
    </w:rPr>
  </w:style>
  <w:style w:type="paragraph" w:customStyle="1" w:styleId="11">
    <w:name w:val="二级条标题"/>
    <w:basedOn w:val="7"/>
    <w:next w:val="6"/>
    <w:uiPriority w:val="0"/>
    <w:pPr>
      <w:numPr>
        <w:ilvl w:val="2"/>
        <w:numId w:val="1"/>
      </w:numPr>
      <w:spacing w:before="50" w:after="50"/>
      <w:outlineLvl w:val="3"/>
    </w:pPr>
  </w:style>
  <w:style w:type="paragraph" w:customStyle="1" w:styleId="12">
    <w:name w:val="封面标准号2"/>
    <w:uiPriority w:val="0"/>
    <w:pPr>
      <w:spacing w:before="357" w:line="280" w:lineRule="exact"/>
      <w:jc w:val="right"/>
    </w:pPr>
    <w:rPr>
      <w:rFonts w:ascii="黑体" w:hAnsi="Times New Roman" w:eastAsia="黑体" w:cs="Times New Roman"/>
      <w:sz w:val="28"/>
      <w:szCs w:val="28"/>
      <w:lang w:val="en-US" w:eastAsia="zh-CN" w:bidi="ar-SA"/>
    </w:rPr>
  </w:style>
  <w:style w:type="paragraph" w:customStyle="1" w:styleId="13">
    <w:name w:val="目次、标准名称标题"/>
    <w:basedOn w:val="1"/>
    <w:next w:val="6"/>
    <w:uiPriority w:val="0"/>
    <w:pPr>
      <w:keepNext/>
      <w:pageBreakBefore/>
      <w:widowControl/>
      <w:shd w:val="clear" w:color="FFFFFF" w:fill="FFFFFF"/>
      <w:spacing w:before="640" w:after="560" w:line="460" w:lineRule="exact"/>
      <w:jc w:val="center"/>
      <w:outlineLvl w:val="0"/>
    </w:pPr>
    <w:rPr>
      <w:rFonts w:hAnsi="Times New Roman"/>
      <w:sz w:val="32"/>
    </w:rPr>
  </w:style>
  <w:style w:type="paragraph" w:customStyle="1" w:styleId="14">
    <w:name w:val="三级条标题"/>
    <w:basedOn w:val="11"/>
    <w:next w:val="6"/>
    <w:uiPriority w:val="0"/>
    <w:pPr>
      <w:numPr>
        <w:ilvl w:val="2"/>
        <w:numId w:val="0"/>
      </w:numPr>
      <w:outlineLvl w:val="4"/>
    </w:pPr>
  </w:style>
  <w:style w:type="paragraph" w:customStyle="1" w:styleId="15">
    <w:name w:val="四级条标题"/>
    <w:basedOn w:val="14"/>
    <w:next w:val="6"/>
    <w:uiPriority w:val="0"/>
    <w:pPr>
      <w:numPr>
        <w:ilvl w:val="4"/>
        <w:numId w:val="1"/>
      </w:numPr>
      <w:outlineLvl w:val="5"/>
    </w:pPr>
  </w:style>
  <w:style w:type="paragraph" w:customStyle="1" w:styleId="16">
    <w:name w:val="五级条标题"/>
    <w:basedOn w:val="15"/>
    <w:next w:val="6"/>
    <w:uiPriority w:val="0"/>
    <w:pPr>
      <w:numPr>
        <w:ilvl w:val="5"/>
        <w:numId w:val="1"/>
      </w:numPr>
      <w:outlineLvl w:val="6"/>
    </w:pPr>
  </w:style>
  <w:style w:type="paragraph" w:customStyle="1" w:styleId="17">
    <w:name w:val="标准书脚_偶数页"/>
    <w:uiPriority w:val="0"/>
    <w:pPr>
      <w:spacing w:before="120"/>
      <w:ind w:left="221"/>
    </w:pPr>
    <w:rPr>
      <w:rFonts w:ascii="宋体" w:hAnsi="Times New Roman" w:eastAsia="宋体" w:cs="Times New Roman"/>
      <w:sz w:val="18"/>
      <w:szCs w:val="18"/>
      <w:lang w:val="en-US" w:eastAsia="zh-CN" w:bidi="ar-SA"/>
    </w:rPr>
  </w:style>
  <w:style w:type="paragraph" w:customStyle="1" w:styleId="18">
    <w:name w:val="标准书眉_偶数页"/>
    <w:basedOn w:val="9"/>
    <w:next w:val="1"/>
    <w:uiPriority w:val="0"/>
    <w:pPr>
      <w:jc w:val="left"/>
    </w:pPr>
  </w:style>
  <w:style w:type="paragraph" w:customStyle="1" w:styleId="19">
    <w:name w:val="封面标准代替信息"/>
    <w:uiPriority w:val="0"/>
    <w:pPr>
      <w:spacing w:before="57" w:line="280" w:lineRule="exact"/>
      <w:jc w:val="right"/>
    </w:pPr>
    <w:rPr>
      <w:rFonts w:ascii="宋体" w:hAnsi="Times New Roman" w:eastAsia="宋体" w:cs="Times New Roman"/>
      <w:sz w:val="21"/>
      <w:szCs w:val="21"/>
      <w:lang w:val="en-US" w:eastAsia="zh-CN" w:bidi="ar-SA"/>
    </w:rPr>
  </w:style>
  <w:style w:type="paragraph" w:customStyle="1" w:styleId="20">
    <w:name w:val="封面标准名称"/>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1">
    <w:name w:val="封面标准英文名称"/>
    <w:basedOn w:val="20"/>
    <w:uiPriority w:val="0"/>
    <w:pPr>
      <w:framePr w:wrap="around" w:vAnchor="margin" w:hAnchor="text" w:y="1"/>
      <w:spacing w:before="370" w:line="400" w:lineRule="exact"/>
    </w:pPr>
    <w:rPr>
      <w:rFonts w:ascii="Times New Roman"/>
      <w:sz w:val="28"/>
      <w:szCs w:val="28"/>
    </w:rPr>
  </w:style>
  <w:style w:type="paragraph" w:customStyle="1" w:styleId="22">
    <w:name w:val="封面一致性程度标识"/>
    <w:basedOn w:val="21"/>
    <w:uiPriority w:val="0"/>
    <w:pPr>
      <w:spacing w:before="440"/>
    </w:pPr>
    <w:rPr>
      <w:rFonts w:ascii="宋体" w:eastAsia="宋体"/>
    </w:rPr>
  </w:style>
  <w:style w:type="paragraph" w:customStyle="1" w:styleId="23">
    <w:name w:val="封面标准文稿类别"/>
    <w:basedOn w:val="22"/>
    <w:uiPriority w:val="0"/>
    <w:pPr>
      <w:spacing w:after="160" w:line="240" w:lineRule="auto"/>
    </w:pPr>
    <w:rPr>
      <w:sz w:val="24"/>
    </w:rPr>
  </w:style>
  <w:style w:type="paragraph" w:customStyle="1" w:styleId="24">
    <w:name w:val="封面标准文稿编辑信息"/>
    <w:basedOn w:val="23"/>
    <w:uiPriority w:val="0"/>
    <w:pPr>
      <w:spacing w:before="180" w:line="180" w:lineRule="exact"/>
    </w:pPr>
    <w:rPr>
      <w:sz w:val="21"/>
    </w:rPr>
  </w:style>
  <w:style w:type="paragraph" w:customStyle="1" w:styleId="25">
    <w:name w:val="附录标识"/>
    <w:basedOn w:val="1"/>
    <w:next w:val="6"/>
    <w:uiPriority w:val="0"/>
    <w:pPr>
      <w:keepNext/>
      <w:widowControl/>
      <w:numPr>
        <w:ilvl w:val="0"/>
        <w:numId w:val="2"/>
      </w:numPr>
      <w:shd w:val="clear" w:color="FFFFFF" w:fill="FFFFFF"/>
      <w:tabs>
        <w:tab w:val="left" w:pos="360"/>
        <w:tab w:val="left" w:pos="6405"/>
      </w:tabs>
      <w:spacing w:before="640" w:after="280"/>
      <w:jc w:val="center"/>
      <w:outlineLvl w:val="0"/>
    </w:pPr>
    <w:rPr>
      <w:rFonts w:hAnsi="Times New Roman"/>
      <w:sz w:val="21"/>
    </w:rPr>
  </w:style>
  <w:style w:type="paragraph" w:customStyle="1" w:styleId="26">
    <w:name w:val="附录表标号"/>
    <w:basedOn w:val="1"/>
    <w:next w:val="6"/>
    <w:uiPriority w:val="0"/>
    <w:pPr>
      <w:numPr>
        <w:ilvl w:val="0"/>
        <w:numId w:val="3"/>
      </w:numPr>
      <w:spacing w:line="14" w:lineRule="exact"/>
      <w:ind w:left="811" w:hanging="448"/>
      <w:jc w:val="center"/>
      <w:outlineLvl w:val="0"/>
    </w:pPr>
    <w:rPr>
      <w:rFonts w:ascii="Times New Roman" w:hAnsi="Times New Roman" w:eastAsia="宋体"/>
      <w:color w:val="FFFFFF"/>
      <w:kern w:val="2"/>
      <w:sz w:val="21"/>
      <w:szCs w:val="24"/>
    </w:rPr>
  </w:style>
  <w:style w:type="paragraph" w:customStyle="1" w:styleId="27">
    <w:name w:val="附录表标题"/>
    <w:basedOn w:val="1"/>
    <w:next w:val="6"/>
    <w:uiPriority w:val="0"/>
    <w:pPr>
      <w:numPr>
        <w:ilvl w:val="1"/>
        <w:numId w:val="3"/>
      </w:numPr>
      <w:tabs>
        <w:tab w:val="left" w:pos="0"/>
        <w:tab w:val="left" w:pos="180"/>
      </w:tabs>
      <w:spacing w:beforeLines="50" w:afterLines="50"/>
      <w:ind w:left="0" w:firstLine="0"/>
      <w:jc w:val="center"/>
    </w:pPr>
    <w:rPr>
      <w:rFonts w:hAnsi="Times New Roman"/>
      <w:kern w:val="2"/>
      <w:sz w:val="21"/>
      <w:szCs w:val="21"/>
    </w:rPr>
  </w:style>
  <w:style w:type="paragraph" w:customStyle="1" w:styleId="28">
    <w:name w:val="附录二级条标题"/>
    <w:basedOn w:val="1"/>
    <w:next w:val="6"/>
    <w:uiPriority w:val="0"/>
    <w:pPr>
      <w:widowControl/>
      <w:numPr>
        <w:ilvl w:val="3"/>
        <w:numId w:val="2"/>
      </w:numPr>
      <w:tabs>
        <w:tab w:val="left" w:pos="360"/>
      </w:tabs>
      <w:wordWrap w:val="0"/>
      <w:overflowPunct w:val="0"/>
      <w:autoSpaceDE w:val="0"/>
      <w:autoSpaceDN w:val="0"/>
      <w:spacing w:beforeLines="50" w:afterLines="50"/>
      <w:textAlignment w:val="baseline"/>
      <w:outlineLvl w:val="3"/>
    </w:pPr>
    <w:rPr>
      <w:rFonts w:hAnsi="Times New Roman"/>
      <w:kern w:val="21"/>
      <w:sz w:val="21"/>
    </w:rPr>
  </w:style>
  <w:style w:type="paragraph" w:customStyle="1" w:styleId="29">
    <w:name w:val="附录三级条标题"/>
    <w:basedOn w:val="28"/>
    <w:next w:val="6"/>
    <w:uiPriority w:val="0"/>
    <w:pPr>
      <w:numPr>
        <w:ilvl w:val="4"/>
        <w:numId w:val="2"/>
      </w:numPr>
      <w:outlineLvl w:val="4"/>
    </w:pPr>
  </w:style>
  <w:style w:type="paragraph" w:customStyle="1" w:styleId="30">
    <w:name w:val="附录四级条标题"/>
    <w:basedOn w:val="29"/>
    <w:next w:val="6"/>
    <w:uiPriority w:val="0"/>
    <w:pPr>
      <w:numPr>
        <w:ilvl w:val="5"/>
        <w:numId w:val="2"/>
      </w:numPr>
      <w:outlineLvl w:val="5"/>
    </w:pPr>
  </w:style>
  <w:style w:type="paragraph" w:customStyle="1" w:styleId="31">
    <w:name w:val="附录图标号"/>
    <w:basedOn w:val="1"/>
    <w:uiPriority w:val="0"/>
    <w:pPr>
      <w:keepNext/>
      <w:pageBreakBefore/>
      <w:widowControl/>
      <w:numPr>
        <w:ilvl w:val="0"/>
        <w:numId w:val="4"/>
      </w:numPr>
      <w:spacing w:line="14" w:lineRule="exact"/>
      <w:ind w:left="0" w:firstLine="363"/>
      <w:jc w:val="center"/>
      <w:outlineLvl w:val="0"/>
    </w:pPr>
    <w:rPr>
      <w:rFonts w:ascii="Times New Roman" w:hAnsi="Times New Roman" w:eastAsia="宋体"/>
      <w:color w:val="FFFFFF"/>
      <w:kern w:val="2"/>
      <w:sz w:val="21"/>
      <w:szCs w:val="24"/>
    </w:rPr>
  </w:style>
  <w:style w:type="paragraph" w:customStyle="1" w:styleId="32">
    <w:name w:val="附录图标题"/>
    <w:basedOn w:val="1"/>
    <w:next w:val="6"/>
    <w:uiPriority w:val="0"/>
    <w:pPr>
      <w:numPr>
        <w:ilvl w:val="1"/>
        <w:numId w:val="4"/>
      </w:numPr>
      <w:tabs>
        <w:tab w:val="left" w:pos="363"/>
      </w:tabs>
      <w:spacing w:beforeLines="50" w:afterLines="50"/>
      <w:ind w:left="0" w:firstLine="0"/>
      <w:jc w:val="center"/>
    </w:pPr>
    <w:rPr>
      <w:rFonts w:hAnsi="Times New Roman"/>
      <w:kern w:val="2"/>
      <w:sz w:val="21"/>
      <w:szCs w:val="21"/>
    </w:rPr>
  </w:style>
  <w:style w:type="paragraph" w:customStyle="1" w:styleId="33">
    <w:name w:val="附录五级条标题"/>
    <w:basedOn w:val="30"/>
    <w:next w:val="6"/>
    <w:uiPriority w:val="0"/>
    <w:pPr>
      <w:numPr>
        <w:ilvl w:val="6"/>
        <w:numId w:val="2"/>
      </w:numPr>
      <w:outlineLvl w:val="6"/>
    </w:pPr>
  </w:style>
  <w:style w:type="paragraph" w:customStyle="1" w:styleId="34">
    <w:name w:val="附录章标题"/>
    <w:next w:val="6"/>
    <w:uiPriority w:val="0"/>
    <w:pPr>
      <w:numPr>
        <w:ilvl w:val="1"/>
        <w:numId w:val="2"/>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35">
    <w:name w:val="附录一级条标题"/>
    <w:basedOn w:val="34"/>
    <w:next w:val="6"/>
    <w:uiPriority w:val="0"/>
    <w:pPr>
      <w:numPr>
        <w:ilvl w:val="2"/>
        <w:numId w:val="2"/>
      </w:numPr>
      <w:autoSpaceDN w:val="0"/>
      <w:spacing w:beforeLines="50" w:afterLines="50"/>
      <w:outlineLvl w:val="2"/>
    </w:pPr>
  </w:style>
  <w:style w:type="paragraph" w:customStyle="1" w:styleId="36">
    <w:name w:val="其他标准标志"/>
    <w:basedOn w:val="1"/>
    <w:uiPriority w:val="0"/>
    <w:pPr>
      <w:framePr w:w="6101" w:h="1389" w:hRule="exact" w:hSpace="181" w:vSpace="181" w:wrap="around" w:vAnchor="page" w:hAnchor="page" w:x="4673" w:y="942" w:anchorLock="1"/>
      <w:widowControl/>
      <w:shd w:val="solid" w:color="FFFFFF" w:fill="FFFFFF"/>
      <w:spacing w:line="0" w:lineRule="atLeast"/>
      <w:jc w:val="right"/>
    </w:pPr>
    <w:rPr>
      <w:rFonts w:ascii="Times New Roman" w:hAnsi="Times New Roman" w:eastAsia="宋体"/>
      <w:b/>
      <w:w w:val="130"/>
      <w:sz w:val="96"/>
      <w:szCs w:val="96"/>
    </w:rPr>
  </w:style>
  <w:style w:type="paragraph" w:customStyle="1" w:styleId="37">
    <w:name w:val="其他标准称谓"/>
    <w:next w:val="1"/>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38">
    <w:name w:val="其他发布部门"/>
    <w:basedOn w:val="1"/>
    <w:uiPriority w:val="0"/>
    <w:pPr>
      <w:framePr w:w="7938" w:h="1134" w:hRule="exact" w:hSpace="125" w:vSpace="181" w:wrap="around" w:vAnchor="page" w:hAnchor="page" w:x="2150" w:y="15310" w:anchorLock="1"/>
      <w:widowControl/>
      <w:spacing w:line="0" w:lineRule="atLeast"/>
      <w:jc w:val="center"/>
    </w:pPr>
    <w:rPr>
      <w:rFonts w:hAnsi="Times New Roman"/>
      <w:spacing w:val="20"/>
      <w:w w:val="135"/>
      <w:sz w:val="28"/>
    </w:rPr>
  </w:style>
  <w:style w:type="paragraph" w:customStyle="1" w:styleId="39">
    <w:name w:val="前言、引言标题"/>
    <w:next w:val="6"/>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40">
    <w:name w:val="文献分类号"/>
    <w:uiPriority w:val="0"/>
    <w:pPr>
      <w:widowControl w:val="0"/>
      <w:textAlignment w:val="center"/>
    </w:pPr>
    <w:rPr>
      <w:rFonts w:ascii="黑体" w:hAnsi="Times New Roman" w:eastAsia="黑体" w:cs="Times New Roman"/>
      <w:sz w:val="21"/>
      <w:szCs w:val="21"/>
      <w:lang w:val="en-US" w:eastAsia="zh-CN" w:bidi="ar-SA"/>
    </w:rPr>
  </w:style>
  <w:style w:type="paragraph" w:customStyle="1" w:styleId="41">
    <w:name w:val="终结线"/>
    <w:basedOn w:val="1"/>
    <w:uiPriority w:val="0"/>
    <w:pPr>
      <w:framePr w:hSpace="181" w:vSpace="181" w:wrap="around" w:vAnchor="text" w:hAnchor="margin" w:xAlign="center" w:y="285"/>
    </w:pPr>
    <w:rPr>
      <w:rFonts w:ascii="Times New Roman" w:hAnsi="Times New Roman" w:eastAsia="宋体"/>
      <w:kern w:val="2"/>
      <w:sz w:val="21"/>
      <w:szCs w:val="24"/>
    </w:rPr>
  </w:style>
  <w:style w:type="paragraph" w:customStyle="1" w:styleId="42">
    <w:name w:val="其他发布日期"/>
    <w:basedOn w:val="1"/>
    <w:uiPriority w:val="0"/>
    <w:pPr>
      <w:framePr w:w="3997" w:h="471" w:hRule="exact" w:vSpace="181" w:wrap="around" w:vAnchor="page" w:hAnchor="page" w:x="1419" w:y="14097" w:anchorLock="1"/>
      <w:widowControl/>
      <w:jc w:val="left"/>
    </w:pPr>
    <w:rPr>
      <w:rFonts w:ascii="Times New Roman" w:hAnsi="Times New Roman"/>
      <w:sz w:val="28"/>
    </w:rPr>
  </w:style>
  <w:style w:type="paragraph" w:customStyle="1" w:styleId="43">
    <w:name w:val="其他实施日期"/>
    <w:basedOn w:val="1"/>
    <w:uiPriority w:val="0"/>
    <w:pPr>
      <w:framePr w:w="3997" w:h="471" w:hRule="exact" w:vSpace="181" w:wrap="around" w:vAnchor="page" w:hAnchor="page" w:x="7089" w:y="14097" w:anchorLock="1"/>
      <w:widowControl/>
      <w:jc w:val="right"/>
    </w:pPr>
    <w:rPr>
      <w:rFonts w:ascii="Times New Roman" w:hAnsi="Times New Roman"/>
      <w:sz w:val="28"/>
    </w:rPr>
  </w:style>
  <w:style w:type="character" w:customStyle="1" w:styleId="44">
    <w:name w:val="段 Char"/>
    <w:basedOn w:val="4"/>
    <w:link w:val="6"/>
    <w:uiPriority w:val="0"/>
    <w:rPr>
      <w:rFonts w:ascii="宋体" w:hAnsi="Times New Roman" w:eastAsia="宋体"/>
      <w:sz w:val="21"/>
    </w:rPr>
  </w:style>
  <w:style w:type="character" w:customStyle="1" w:styleId="45">
    <w:name w:val="页脚 Char"/>
    <w:basedOn w:val="4"/>
    <w:link w:val="2"/>
    <w:uiPriority w:val="0"/>
    <w:rPr>
      <w:rFonts w:ascii="Times New Roman" w:hAnsi="Times New Roman" w:eastAsia="宋体"/>
      <w:kern w:val="2"/>
      <w:sz w:val="18"/>
      <w:szCs w:val="18"/>
    </w:rPr>
  </w:style>
  <w:style w:type="character" w:customStyle="1" w:styleId="46">
    <w:name w:val="页眉 Char"/>
    <w:basedOn w:val="4"/>
    <w:link w:val="3"/>
    <w:uiPriority w:val="0"/>
    <w:rPr>
      <w:rFonts w:ascii="Times New Roman" w:hAnsi="Times New Roman" w:eastAsia="宋体"/>
      <w:kern w:val="2"/>
      <w:sz w:val="18"/>
      <w:szCs w:val="18"/>
    </w:rPr>
  </w:style>
  <w:style w:type="character" w:customStyle="1" w:styleId="47">
    <w:name w:val="发布"/>
    <w:basedOn w:val="4"/>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2.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8</Pages>
  <Words>541</Words>
  <Characters>3085</Characters>
  <Lines>25</Lines>
  <Paragraphs>7</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2020-07-27T07:23:00Z</dcterms:created>
  <dc:creator>Administrator</dc:creator>
  <cp:lastModifiedBy>Administrator</cp:lastModifiedBy>
  <dcterms:modified xsi:type="dcterms:W3CDTF">2020-08-17T02:54:16Z</dcterms:modified>
  <dc:title>ICS 67.080.20</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